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84"/>
          <w:szCs w:val="84"/>
          <w:lang w:val="en-US" w:eastAsia="zh-CN"/>
        </w:rPr>
      </w:pPr>
      <w:r>
        <w:rPr>
          <w:rFonts w:hint="eastAsia"/>
          <w:sz w:val="84"/>
          <w:szCs w:val="84"/>
          <w:lang w:val="en-US" w:eastAsia="zh-CN"/>
        </w:rPr>
        <w:t>2019年白沙</w:t>
      </w:r>
      <w:r>
        <w:rPr>
          <w:rFonts w:hint="eastAsia"/>
          <w:sz w:val="84"/>
          <w:szCs w:val="84"/>
          <w:lang w:eastAsia="zh-CN"/>
        </w:rPr>
        <w:t>黎族自治</w:t>
      </w:r>
      <w:r>
        <w:rPr>
          <w:rFonts w:hint="eastAsia"/>
          <w:sz w:val="84"/>
          <w:szCs w:val="84"/>
          <w:lang w:val="en-US" w:eastAsia="zh-CN"/>
        </w:rPr>
        <w:t>县委老干部局</w:t>
      </w:r>
    </w:p>
    <w:p>
      <w:pPr>
        <w:jc w:val="center"/>
        <w:rPr>
          <w:sz w:val="84"/>
          <w:szCs w:val="84"/>
        </w:rPr>
      </w:pPr>
      <w:r>
        <w:rPr>
          <w:rFonts w:hint="eastAsia"/>
          <w:sz w:val="84"/>
          <w:szCs w:val="84"/>
          <w:lang w:eastAsia="zh-CN"/>
        </w:rPr>
        <w:t>部门</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bookmarkStart w:id="0" w:name="_GoBack"/>
      <w:bookmarkEnd w:id="0"/>
      <w:r>
        <w:rPr>
          <w:rFonts w:hint="eastAsia" w:ascii="黑体" w:hAnsi="黑体" w:eastAsia="黑体"/>
          <w:sz w:val="32"/>
          <w:szCs w:val="32"/>
        </w:rPr>
        <w:t xml:space="preserve">  </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outlineLvl w:val="0"/>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outlineLvl w:val="1"/>
        <w:rPr>
          <w:rFonts w:ascii="黑体" w:hAnsi="黑体" w:eastAsia="黑体" w:cs="仿宋_GB2312"/>
          <w:sz w:val="32"/>
          <w:szCs w:val="32"/>
        </w:rPr>
      </w:pPr>
      <w:r>
        <w:rPr>
          <w:rFonts w:hint="eastAsia" w:ascii="黑体" w:hAnsi="黑体" w:eastAsia="黑体" w:cs="仿宋_GB2312"/>
          <w:sz w:val="32"/>
          <w:szCs w:val="32"/>
        </w:rPr>
        <w:t>主要职能</w:t>
      </w:r>
    </w:p>
    <w:p>
      <w:pPr>
        <w:widowControl/>
        <w:spacing w:line="600" w:lineRule="exact"/>
        <w:ind w:firstLine="580"/>
        <w:jc w:val="left"/>
        <w:rPr>
          <w:rFonts w:hint="eastAsia" w:ascii="仿宋_GB2312" w:eastAsia="仿宋_GB2312"/>
          <w:color w:val="000000"/>
          <w:sz w:val="32"/>
          <w:szCs w:val="32"/>
        </w:rPr>
      </w:pPr>
      <w:r>
        <w:rPr>
          <w:rFonts w:hint="eastAsia" w:ascii="黑体" w:hAnsi="黑体" w:eastAsia="黑体" w:cs="仿宋_GB2312"/>
          <w:sz w:val="32"/>
          <w:szCs w:val="32"/>
          <w:lang w:val="en-US" w:eastAsia="zh-CN"/>
        </w:rPr>
        <w:t xml:space="preserve"> </w:t>
      </w:r>
      <w:r>
        <w:rPr>
          <w:rFonts w:hint="eastAsia" w:ascii="仿宋_GB2312" w:eastAsia="仿宋_GB2312"/>
          <w:color w:val="000000"/>
          <w:sz w:val="32"/>
          <w:szCs w:val="32"/>
        </w:rPr>
        <w:t>（一）贯彻执行中央和省委有关老干部工作方针政策，拟定全县老干部工作方针政策，并组织实施；指导、检查、督促和协调有关单位落实离休干部政治、生活待遇；协助有关部门做好老干部医疗保健等有关服务。</w:t>
      </w:r>
    </w:p>
    <w:p>
      <w:pPr>
        <w:widowControl/>
        <w:spacing w:line="600" w:lineRule="exact"/>
        <w:ind w:firstLine="580"/>
        <w:jc w:val="left"/>
        <w:rPr>
          <w:rFonts w:hint="eastAsia" w:ascii="仿宋_GB2312" w:eastAsia="仿宋_GB2312"/>
          <w:color w:val="000000"/>
          <w:sz w:val="32"/>
          <w:szCs w:val="32"/>
        </w:rPr>
      </w:pPr>
      <w:r>
        <w:rPr>
          <w:rFonts w:hint="eastAsia" w:ascii="仿宋_GB2312" w:eastAsia="仿宋_GB2312"/>
          <w:color w:val="000000"/>
          <w:sz w:val="32"/>
          <w:szCs w:val="32"/>
        </w:rPr>
        <w:t>（二）检查指导全县老干部活动场所建设和开展各项有益活动。组织老干部开展各项有益活动。负责为县老干部提供文体活动场所和服务；承办上级主管部门交办的其他工作。负责全县离退休老干部文体活动的规划和指导，向全县推广老干部新型文体活动项目；负责对全县老干部活动场所建设与管理等方面的情况进行调研，提出相关政策和管理制度；对全县老干部活动场所管理人员与老干部、老年人文体活动骨干进行业务培训；负责对全县老年人体育协会、老年民间艺术团等老年人群众团体进行管理、指导和协调；组织开展全县性离退休干部大型文体活动和比赛；负责组织、指导、协调县直属单位与区片离退休干部开展各类文化娱乐与体育健身工作；对全县离退休老干部开展健康教育工作；做好老干部各种学习和文体活动的组织工作和服务工作；负责承担离退休老干部安置管理和服务工作。负责安置老干部的学习和教育，组织他们参加各种报告会、座谈会和通报会；组织安置老干部参加社会实践活动，引领他们走出去参观考察工农业生产项目；负责安置老干部开展各项有利于自身健康的文体娱乐活动，丰富他们的晚年生活；负责安置老干部看病治疗、重大节日走访慰问活动。</w:t>
      </w:r>
    </w:p>
    <w:p>
      <w:pPr>
        <w:widowControl/>
        <w:spacing w:line="600" w:lineRule="exact"/>
        <w:ind w:firstLine="580"/>
        <w:jc w:val="left"/>
        <w:rPr>
          <w:rFonts w:hint="eastAsia" w:ascii="仿宋_GB2312" w:eastAsia="仿宋_GB2312"/>
          <w:color w:val="000000"/>
          <w:sz w:val="32"/>
          <w:szCs w:val="32"/>
        </w:rPr>
      </w:pPr>
      <w:r>
        <w:rPr>
          <w:rFonts w:hint="eastAsia" w:ascii="仿宋_GB2312" w:eastAsia="仿宋_GB2312"/>
          <w:color w:val="000000"/>
          <w:sz w:val="32"/>
          <w:szCs w:val="32"/>
        </w:rPr>
        <w:t>（三）抓好老干部党支部建设工作；指导老干部工作发挥作用；协助有关部门做好老干部思想政治工作。</w:t>
      </w:r>
    </w:p>
    <w:p>
      <w:pPr>
        <w:widowControl/>
        <w:spacing w:line="600" w:lineRule="exact"/>
        <w:ind w:firstLine="580"/>
        <w:jc w:val="left"/>
        <w:rPr>
          <w:rFonts w:ascii="仿宋_GB2312" w:hAnsi="黑体" w:eastAsia="仿宋_GB2312" w:cs="仿宋_GB2312"/>
          <w:sz w:val="32"/>
          <w:szCs w:val="32"/>
        </w:rPr>
      </w:pPr>
      <w:r>
        <w:rPr>
          <w:rFonts w:hint="eastAsia" w:ascii="仿宋_GB2312" w:eastAsia="仿宋_GB2312"/>
          <w:color w:val="000000"/>
          <w:sz w:val="32"/>
          <w:szCs w:val="32"/>
        </w:rPr>
        <w:t>（四）负责开展关心、教育下一代工作，动员、组织离退休老同志对青少年开展思想政治教育，引导青少年树立正确的世界观、人生观和价值观。</w:t>
      </w:r>
    </w:p>
    <w:p>
      <w:pPr>
        <w:pStyle w:val="6"/>
        <w:numPr>
          <w:ilvl w:val="0"/>
          <w:numId w:val="0"/>
        </w:numPr>
        <w:ind w:leftChars="0"/>
        <w:jc w:val="left"/>
        <w:rPr>
          <w:rFonts w:ascii="黑体" w:hAnsi="黑体" w:eastAsia="黑体" w:cs="仿宋_GB2312"/>
          <w:sz w:val="32"/>
          <w:szCs w:val="32"/>
        </w:rPr>
      </w:pPr>
    </w:p>
    <w:p>
      <w:pPr>
        <w:pStyle w:val="6"/>
        <w:numPr>
          <w:ilvl w:val="0"/>
          <w:numId w:val="5"/>
        </w:numPr>
        <w:ind w:firstLineChars="0"/>
        <w:jc w:val="left"/>
        <w:outlineLvl w:val="0"/>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lang w:eastAsia="zh-CN"/>
        </w:rPr>
        <w:t>纳入白沙县委老干部局</w:t>
      </w:r>
      <w:r>
        <w:rPr>
          <w:rFonts w:hint="eastAsia" w:ascii="黑体" w:hAnsi="黑体" w:eastAsia="黑体" w:cs="仿宋_GB2312"/>
          <w:sz w:val="32"/>
          <w:szCs w:val="32"/>
          <w:lang w:val="en-US" w:eastAsia="zh-CN"/>
        </w:rPr>
        <w:t>2019</w:t>
      </w:r>
      <w:r>
        <w:rPr>
          <w:rFonts w:hint="eastAsia" w:ascii="黑体" w:hAnsi="黑体" w:eastAsia="黑体" w:cs="仿宋_GB2312"/>
          <w:sz w:val="32"/>
          <w:szCs w:val="32"/>
          <w:lang w:eastAsia="zh-CN"/>
        </w:rPr>
        <w:t>年度部门预算编制范围的二级预算单位包括：</w:t>
      </w:r>
    </w:p>
    <w:p>
      <w:pPr>
        <w:pStyle w:val="6"/>
        <w:numPr>
          <w:ilvl w:val="0"/>
          <w:numId w:val="0"/>
        </w:numPr>
        <w:ind w:leftChars="0"/>
        <w:jc w:val="left"/>
        <w:rPr>
          <w:rFonts w:hint="eastAsia" w:ascii="仿宋" w:hAnsi="仿宋" w:eastAsia="仿宋" w:cs="仿宋"/>
          <w:color w:val="000000"/>
          <w:kern w:val="0"/>
          <w:sz w:val="32"/>
          <w:szCs w:val="32"/>
          <w:lang w:val="en-US" w:eastAsia="zh-CN" w:bidi="ar-SA"/>
        </w:rPr>
      </w:pPr>
      <w:r>
        <w:rPr>
          <w:rFonts w:hint="eastAsia" w:ascii="黑体" w:hAnsi="黑体" w:eastAsia="黑体" w:cs="仿宋_GB2312"/>
          <w:sz w:val="32"/>
          <w:szCs w:val="32"/>
          <w:lang w:val="en-US"/>
        </w:rPr>
        <w:t xml:space="preserve">1. </w:t>
      </w:r>
      <w:r>
        <w:rPr>
          <w:rFonts w:hint="eastAsia" w:ascii="黑体" w:hAnsi="黑体" w:eastAsia="黑体" w:cs="仿宋_GB2312"/>
          <w:sz w:val="32"/>
          <w:szCs w:val="32"/>
          <w:lang w:eastAsia="zh-CN"/>
        </w:rPr>
        <w:t>委老干部局部门本级</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2.县关工委</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3.县老体协</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4.县老促会</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5.县老年大学</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6.县老年民间艺术团</w:t>
      </w:r>
    </w:p>
    <w:p>
      <w:pPr>
        <w:rPr>
          <w:rFonts w:hint="eastAsia" w:ascii="仿宋" w:hAnsi="仿宋" w:eastAsia="仿宋" w:cs="仿宋"/>
          <w:color w:val="000000"/>
          <w:kern w:val="0"/>
          <w:sz w:val="32"/>
          <w:szCs w:val="32"/>
          <w:lang w:val="en-US" w:eastAsia="zh-CN"/>
        </w:rPr>
      </w:pPr>
    </w:p>
    <w:p>
      <w:pPr>
        <w:ind w:firstLine="640" w:firstLineChars="200"/>
        <w:rPr>
          <w:rFonts w:hint="eastAsia" w:ascii="仿宋_GB2312" w:hAnsi="ˎ̥" w:eastAsia="仿宋_GB2312"/>
          <w:sz w:val="32"/>
          <w:szCs w:val="32"/>
          <w:lang w:val="en-US" w:eastAsia="zh-CN"/>
        </w:rPr>
      </w:pPr>
      <w:r>
        <w:rPr>
          <w:rFonts w:hint="eastAsia" w:ascii="黑体" w:hAnsi="黑体" w:eastAsia="黑体" w:cs="仿宋_GB2312"/>
          <w:sz w:val="32"/>
          <w:szCs w:val="32"/>
        </w:rPr>
        <w:t>本部门编制数为</w:t>
      </w:r>
      <w:r>
        <w:rPr>
          <w:rFonts w:hint="eastAsia" w:ascii="黑体" w:hAnsi="黑体" w:eastAsia="黑体" w:cs="仿宋_GB2312"/>
          <w:sz w:val="32"/>
          <w:szCs w:val="32"/>
          <w:lang w:val="en-US" w:eastAsia="zh-CN"/>
        </w:rPr>
        <w:t>5</w:t>
      </w:r>
      <w:r>
        <w:rPr>
          <w:rFonts w:hint="eastAsia" w:ascii="黑体" w:hAnsi="黑体" w:eastAsia="黑体" w:cs="仿宋_GB2312"/>
          <w:sz w:val="32"/>
          <w:szCs w:val="32"/>
        </w:rPr>
        <w:t>人，现有在编人数为</w:t>
      </w:r>
      <w:r>
        <w:rPr>
          <w:rFonts w:hint="eastAsia" w:ascii="黑体" w:hAnsi="黑体" w:eastAsia="黑体" w:cs="仿宋_GB2312"/>
          <w:sz w:val="32"/>
          <w:szCs w:val="32"/>
          <w:lang w:val="en-US" w:eastAsia="zh-CN"/>
        </w:rPr>
        <w:t>5</w:t>
      </w:r>
      <w:r>
        <w:rPr>
          <w:rFonts w:hint="eastAsia" w:ascii="黑体" w:hAnsi="黑体" w:eastAsia="黑体" w:cs="仿宋_GB2312"/>
          <w:sz w:val="32"/>
          <w:szCs w:val="32"/>
        </w:rPr>
        <w:t>人。纳入本部门财务报告范围的资金主体主要包括：</w:t>
      </w:r>
      <w:r>
        <w:rPr>
          <w:rFonts w:hint="eastAsia" w:ascii="仿宋_GB2312" w:hAnsi="ˎ̥" w:eastAsia="仿宋_GB2312"/>
          <w:sz w:val="32"/>
          <w:szCs w:val="32"/>
          <w:lang w:val="en-US" w:eastAsia="zh-CN"/>
        </w:rPr>
        <w:t>一般公共预算资金。</w:t>
      </w:r>
    </w:p>
    <w:p>
      <w:pPr>
        <w:ind w:firstLine="645"/>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设</w:t>
      </w:r>
      <w:r>
        <w:rPr>
          <w:rFonts w:hint="eastAsia" w:ascii="仿宋" w:hAnsi="仿宋" w:eastAsia="仿宋" w:cs="仿宋"/>
          <w:color w:val="000000"/>
          <w:kern w:val="0"/>
          <w:sz w:val="32"/>
          <w:szCs w:val="32"/>
        </w:rPr>
        <w:t>县关工委、县老体协、县老促会、县老年大学</w:t>
      </w:r>
      <w:r>
        <w:rPr>
          <w:rFonts w:hint="eastAsia" w:ascii="仿宋" w:hAnsi="仿宋" w:eastAsia="仿宋" w:cs="仿宋"/>
          <w:color w:val="000000"/>
          <w:kern w:val="0"/>
          <w:sz w:val="32"/>
          <w:szCs w:val="32"/>
          <w:lang w:eastAsia="zh-CN"/>
        </w:rPr>
        <w:t>、县老年民间艺术团</w:t>
      </w:r>
      <w:r>
        <w:rPr>
          <w:rFonts w:hint="eastAsia" w:ascii="仿宋" w:hAnsi="仿宋" w:eastAsia="仿宋" w:cs="仿宋"/>
          <w:color w:val="000000"/>
          <w:kern w:val="0"/>
          <w:sz w:val="32"/>
          <w:szCs w:val="32"/>
          <w:lang w:val="en-US" w:eastAsia="zh-CN"/>
        </w:rPr>
        <w:t>5个职能机构。</w:t>
      </w:r>
    </w:p>
    <w:p>
      <w:pPr>
        <w:ind w:firstLine="645"/>
        <w:outlineLvl w:val="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白沙黎族自治县委老干部局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0万元、科学技术支出0万元、社会保障和就业支出544.20万元、卫生健康支出23.81万元、住房保障支出5.08万元</w:t>
      </w:r>
      <w:r>
        <w:rPr>
          <w:rFonts w:hint="eastAsia" w:ascii="仿宋_GB2312" w:hAnsi="黑体" w:eastAsia="仿宋_GB2312"/>
          <w:sz w:val="32"/>
          <w:szCs w:val="32"/>
        </w:rPr>
        <w:t>。</w:t>
      </w:r>
    </w:p>
    <w:p>
      <w:pPr>
        <w:ind w:firstLine="640"/>
        <w:jc w:val="left"/>
        <w:outlineLvl w:val="0"/>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白沙黎族自治县委老干部局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年一般公共预算当年拨款</w:t>
      </w:r>
      <w:r>
        <w:rPr>
          <w:rFonts w:hint="eastAsia" w:ascii="仿宋_GB2312" w:hAnsi="黑体" w:eastAsia="仿宋_GB2312" w:cs="仿宋_GB2312"/>
          <w:sz w:val="32"/>
          <w:szCs w:val="32"/>
          <w:lang w:val="en-US" w:eastAsia="zh-CN"/>
        </w:rPr>
        <w:t>573.09</w:t>
      </w:r>
      <w:r>
        <w:rPr>
          <w:rFonts w:hint="eastAsia" w:ascii="仿宋_GB2312" w:hAnsi="仿宋_GB2312"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77.56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今年的项目较去年相比增加了。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科学技术（类）支出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544.20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23.81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4.15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0.89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1.社会保障和就业支出（类）行政事业单位离退休（款）归口管理的行政单位离退休（项）</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社会保障和就业支出（类）行政事业单位离退休（款） 离退休人员管理机构（项）</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412.35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62.75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增加县老体协、县关工委、县老年大学、县老促会等项目支出。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社会保障和就业支出（类）行政事业单位离退休（款）  机关事业单位基本养老保险缴费支出（项）</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社保基数的调整。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社会保障和就业支出（类）行政事业单位离退休（款）   机关事业单位职业年金缴费支出（项）</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职业年金基数的调整。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 卫生健康支出（类）行政事业单位医疗（款）行政单位医疗（项）2019年预算数为23.81万元，比上年预算数增加20.21万元，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工资提高导致医疗保险和生育保险提高</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 卫生健康支出（类）行政事业单位医疗（款） 公务员医疗补助（项）2019年预算数为20.22万元。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住房保障（类） 住房改革支出（款）住房公积金（项）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outlineLvl w:val="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白沙黎族自治县委老干部局</w:t>
      </w:r>
      <w:r>
        <w:rPr>
          <w:rFonts w:hint="eastAsia" w:ascii="黑体" w:hAnsi="黑体" w:eastAsia="黑体"/>
          <w:sz w:val="32"/>
          <w:szCs w:val="32"/>
        </w:rPr>
        <w:t>（部门）</w:t>
      </w:r>
      <w:r>
        <w:rPr>
          <w:rFonts w:hint="eastAsia" w:ascii="仿宋_GB2312" w:hAnsi="黑体" w:eastAsia="仿宋_GB2312"/>
          <w:sz w:val="32"/>
          <w:szCs w:val="32"/>
          <w:lang w:val="en-US" w:eastAsia="zh-CN"/>
        </w:rPr>
        <w:t>2019</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白沙黎族自治县委老干部局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268.94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252.57</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、职业年金缴费</w:t>
      </w:r>
      <w:r>
        <w:rPr>
          <w:rFonts w:hint="eastAsia" w:ascii="仿宋_GB2312" w:hAnsi="黑体" w:eastAsia="仿宋_GB2312"/>
          <w:sz w:val="32"/>
          <w:szCs w:val="32"/>
          <w:lang w:eastAsia="zh-CN"/>
        </w:rPr>
        <w:t>、城镇职工基本医疗保险缴费、公务员医疗补助缴费、其他社会保障缴费、住房公积金、医疗费、其他工资福利支出、 对个人和家庭的补助、离休费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16.37</w:t>
      </w:r>
      <w:r>
        <w:rPr>
          <w:rFonts w:hint="eastAsia" w:ascii="仿宋_GB2312" w:hAnsi="黑体" w:eastAsia="仿宋_GB2312"/>
          <w:sz w:val="32"/>
          <w:szCs w:val="32"/>
        </w:rPr>
        <w:t>万元，主要包括： 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办公费、咨询费、手续费、水费、电费、</w:t>
      </w:r>
      <w:r>
        <w:rPr>
          <w:rFonts w:hint="eastAsia" w:ascii="仿宋_GB2312" w:hAnsi="黑体" w:eastAsia="仿宋_GB2312"/>
          <w:sz w:val="32"/>
          <w:szCs w:val="32"/>
          <w:lang w:eastAsia="zh-CN"/>
        </w:rPr>
        <w:t>邮电费、差旅费、维修（护）费、培训费、公务接待费、工会经费、福利费、公务用车运行维护费、资本性支出、 办公设备购置</w:t>
      </w:r>
      <w:r>
        <w:rPr>
          <w:rFonts w:hint="eastAsia" w:ascii="仿宋_GB2312" w:hAnsi="黑体" w:eastAsia="仿宋_GB2312"/>
          <w:sz w:val="32"/>
          <w:szCs w:val="32"/>
        </w:rPr>
        <w:t>。</w:t>
      </w:r>
    </w:p>
    <w:p>
      <w:pPr>
        <w:ind w:firstLine="640" w:firstLineChars="200"/>
        <w:outlineLvl w:val="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白沙黎族自治县委老干部局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zCs w:val="32"/>
          <w:lang w:eastAsia="zh-CN"/>
        </w:rPr>
        <w:t>白沙黎族自治县委老干部局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15.44</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b w:val="0"/>
          <w:bCs w:val="0"/>
          <w:sz w:val="32"/>
          <w:shd w:val="clear" w:color="auto" w:fill="FFFFFF"/>
        </w:rPr>
        <w:t>公务</w:t>
      </w:r>
      <w:r>
        <w:rPr>
          <w:rFonts w:hint="eastAsia" w:ascii="Times New Roman" w:hAnsi="Times New Roman" w:eastAsia="仿宋_GB2312" w:cs="Times New Roman"/>
          <w:sz w:val="32"/>
          <w:shd w:val="clear" w:color="auto" w:fill="FFFFFF"/>
        </w:rPr>
        <w:t>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10.84</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eastAsia="zh-CN"/>
        </w:rPr>
        <w:t>白沙黎族自治县委老干部局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0"/>
          <w:numId w:val="0"/>
        </w:numPr>
        <w:rPr>
          <w:rFonts w:hint="eastAsia" w:ascii="黑体" w:hAnsi="黑体" w:eastAsia="黑体" w:cs="Times New Roman"/>
          <w:sz w:val="32"/>
          <w:shd w:val="clear" w:color="auto" w:fill="FFFFFF"/>
        </w:rPr>
      </w:pPr>
      <w:r>
        <w:rPr>
          <w:rFonts w:hint="eastAsia" w:ascii="黑体" w:hAnsi="黑体" w:eastAsia="黑体"/>
          <w:sz w:val="32"/>
          <w:szCs w:val="32"/>
          <w:lang w:val="en-US" w:eastAsia="zh-CN"/>
        </w:rPr>
        <w:t xml:space="preserve">   </w:t>
      </w:r>
      <w:r>
        <w:rPr>
          <w:rFonts w:hint="eastAsia" w:ascii="Times New Roman" w:hAnsi="Times New Roman" w:eastAsia="仿宋_GB2312" w:cs="Times New Roman"/>
          <w:b w:val="0"/>
          <w:bCs w:val="0"/>
          <w:sz w:val="32"/>
          <w:shd w:val="clear" w:color="auto" w:fill="FFFFFF"/>
          <w:lang w:val="en-US" w:eastAsia="zh-CN"/>
        </w:rPr>
        <w:t xml:space="preserve"> </w:t>
      </w:r>
      <w:r>
        <w:rPr>
          <w:rFonts w:hint="eastAsia" w:ascii="Times New Roman" w:hAnsi="Times New Roman" w:eastAsia="仿宋_GB2312" w:cs="Times New Roman"/>
          <w:b w:val="0"/>
          <w:bCs w:val="0"/>
          <w:sz w:val="32"/>
          <w:shd w:val="clear" w:color="auto" w:fill="FFFFFF"/>
          <w:lang w:eastAsia="zh-CN"/>
        </w:rPr>
        <w:t>本单位无政府性基金预算。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白沙黎族自治县委老干部局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白沙黎族自治县委老干部局</w:t>
      </w:r>
      <w:r>
        <w:rPr>
          <w:rFonts w:hint="eastAsia" w:ascii="仿宋_GB2312" w:hAnsi="黑体" w:eastAsia="仿宋_GB2312" w:cs="仿宋_GB2312"/>
          <w:sz w:val="32"/>
          <w:szCs w:val="32"/>
        </w:rPr>
        <w:t>（部门）所有收入和支出均纳入部门预算管理。收入包括：经费拨款收入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、科学技术支出、社会保障和就业支出、卫生健康、住房保障支出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白沙黎族自治县委老干部局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白沙黎族自治县委老干部局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仿宋_GB2312" w:eastAsia="仿宋_GB2312" w:cs="仿宋_GB2312"/>
          <w:sz w:val="32"/>
          <w:szCs w:val="32"/>
          <w:lang w:eastAsia="zh-CN"/>
        </w:rPr>
        <w:t>白沙黎族自治县委老干部局</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2019</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白沙黎族自治县委老干部局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白沙黎族自治县委老干部局</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2019</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573.09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268.94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46.93</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304.15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53.07</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白沙县委老干部局</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县关工委、县老体协、县老促会、县老年大学</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19.37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白沙县委老干部局</w:t>
      </w:r>
      <w:r>
        <w:rPr>
          <w:rFonts w:hint="eastAsia" w:ascii="仿宋_GB2312" w:hAnsi="黑体" w:eastAsia="仿宋_GB2312" w:cs="仿宋_GB2312"/>
          <w:sz w:val="32"/>
          <w:szCs w:val="32"/>
        </w:rPr>
        <w:t>本级政府采购预算总额</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w:t>
      </w:r>
      <w:r>
        <w:rPr>
          <w:rFonts w:hint="eastAsia" w:ascii="仿宋_GB2312" w:hAnsi="黑体" w:eastAsia="仿宋_GB2312"/>
          <w:sz w:val="32"/>
          <w:szCs w:val="32"/>
          <w:lang w:eastAsia="zh-CN"/>
        </w:rPr>
        <w:t>，主要采购电脑、打印机等办公设备</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2018</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白沙县委老干部局</w:t>
      </w:r>
      <w:r>
        <w:rPr>
          <w:rFonts w:hint="eastAsia" w:ascii="仿宋_GB2312" w:hAnsi="黑体" w:eastAsia="仿宋_GB2312" w:cs="仿宋_GB2312"/>
          <w:sz w:val="32"/>
          <w:szCs w:val="32"/>
        </w:rPr>
        <w:t>本级及</w:t>
      </w:r>
      <w:r>
        <w:rPr>
          <w:rFonts w:hint="eastAsia" w:ascii="仿宋_GB2312" w:hAnsi="黑体" w:eastAsia="仿宋_GB2312" w:cs="仿宋_GB2312"/>
          <w:sz w:val="32"/>
          <w:szCs w:val="32"/>
          <w:lang w:eastAsia="zh-CN"/>
        </w:rPr>
        <w:t>挂靠</w:t>
      </w:r>
      <w:r>
        <w:rPr>
          <w:rFonts w:hint="eastAsia" w:ascii="仿宋_GB2312" w:hAnsi="黑体" w:eastAsia="仿宋_GB2312" w:cs="仿宋_GB2312"/>
          <w:sz w:val="32"/>
          <w:szCs w:val="32"/>
        </w:rPr>
        <w:t>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一般公务</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白沙黎族自治县委老干部局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41.4</w:t>
      </w:r>
      <w:r>
        <w:rPr>
          <w:rFonts w:hint="eastAsia" w:ascii="仿宋_GB2312" w:hAnsi="黑体" w:eastAsia="仿宋_GB2312"/>
          <w:sz w:val="32"/>
          <w:szCs w:val="32"/>
        </w:rPr>
        <w:t>万元。</w:t>
      </w:r>
    </w:p>
    <w:p>
      <w:pPr>
        <w:jc w:val="center"/>
        <w:rPr>
          <w:rFonts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w:t>
      </w:r>
      <w:r>
        <w:rPr>
          <w:rFonts w:ascii="仿宋_GB2312" w:hAnsi="宋体" w:eastAsia="仿宋_GB2312"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hint="eastAsia" w:ascii="仿宋_GB2312" w:hAnsi="宋体" w:eastAsia="仿宋_GB2312" w:cs="宋体"/>
          <w:color w:val="000000"/>
          <w:kern w:val="0"/>
          <w:sz w:val="32"/>
          <w:szCs w:val="30"/>
        </w:rPr>
        <w:t>、准公共服务</w:t>
      </w:r>
      <w:r>
        <w:rPr>
          <w:rFonts w:ascii="仿宋_GB2312" w:hAnsi="宋体" w:eastAsia="仿宋_GB2312" w:cs="宋体"/>
          <w:color w:val="000000"/>
          <w:kern w:val="0"/>
          <w:sz w:val="32"/>
          <w:szCs w:val="30"/>
        </w:rPr>
        <w:t>取得的财政资金。</w:t>
      </w:r>
    </w:p>
    <w:p>
      <w:pPr>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eastAsia="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十、国有资源(资产)有偿使用收入：指有偿转让国有资源（资产）使用费而取得的收入。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CB33A1"/>
    <w:multiLevelType w:val="singleLevel"/>
    <w:tmpl w:val="5ACB33A1"/>
    <w:lvl w:ilvl="0" w:tentative="0">
      <w:start w:val="5"/>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86240"/>
    <w:rsid w:val="00793A7F"/>
    <w:rsid w:val="007B3322"/>
    <w:rsid w:val="007E4EAF"/>
    <w:rsid w:val="009262C2"/>
    <w:rsid w:val="00926751"/>
    <w:rsid w:val="00947538"/>
    <w:rsid w:val="00995DA5"/>
    <w:rsid w:val="009F52FB"/>
    <w:rsid w:val="00A545A0"/>
    <w:rsid w:val="00C91D51"/>
    <w:rsid w:val="00CA7DBE"/>
    <w:rsid w:val="00CD7757"/>
    <w:rsid w:val="00DC65EF"/>
    <w:rsid w:val="00DD3FD8"/>
    <w:rsid w:val="00E3389C"/>
    <w:rsid w:val="00E73A4A"/>
    <w:rsid w:val="00ED50D0"/>
    <w:rsid w:val="00ED6580"/>
    <w:rsid w:val="00F91B44"/>
    <w:rsid w:val="00FB0A31"/>
    <w:rsid w:val="01641C4E"/>
    <w:rsid w:val="01AC4E3B"/>
    <w:rsid w:val="04683AF0"/>
    <w:rsid w:val="04A642E1"/>
    <w:rsid w:val="05007122"/>
    <w:rsid w:val="07273280"/>
    <w:rsid w:val="081C6E4E"/>
    <w:rsid w:val="08593A86"/>
    <w:rsid w:val="09D47D16"/>
    <w:rsid w:val="0A524364"/>
    <w:rsid w:val="0DD65E5F"/>
    <w:rsid w:val="0E027101"/>
    <w:rsid w:val="10EC78B1"/>
    <w:rsid w:val="1316266E"/>
    <w:rsid w:val="14B101B7"/>
    <w:rsid w:val="156111A4"/>
    <w:rsid w:val="19977CD5"/>
    <w:rsid w:val="1A912A75"/>
    <w:rsid w:val="1F117773"/>
    <w:rsid w:val="25531692"/>
    <w:rsid w:val="26F16822"/>
    <w:rsid w:val="270D34D9"/>
    <w:rsid w:val="28A81D13"/>
    <w:rsid w:val="28E8358F"/>
    <w:rsid w:val="2EC11D7E"/>
    <w:rsid w:val="309760BD"/>
    <w:rsid w:val="34004715"/>
    <w:rsid w:val="347619D0"/>
    <w:rsid w:val="34B33553"/>
    <w:rsid w:val="35DC0203"/>
    <w:rsid w:val="418D7AF8"/>
    <w:rsid w:val="45A33633"/>
    <w:rsid w:val="47D645CB"/>
    <w:rsid w:val="49B70C89"/>
    <w:rsid w:val="4F821BC4"/>
    <w:rsid w:val="524479B2"/>
    <w:rsid w:val="52FB12B3"/>
    <w:rsid w:val="56524A1C"/>
    <w:rsid w:val="58C27989"/>
    <w:rsid w:val="5D6B1E53"/>
    <w:rsid w:val="61B831C9"/>
    <w:rsid w:val="61C25AB9"/>
    <w:rsid w:val="624C1600"/>
    <w:rsid w:val="62E01189"/>
    <w:rsid w:val="64CA74B5"/>
    <w:rsid w:val="679E76D7"/>
    <w:rsid w:val="6A7560E6"/>
    <w:rsid w:val="6CA57B8A"/>
    <w:rsid w:val="6F5D0DE5"/>
    <w:rsid w:val="77377613"/>
    <w:rsid w:val="777F7BC2"/>
    <w:rsid w:val="78725678"/>
    <w:rsid w:val="78AE2400"/>
    <w:rsid w:val="7A33034A"/>
    <w:rsid w:val="7A485C66"/>
    <w:rsid w:val="7C274BD0"/>
    <w:rsid w:val="7DEF66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TotalTime>2</TotalTime>
  <ScaleCrop>false</ScaleCrop>
  <LinksUpToDate>false</LinksUpToDate>
  <CharactersWithSpaces>3645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 </cp:lastModifiedBy>
  <dcterms:modified xsi:type="dcterms:W3CDTF">2019-03-22T09:04:12Z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