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72"/>
          <w:szCs w:val="72"/>
        </w:rPr>
        <w:t>2019</w:t>
      </w:r>
      <w:r>
        <w:rPr>
          <w:rFonts w:hint="eastAsia"/>
          <w:sz w:val="84"/>
          <w:szCs w:val="84"/>
        </w:rPr>
        <w:t>年</w:t>
      </w:r>
      <w:r>
        <w:rPr>
          <w:rFonts w:hint="eastAsia"/>
          <w:sz w:val="72"/>
          <w:szCs w:val="72"/>
        </w:rPr>
        <w:t>白沙黎族自治县</w:t>
      </w:r>
      <w:r>
        <w:rPr>
          <w:rFonts w:hint="eastAsia"/>
          <w:sz w:val="72"/>
          <w:szCs w:val="72"/>
          <w:lang w:eastAsia="zh-CN"/>
        </w:rPr>
        <w:t>青松乡卫生</w:t>
      </w:r>
      <w:r>
        <w:rPr>
          <w:rFonts w:hint="eastAsia"/>
          <w:sz w:val="72"/>
          <w:szCs w:val="72"/>
        </w:rPr>
        <w:t>院</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2019年</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白沙黎族自治县青松乡卫生院（部门）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jc w:val="left"/>
        <w:rPr>
          <w:rFonts w:ascii="黑体" w:hAnsi="黑体" w:eastAsia="黑体" w:cs="仿宋_GB2312"/>
          <w:b/>
          <w:sz w:val="30"/>
          <w:szCs w:val="30"/>
        </w:rPr>
      </w:pPr>
      <w:r>
        <w:rPr>
          <w:rFonts w:hint="eastAsia" w:ascii="仿宋_GB2312" w:hAnsi="仿宋_GB2312" w:cs="仿宋_GB2312"/>
          <w:sz w:val="32"/>
          <w:szCs w:val="32"/>
        </w:rPr>
        <w:t>白沙黎族自治县</w:t>
      </w:r>
      <w:r>
        <w:rPr>
          <w:rFonts w:hint="eastAsia" w:ascii="仿宋_GB2312" w:hAnsi="仿宋_GB2312" w:cs="仿宋_GB2312"/>
          <w:sz w:val="32"/>
          <w:szCs w:val="32"/>
          <w:lang w:eastAsia="zh-CN"/>
        </w:rPr>
        <w:t>青松乡</w:t>
      </w:r>
      <w:r>
        <w:rPr>
          <w:rFonts w:hint="eastAsia" w:ascii="仿宋_GB2312" w:hAnsi="仿宋_GB2312" w:eastAsia="仿宋_GB2312" w:cs="仿宋_GB2312"/>
          <w:sz w:val="30"/>
          <w:szCs w:val="30"/>
        </w:rPr>
        <w:t>卫生院是白沙黎族自治县卫生和计划生育委员会直属乡镇事业医疗单位，主要宗旨业务范围是为人民身体健康提供医疗与预防保健服务医疗，常见病多发病护理，恢复期病人康复治疗与护理，预防保健，卫生技术人员培训，卫生监督与卫生信息管理。</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750" w:firstLineChars="25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纳入2019年度本部门预算编制范围的预算单位为：</w:t>
      </w:r>
    </w:p>
    <w:p>
      <w:pPr>
        <w:pStyle w:val="9"/>
        <w:ind w:left="720" w:firstLine="0" w:firstLineChars="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白沙黎族自治县</w:t>
      </w:r>
      <w:r>
        <w:rPr>
          <w:rFonts w:hint="eastAsia" w:ascii="仿宋_GB2312" w:eastAsia="仿宋_GB2312"/>
          <w:color w:val="000000" w:themeColor="text1"/>
          <w:sz w:val="30"/>
          <w:szCs w:val="30"/>
          <w:lang w:eastAsia="zh-CN"/>
          <w14:textFill>
            <w14:solidFill>
              <w14:schemeClr w14:val="tx1"/>
            </w14:solidFill>
          </w14:textFill>
        </w:rPr>
        <w:t>青松乡</w:t>
      </w:r>
      <w:r>
        <w:rPr>
          <w:rFonts w:hint="eastAsia" w:ascii="仿宋_GB2312" w:eastAsia="仿宋_GB2312"/>
          <w:color w:val="000000" w:themeColor="text1"/>
          <w:sz w:val="30"/>
          <w:szCs w:val="30"/>
          <w14:textFill>
            <w14:solidFill>
              <w14:schemeClr w14:val="tx1"/>
            </w14:solidFill>
          </w14:textFill>
        </w:rPr>
        <w:t>卫生院</w:t>
      </w:r>
    </w:p>
    <w:p>
      <w:pPr>
        <w:pStyle w:val="9"/>
        <w:ind w:left="720" w:firstLine="0" w:firstLineChars="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本部门的编制数为1</w:t>
      </w: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个，现有编制人员共12人。纳入本部门预算范围的资金主体主要包括：一般公共预算资金。</w:t>
      </w:r>
    </w:p>
    <w:p>
      <w:pPr>
        <w:pStyle w:val="9"/>
        <w:ind w:left="720" w:firstLine="0" w:firstLineChars="0"/>
        <w:rPr>
          <w:rFonts w:ascii="仿宋_GB2312" w:hAnsi="ˎ̥"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设公共卫生室、妇幼室、防保室、诊疗室、药房收费室、护士站等6个职能机构。</w:t>
      </w:r>
    </w:p>
    <w:p>
      <w:pPr>
        <w:ind w:firstLine="800" w:firstLineChars="250"/>
        <w:jc w:val="left"/>
        <w:rPr>
          <w:rFonts w:ascii="仿宋_GB2312" w:hAnsi="黑体" w:eastAsia="仿宋_GB2312" w:cs="仿宋_GB2312"/>
          <w:color w:val="000000" w:themeColor="text1"/>
          <w:sz w:val="32"/>
          <w:szCs w:val="32"/>
          <w14:textFill>
            <w14:solidFill>
              <w14:schemeClr w14:val="tx1"/>
            </w14:solidFill>
          </w14:textFill>
        </w:rPr>
      </w:pPr>
    </w:p>
    <w:p>
      <w:pPr>
        <w:ind w:firstLine="800" w:firstLineChars="250"/>
        <w:jc w:val="left"/>
        <w:rPr>
          <w:rFonts w:ascii="仿宋_GB2312" w:hAnsi="黑体" w:eastAsia="仿宋_GB2312" w:cs="仿宋_GB2312"/>
          <w:sz w:val="32"/>
          <w:szCs w:val="32"/>
        </w:rPr>
      </w:pPr>
    </w:p>
    <w:p>
      <w:pPr>
        <w:rPr>
          <w:rFonts w:ascii="黑体" w:hAnsi="黑体" w:eastAsia="黑体"/>
          <w:sz w:val="32"/>
          <w:szCs w:val="32"/>
        </w:rPr>
      </w:pPr>
      <w:r>
        <w:rPr>
          <w:rFonts w:hint="eastAsia" w:ascii="黑体" w:hAnsi="黑体" w:eastAsia="黑体"/>
          <w:sz w:val="32"/>
          <w:szCs w:val="32"/>
        </w:rPr>
        <w:t>第二部分 详见附件：</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白沙黎族自治县白沙卫生院2019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青松乡</w:t>
      </w:r>
      <w:r>
        <w:rPr>
          <w:rFonts w:hint="eastAsia" w:ascii="仿宋_GB2312" w:hAnsi="黑体" w:eastAsia="仿宋_GB2312" w:cs="仿宋_GB2312"/>
          <w:sz w:val="32"/>
          <w:szCs w:val="32"/>
        </w:rPr>
        <w:t>卫生院2019</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rPr>
        <w:t>支出总计</w:t>
      </w:r>
      <w:r>
        <w:rPr>
          <w:rFonts w:hint="eastAsia" w:ascii="仿宋_GB2312" w:hAnsi="黑体" w:eastAsia="仿宋_GB2312" w:cs="仿宋_GB2312"/>
          <w:sz w:val="32"/>
          <w:szCs w:val="32"/>
          <w:lang w:val="en-US" w:eastAsia="zh-CN"/>
        </w:rPr>
        <w:t>163.50</w:t>
      </w:r>
      <w:r>
        <w:rPr>
          <w:rFonts w:hint="eastAsia" w:ascii="仿宋_GB2312" w:hAnsi="黑体" w:eastAsia="仿宋_GB2312"/>
          <w:color w:val="000000" w:themeColor="text1"/>
          <w:sz w:val="32"/>
          <w:szCs w:val="32"/>
        </w:rPr>
        <w:t>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青松乡</w:t>
      </w:r>
      <w:r>
        <w:rPr>
          <w:rFonts w:hint="eastAsia" w:ascii="仿宋_GB2312" w:hAnsi="黑体" w:eastAsia="仿宋_GB2312" w:cs="仿宋_GB2312"/>
          <w:sz w:val="32"/>
          <w:szCs w:val="32"/>
        </w:rPr>
        <w:t>卫生院2019</w:t>
      </w:r>
      <w:r>
        <w:rPr>
          <w:rFonts w:hint="eastAsia" w:ascii="黑体" w:hAnsi="黑体" w:eastAsia="黑体"/>
          <w:sz w:val="32"/>
          <w:szCs w:val="32"/>
        </w:rPr>
        <w:t>年一般公共预算当年拨款情况说明</w:t>
      </w:r>
    </w:p>
    <w:p>
      <w:pPr>
        <w:ind w:firstLine="640"/>
        <w:jc w:val="left"/>
        <w:rPr>
          <w:rFonts w:ascii="楷体" w:hAnsi="楷体" w:eastAsia="楷体"/>
          <w:sz w:val="44"/>
          <w:szCs w:val="44"/>
        </w:rPr>
      </w:pPr>
      <w:r>
        <w:rPr>
          <w:rFonts w:hint="eastAsia" w:ascii="楷体" w:hAnsi="楷体" w:eastAsia="楷体"/>
          <w:sz w:val="44"/>
          <w:szCs w:val="44"/>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青松乡</w:t>
      </w:r>
      <w:r>
        <w:rPr>
          <w:rFonts w:hint="eastAsia" w:ascii="仿宋_GB2312" w:hAnsi="黑体" w:eastAsia="仿宋_GB2312" w:cs="仿宋_GB2312"/>
          <w:sz w:val="32"/>
          <w:szCs w:val="32"/>
        </w:rPr>
        <w:t>卫生院2019</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42.19</w:t>
      </w:r>
      <w:r>
        <w:rPr>
          <w:rFonts w:hint="eastAsia" w:ascii="仿宋_GB2312" w:hAnsi="黑体" w:eastAsia="仿宋_GB2312"/>
          <w:sz w:val="32"/>
          <w:szCs w:val="32"/>
        </w:rPr>
        <w:t>万元，</w:t>
      </w:r>
      <w:r>
        <w:rPr>
          <w:rFonts w:hint="eastAsia" w:ascii="仿宋_GB2312" w:hAnsi="黑体" w:eastAsia="仿宋_GB2312"/>
          <w:color w:val="auto"/>
          <w:sz w:val="32"/>
          <w:szCs w:val="32"/>
        </w:rPr>
        <w:t>主要是社会保障和就业支出，卫生健康支出，住房保障支出较去年相比增加了。</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万元，主要包括社会保障和就业（类）支出</w:t>
      </w:r>
      <w:r>
        <w:rPr>
          <w:rFonts w:hint="eastAsia" w:ascii="仿宋_GB2312" w:hAnsi="黑体" w:eastAsia="仿宋_GB2312"/>
          <w:color w:val="000000" w:themeColor="text1"/>
          <w:sz w:val="32"/>
          <w:szCs w:val="32"/>
          <w:lang w:val="en-US" w:eastAsia="zh-CN"/>
        </w:rPr>
        <w:t>19.82</w:t>
      </w:r>
      <w:r>
        <w:rPr>
          <w:rFonts w:hint="eastAsia" w:ascii="仿宋_GB2312" w:hAnsi="黑体" w:eastAsia="仿宋_GB2312"/>
          <w:color w:val="000000" w:themeColor="text1"/>
          <w:sz w:val="32"/>
          <w:szCs w:val="32"/>
        </w:rPr>
        <w:t>万，占</w:t>
      </w:r>
      <w:r>
        <w:rPr>
          <w:rFonts w:hint="eastAsia" w:ascii="仿宋_GB2312" w:hAnsi="黑体" w:eastAsia="仿宋_GB2312"/>
          <w:color w:val="000000" w:themeColor="text1"/>
          <w:sz w:val="32"/>
          <w:szCs w:val="32"/>
          <w:lang w:val="en-US" w:eastAsia="zh-CN"/>
        </w:rPr>
        <w:t>12.12</w:t>
      </w:r>
      <w:r>
        <w:rPr>
          <w:rFonts w:hint="eastAsia" w:ascii="仿宋_GB2312" w:hAnsi="黑体" w:eastAsia="仿宋_GB2312"/>
          <w:color w:val="000000" w:themeColor="text1"/>
          <w:sz w:val="32"/>
          <w:szCs w:val="32"/>
        </w:rPr>
        <w:t>%，卫生健康支出（类）支出</w:t>
      </w:r>
      <w:r>
        <w:rPr>
          <w:rFonts w:hint="eastAsia" w:ascii="仿宋_GB2312" w:hAnsi="黑体" w:eastAsia="仿宋_GB2312"/>
          <w:color w:val="000000" w:themeColor="text1"/>
          <w:sz w:val="32"/>
          <w:szCs w:val="32"/>
          <w:lang w:val="en-US" w:eastAsia="zh-CN"/>
        </w:rPr>
        <w:t>135.43</w:t>
      </w:r>
      <w:r>
        <w:rPr>
          <w:rFonts w:hint="eastAsia" w:ascii="仿宋_GB2312" w:hAnsi="黑体" w:eastAsia="仿宋_GB2312"/>
          <w:color w:val="000000" w:themeColor="text1"/>
          <w:sz w:val="32"/>
          <w:szCs w:val="32"/>
        </w:rPr>
        <w:t>万，占8</w:t>
      </w:r>
      <w:r>
        <w:rPr>
          <w:rFonts w:hint="eastAsia" w:ascii="仿宋_GB2312" w:hAnsi="黑体" w:eastAsia="仿宋_GB2312"/>
          <w:color w:val="000000" w:themeColor="text1"/>
          <w:sz w:val="32"/>
          <w:szCs w:val="32"/>
          <w:lang w:val="en-US" w:eastAsia="zh-CN"/>
        </w:rPr>
        <w:t>2.85</w:t>
      </w:r>
      <w:r>
        <w:rPr>
          <w:rFonts w:hint="eastAsia" w:ascii="仿宋_GB2312" w:hAnsi="黑体" w:eastAsia="仿宋_GB2312"/>
          <w:color w:val="000000" w:themeColor="text1"/>
          <w:sz w:val="32"/>
          <w:szCs w:val="32"/>
        </w:rPr>
        <w:t>%，住房保障（类）支出</w:t>
      </w:r>
      <w:r>
        <w:rPr>
          <w:rFonts w:hint="eastAsia" w:ascii="仿宋_GB2312" w:hAnsi="黑体" w:eastAsia="仿宋_GB2312"/>
          <w:color w:val="000000" w:themeColor="text1"/>
          <w:sz w:val="32"/>
          <w:szCs w:val="32"/>
          <w:lang w:val="en-US" w:eastAsia="zh-CN"/>
        </w:rPr>
        <w:t>8.24</w:t>
      </w:r>
      <w:r>
        <w:rPr>
          <w:rFonts w:hint="eastAsia" w:ascii="仿宋_GB2312" w:hAnsi="黑体" w:eastAsia="仿宋_GB2312"/>
          <w:color w:val="000000" w:themeColor="text1"/>
          <w:sz w:val="32"/>
          <w:szCs w:val="32"/>
        </w:rPr>
        <w:t>万，占5.</w:t>
      </w:r>
      <w:r>
        <w:rPr>
          <w:rFonts w:hint="eastAsia" w:ascii="仿宋_GB2312" w:hAnsi="黑体" w:eastAsia="仿宋_GB2312"/>
          <w:color w:val="000000" w:themeColor="text1"/>
          <w:sz w:val="32"/>
          <w:szCs w:val="32"/>
          <w:lang w:val="en-US" w:eastAsia="zh-CN"/>
        </w:rPr>
        <w:t>03</w:t>
      </w:r>
      <w:r>
        <w:rPr>
          <w:rFonts w:hint="eastAsia" w:ascii="仿宋_GB2312" w:hAnsi="黑体" w:eastAsia="仿宋_GB2312"/>
          <w:color w:val="000000" w:themeColor="text1"/>
          <w:sz w:val="32"/>
          <w:szCs w:val="32"/>
        </w:rPr>
        <w:t>%</w:t>
      </w:r>
      <w:r>
        <w:rPr>
          <w:rFonts w:hint="eastAsia" w:ascii="仿宋_GB2312" w:hAnsi="黑体" w:eastAsia="仿宋_GB2312"/>
          <w:sz w:val="32"/>
          <w:szCs w:val="32"/>
        </w:rPr>
        <w:t>。</w:t>
      </w:r>
    </w:p>
    <w:p>
      <w:pPr>
        <w:ind w:firstLine="31680"/>
        <w:jc w:val="center"/>
        <w:rPr>
          <w:rFonts w:ascii="楷体" w:hAnsi="楷体" w:eastAsia="楷体"/>
          <w:sz w:val="30"/>
          <w:szCs w:val="30"/>
        </w:rPr>
      </w:pPr>
      <w:r>
        <w:rPr>
          <w:rFonts w:hint="eastAsia" w:ascii="楷体" w:hAnsi="楷体" w:eastAsia="楷体"/>
          <w:sz w:val="30"/>
          <w:szCs w:val="30"/>
        </w:rPr>
        <w:t>三</w:t>
      </w:r>
      <w:r>
        <w:rPr>
          <w:rFonts w:hint="eastAsia" w:ascii="楷体" w:hAnsi="楷体" w:eastAsia="楷体"/>
          <w:sz w:val="36"/>
          <w:szCs w:val="36"/>
        </w:rPr>
        <w:t>(三）一般公共预算当年拨款具体使用情况</w:t>
      </w:r>
    </w:p>
    <w:p>
      <w:pPr>
        <w:ind w:firstLine="531" w:firstLineChars="177"/>
        <w:jc w:val="left"/>
        <w:rPr>
          <w:rFonts w:ascii="仿宋_GB2312" w:hAnsi="仿宋_GB2312" w:eastAsia="仿宋" w:cs="仿宋"/>
          <w:kern w:val="1"/>
          <w:sz w:val="32"/>
          <w:szCs w:val="32"/>
        </w:rPr>
      </w:pPr>
      <w:r>
        <w:rPr>
          <w:rFonts w:hint="eastAsia" w:ascii="仿宋_GB2312" w:hAnsi="仿宋_GB2312" w:eastAsia="仿宋_GB2312"/>
          <w:sz w:val="30"/>
          <w:szCs w:val="30"/>
        </w:rPr>
        <w:t>1、社会保障和就业(类)行政事业单位离退休(款)，机关事业单位基本养老保险缴费支出(项)2019年预算为</w:t>
      </w:r>
      <w:r>
        <w:rPr>
          <w:rFonts w:hint="eastAsia" w:ascii="仿宋_GB2312" w:hAnsi="仿宋_GB2312" w:eastAsia="仿宋_GB2312"/>
          <w:sz w:val="30"/>
          <w:szCs w:val="30"/>
          <w:lang w:val="en-US" w:eastAsia="zh-CN"/>
        </w:rPr>
        <w:t>19.82</w:t>
      </w:r>
      <w:r>
        <w:rPr>
          <w:rFonts w:hint="eastAsia" w:ascii="仿宋_GB2312" w:hAnsi="仿宋_GB2312"/>
          <w:sz w:val="30"/>
          <w:szCs w:val="30"/>
        </w:rPr>
        <w:t>万</w:t>
      </w:r>
      <w:r>
        <w:rPr>
          <w:rFonts w:hint="eastAsia" w:ascii="仿宋_GB2312" w:hAnsi="仿宋_GB2312" w:eastAsia="仿宋_GB2312"/>
          <w:sz w:val="30"/>
          <w:szCs w:val="30"/>
        </w:rPr>
        <w:t>，比上年预算数增加</w:t>
      </w:r>
      <w:r>
        <w:rPr>
          <w:rFonts w:hint="eastAsia" w:ascii="仿宋_GB2312" w:hAnsi="仿宋_GB2312" w:eastAsia="仿宋_GB2312"/>
          <w:sz w:val="30"/>
          <w:szCs w:val="30"/>
          <w:lang w:val="en-US" w:eastAsia="zh-CN"/>
        </w:rPr>
        <w:t>5.83</w:t>
      </w:r>
      <w:r>
        <w:rPr>
          <w:rFonts w:hint="eastAsia" w:ascii="仿宋_GB2312" w:hAnsi="仿宋_GB2312" w:eastAsia="仿宋_GB2312"/>
          <w:sz w:val="30"/>
          <w:szCs w:val="30"/>
        </w:rPr>
        <w:t>万元，</w:t>
      </w:r>
      <w:r>
        <w:rPr>
          <w:rFonts w:ascii="仿宋_GB2312" w:hAnsi="仿宋_GB2312" w:eastAsia="仿宋" w:cs="仿宋"/>
          <w:kern w:val="1"/>
          <w:sz w:val="32"/>
          <w:szCs w:val="32"/>
        </w:rPr>
        <w:t>主要是201</w:t>
      </w:r>
      <w:r>
        <w:rPr>
          <w:rFonts w:hint="eastAsia" w:ascii="仿宋_GB2312" w:hAnsi="仿宋_GB2312" w:eastAsia="仿宋" w:cs="仿宋"/>
          <w:kern w:val="1"/>
          <w:sz w:val="32"/>
          <w:szCs w:val="32"/>
        </w:rPr>
        <w:t>9</w:t>
      </w:r>
      <w:r>
        <w:rPr>
          <w:rFonts w:ascii="仿宋_GB2312" w:hAnsi="仿宋_GB2312" w:eastAsia="仿宋" w:cs="仿宋"/>
          <w:kern w:val="1"/>
          <w:sz w:val="32"/>
          <w:szCs w:val="32"/>
        </w:rPr>
        <w:t>年机关事业单位基本养老保险缴费</w:t>
      </w:r>
      <w:r>
        <w:rPr>
          <w:rFonts w:hint="eastAsia" w:ascii="仿宋_GB2312" w:hAnsi="仿宋_GB2312" w:eastAsia="仿宋" w:cs="仿宋"/>
          <w:kern w:val="1"/>
          <w:sz w:val="32"/>
          <w:szCs w:val="32"/>
        </w:rPr>
        <w:t>基数调整</w:t>
      </w:r>
      <w:r>
        <w:rPr>
          <w:rFonts w:ascii="仿宋_GB2312" w:hAnsi="仿宋_GB2312" w:eastAsia="仿宋" w:cs="仿宋"/>
          <w:kern w:val="1"/>
          <w:sz w:val="32"/>
          <w:szCs w:val="32"/>
        </w:rPr>
        <w:t>。</w:t>
      </w:r>
    </w:p>
    <w:p>
      <w:pPr>
        <w:ind w:firstLine="600" w:firstLineChars="200"/>
        <w:jc w:val="left"/>
        <w:rPr>
          <w:rFonts w:ascii="仿宋_GB2312" w:hAnsi="仿宋_GB2312" w:eastAsia="仿宋" w:cs="仿宋"/>
          <w:kern w:val="1"/>
          <w:sz w:val="32"/>
          <w:szCs w:val="32"/>
        </w:rPr>
      </w:pPr>
      <w:r>
        <w:rPr>
          <w:rFonts w:hint="eastAsia" w:ascii="仿宋_GB2312" w:hAnsi="仿宋_GB2312" w:eastAsia="仿宋_GB2312"/>
          <w:sz w:val="30"/>
          <w:szCs w:val="30"/>
        </w:rPr>
        <w:t>2、社会保障和就业(类)行政事业单位离退休(款)机关事业单位职业年金缴费支出(项)2019年预算为</w:t>
      </w:r>
      <w:r>
        <w:rPr>
          <w:rFonts w:hint="eastAsia" w:ascii="仿宋_GB2312" w:hAnsi="仿宋_GB2312" w:eastAsia="仿宋_GB2312"/>
          <w:sz w:val="30"/>
          <w:szCs w:val="30"/>
          <w:lang w:val="en-US" w:eastAsia="zh-CN"/>
        </w:rPr>
        <w:t>5.49</w:t>
      </w:r>
      <w:r>
        <w:rPr>
          <w:rFonts w:hint="eastAsia" w:ascii="仿宋_GB2312" w:hAnsi="仿宋_GB2312"/>
          <w:sz w:val="30"/>
          <w:szCs w:val="30"/>
        </w:rPr>
        <w:t>万</w:t>
      </w:r>
      <w:r>
        <w:rPr>
          <w:rFonts w:hint="eastAsia" w:ascii="仿宋_GB2312" w:hAnsi="仿宋_GB2312" w:eastAsia="仿宋_GB2312"/>
          <w:sz w:val="30"/>
          <w:szCs w:val="30"/>
        </w:rPr>
        <w:t>，</w:t>
      </w:r>
      <w:r>
        <w:rPr>
          <w:rFonts w:hint="eastAsia" w:ascii="仿宋_GB2312" w:hAnsi="仿宋_GB2312" w:eastAsia="仿宋" w:cs="仿宋"/>
          <w:kern w:val="1"/>
          <w:sz w:val="32"/>
          <w:szCs w:val="32"/>
        </w:rPr>
        <w:t>因</w:t>
      </w:r>
      <w:r>
        <w:rPr>
          <w:rFonts w:ascii="仿宋_GB2312" w:hAnsi="仿宋_GB2312" w:eastAsia="仿宋" w:cs="仿宋"/>
          <w:kern w:val="1"/>
          <w:sz w:val="32"/>
          <w:szCs w:val="32"/>
        </w:rPr>
        <w:t>上年机关事业单位</w:t>
      </w:r>
      <w:r>
        <w:rPr>
          <w:rFonts w:hint="eastAsia" w:ascii="仿宋_GB2312" w:hAnsi="仿宋_GB2312" w:eastAsia="仿宋" w:cs="仿宋"/>
          <w:kern w:val="1"/>
          <w:sz w:val="32"/>
          <w:szCs w:val="32"/>
        </w:rPr>
        <w:t>职业年金</w:t>
      </w:r>
      <w:r>
        <w:rPr>
          <w:rFonts w:ascii="仿宋_GB2312" w:hAnsi="仿宋_GB2312" w:eastAsia="仿宋" w:cs="仿宋"/>
          <w:kern w:val="1"/>
          <w:sz w:val="32"/>
          <w:szCs w:val="32"/>
        </w:rPr>
        <w:t>缴费支出预算数</w:t>
      </w:r>
      <w:r>
        <w:rPr>
          <w:rFonts w:hint="eastAsia" w:ascii="仿宋_GB2312" w:hAnsi="仿宋_GB2312" w:eastAsia="仿宋" w:cs="仿宋"/>
          <w:kern w:val="1"/>
          <w:sz w:val="32"/>
          <w:szCs w:val="32"/>
        </w:rPr>
        <w:t>没有</w:t>
      </w:r>
      <w:r>
        <w:rPr>
          <w:rFonts w:ascii="仿宋_GB2312" w:hAnsi="仿宋_GB2312" w:eastAsia="仿宋" w:cs="仿宋"/>
          <w:kern w:val="1"/>
          <w:sz w:val="32"/>
          <w:szCs w:val="32"/>
        </w:rPr>
        <w:t>，</w:t>
      </w:r>
      <w:r>
        <w:rPr>
          <w:rFonts w:hint="eastAsia" w:ascii="仿宋_GB2312" w:hAnsi="仿宋_GB2312" w:eastAsia="仿宋" w:cs="仿宋"/>
          <w:kern w:val="1"/>
          <w:sz w:val="32"/>
          <w:szCs w:val="32"/>
        </w:rPr>
        <w:t>所以跟上年没有可比性</w:t>
      </w:r>
      <w:r>
        <w:rPr>
          <w:rFonts w:ascii="仿宋_GB2312" w:hAnsi="仿宋_GB2312" w:eastAsia="仿宋" w:cs="仿宋"/>
          <w:kern w:val="1"/>
          <w:sz w:val="32"/>
          <w:szCs w:val="32"/>
        </w:rPr>
        <w:t>。</w:t>
      </w:r>
    </w:p>
    <w:p>
      <w:pPr>
        <w:rPr>
          <w:rFonts w:ascii="仿宋_GB2312" w:hAnsi="仿宋_GB2312" w:eastAsia="仿宋" w:cs="仿宋"/>
          <w:kern w:val="1"/>
          <w:sz w:val="32"/>
          <w:szCs w:val="32"/>
        </w:rPr>
      </w:pPr>
      <w:r>
        <w:rPr>
          <w:rFonts w:hint="eastAsia" w:ascii="仿宋_GB2312" w:hAnsi="仿宋_GB2312" w:eastAsia="仿宋_GB2312"/>
          <w:sz w:val="30"/>
          <w:szCs w:val="30"/>
        </w:rPr>
        <w:t xml:space="preserve"> 3、社会保障和就业(类)抚恤(款)其他优抚支出(项)2019年预算数为</w:t>
      </w:r>
      <w:r>
        <w:rPr>
          <w:rFonts w:hint="eastAsia" w:ascii="仿宋_GB2312" w:hAnsi="仿宋_GB2312" w:eastAsia="仿宋_GB2312"/>
          <w:sz w:val="30"/>
          <w:szCs w:val="30"/>
          <w:lang w:val="en-US" w:eastAsia="zh-CN"/>
        </w:rPr>
        <w:t>0.59</w:t>
      </w:r>
      <w:r>
        <w:rPr>
          <w:rFonts w:hint="eastAsia" w:ascii="仿宋_GB2312" w:hAnsi="仿宋_GB2312"/>
          <w:sz w:val="30"/>
          <w:szCs w:val="30"/>
        </w:rPr>
        <w:t>万</w:t>
      </w:r>
      <w:r>
        <w:rPr>
          <w:rFonts w:hint="eastAsia" w:ascii="仿宋_GB2312" w:hAnsi="仿宋_GB2312" w:eastAsia="仿宋_GB2312"/>
          <w:sz w:val="30"/>
          <w:szCs w:val="30"/>
        </w:rPr>
        <w:t>，</w:t>
      </w:r>
      <w:r>
        <w:rPr>
          <w:rFonts w:ascii="仿宋_GB2312" w:hAnsi="仿宋_GB2312" w:eastAsia="仿宋" w:cs="仿宋"/>
          <w:kern w:val="1"/>
          <w:sz w:val="32"/>
          <w:szCs w:val="32"/>
        </w:rPr>
        <w:t>主要是遗属的支出。</w:t>
      </w:r>
      <w:r>
        <w:rPr>
          <w:rFonts w:hint="eastAsia" w:ascii="仿宋_GB2312" w:hAnsi="仿宋_GB2312" w:eastAsia="仿宋" w:cs="仿宋"/>
          <w:kern w:val="1"/>
          <w:sz w:val="32"/>
          <w:szCs w:val="32"/>
        </w:rPr>
        <w:t>因</w:t>
      </w:r>
      <w:r>
        <w:rPr>
          <w:rFonts w:ascii="仿宋_GB2312" w:hAnsi="仿宋_GB2312" w:eastAsia="仿宋" w:cs="仿宋"/>
          <w:kern w:val="1"/>
          <w:sz w:val="32"/>
          <w:szCs w:val="32"/>
        </w:rPr>
        <w:t>上年遗属的支出预算数</w:t>
      </w:r>
      <w:r>
        <w:rPr>
          <w:rFonts w:hint="eastAsia" w:ascii="仿宋_GB2312" w:hAnsi="仿宋_GB2312" w:eastAsia="仿宋" w:cs="仿宋"/>
          <w:kern w:val="1"/>
          <w:sz w:val="32"/>
          <w:szCs w:val="32"/>
        </w:rPr>
        <w:t>没有</w:t>
      </w:r>
      <w:r>
        <w:rPr>
          <w:rFonts w:hint="eastAsia" w:ascii="仿宋_GB2312" w:hAnsi="仿宋_GB2312" w:eastAsia="仿宋" w:cs="仿宋"/>
          <w:kern w:val="1"/>
          <w:sz w:val="32"/>
          <w:szCs w:val="32"/>
          <w:lang w:eastAsia="zh-CN"/>
        </w:rPr>
        <w:t>、</w:t>
      </w:r>
      <w:r>
        <w:rPr>
          <w:rFonts w:hint="eastAsia" w:ascii="仿宋_GB2312" w:hAnsi="仿宋_GB2312" w:eastAsia="仿宋" w:cs="仿宋"/>
          <w:kern w:val="1"/>
          <w:sz w:val="32"/>
          <w:szCs w:val="32"/>
        </w:rPr>
        <w:t>所以跟上年没有可比性</w:t>
      </w:r>
      <w:r>
        <w:rPr>
          <w:rFonts w:ascii="仿宋_GB2312" w:hAnsi="仿宋_GB2312" w:eastAsia="仿宋" w:cs="仿宋"/>
          <w:kern w:val="1"/>
          <w:sz w:val="32"/>
          <w:szCs w:val="32"/>
        </w:rPr>
        <w:t>。</w:t>
      </w:r>
    </w:p>
    <w:p>
      <w:pPr>
        <w:ind w:firstLine="531" w:firstLineChars="177"/>
        <w:rPr>
          <w:rFonts w:ascii="仿宋_GB2312" w:hAnsi="仿宋_GB2312" w:eastAsia="仿宋" w:cs="仿宋"/>
          <w:kern w:val="1"/>
          <w:sz w:val="32"/>
          <w:szCs w:val="32"/>
        </w:rPr>
      </w:pPr>
      <w:r>
        <w:rPr>
          <w:rFonts w:hint="eastAsia" w:ascii="仿宋_GB2312" w:hAnsi="仿宋_GB2312" w:eastAsia="仿宋_GB2312"/>
          <w:sz w:val="30"/>
          <w:szCs w:val="30"/>
        </w:rPr>
        <w:t xml:space="preserve"> 4、卫生健康支出(类)基层医疗卫生机构(款)乡镇卫生院2019年预算数为</w:t>
      </w:r>
      <w:r>
        <w:rPr>
          <w:rFonts w:hint="eastAsia" w:ascii="仿宋_GB2312" w:hAnsi="仿宋_GB2312" w:eastAsia="仿宋_GB2312"/>
          <w:sz w:val="30"/>
          <w:szCs w:val="30"/>
          <w:lang w:val="en-US" w:eastAsia="zh-CN"/>
        </w:rPr>
        <w:t>120.91</w:t>
      </w:r>
      <w:r>
        <w:rPr>
          <w:rFonts w:hint="eastAsia" w:ascii="仿宋_GB2312" w:hAnsi="仿宋_GB2312" w:eastAsia="仿宋_GB2312"/>
          <w:sz w:val="30"/>
          <w:szCs w:val="30"/>
        </w:rPr>
        <w:t>万,比上年预算数增加</w:t>
      </w:r>
      <w:r>
        <w:rPr>
          <w:rFonts w:hint="eastAsia" w:ascii="仿宋_GB2312" w:hAnsi="仿宋_GB2312" w:eastAsia="仿宋_GB2312"/>
          <w:sz w:val="30"/>
          <w:szCs w:val="30"/>
          <w:lang w:val="en-US" w:eastAsia="zh-CN"/>
        </w:rPr>
        <w:t>37.35</w:t>
      </w:r>
      <w:r>
        <w:rPr>
          <w:rFonts w:hint="eastAsia" w:ascii="仿宋_GB2312" w:hAnsi="仿宋_GB2312" w:eastAsia="仿宋_GB2312"/>
          <w:sz w:val="30"/>
          <w:szCs w:val="30"/>
        </w:rPr>
        <w:t>万元,</w:t>
      </w:r>
      <w:r>
        <w:rPr>
          <w:rFonts w:ascii="仿宋_GB2312" w:hAnsi="仿宋_GB2312" w:eastAsia="仿宋" w:cs="仿宋"/>
          <w:kern w:val="1"/>
          <w:sz w:val="32"/>
          <w:szCs w:val="32"/>
        </w:rPr>
        <w:t xml:space="preserve"> 主要是201</w:t>
      </w:r>
      <w:r>
        <w:rPr>
          <w:rFonts w:hint="eastAsia" w:ascii="仿宋_GB2312" w:hAnsi="仿宋_GB2312" w:eastAsia="仿宋" w:cs="仿宋"/>
          <w:kern w:val="1"/>
          <w:sz w:val="32"/>
          <w:szCs w:val="32"/>
        </w:rPr>
        <w:t>9</w:t>
      </w:r>
      <w:r>
        <w:rPr>
          <w:rFonts w:ascii="仿宋_GB2312" w:hAnsi="仿宋_GB2312" w:eastAsia="仿宋" w:cs="仿宋"/>
          <w:kern w:val="1"/>
          <w:sz w:val="32"/>
          <w:szCs w:val="32"/>
        </w:rPr>
        <w:t>年</w:t>
      </w:r>
      <w:r>
        <w:rPr>
          <w:rFonts w:hint="eastAsia" w:ascii="仿宋_GB2312" w:hAnsi="仿宋_GB2312" w:eastAsia="仿宋" w:cs="仿宋"/>
          <w:kern w:val="1"/>
          <w:sz w:val="32"/>
          <w:szCs w:val="32"/>
        </w:rPr>
        <w:t>人员工资调整，</w:t>
      </w:r>
      <w:r>
        <w:rPr>
          <w:rFonts w:ascii="仿宋_GB2312" w:hAnsi="仿宋_GB2312" w:eastAsia="仿宋" w:cs="仿宋"/>
          <w:kern w:val="1"/>
          <w:sz w:val="32"/>
          <w:szCs w:val="32"/>
        </w:rPr>
        <w:t>基层医疗卫生</w:t>
      </w:r>
      <w:r>
        <w:rPr>
          <w:rFonts w:hint="eastAsia" w:ascii="仿宋_GB2312" w:hAnsi="仿宋_GB2312" w:eastAsia="仿宋" w:cs="仿宋"/>
          <w:kern w:val="1"/>
          <w:sz w:val="32"/>
          <w:szCs w:val="32"/>
        </w:rPr>
        <w:t>基数有所提高</w:t>
      </w:r>
      <w:r>
        <w:rPr>
          <w:rFonts w:ascii="仿宋_GB2312" w:hAnsi="仿宋_GB2312" w:eastAsia="仿宋" w:cs="仿宋"/>
          <w:kern w:val="1"/>
          <w:sz w:val="32"/>
          <w:szCs w:val="32"/>
        </w:rPr>
        <w:t>。</w:t>
      </w:r>
    </w:p>
    <w:p>
      <w:pPr>
        <w:rPr>
          <w:rFonts w:ascii="仿宋_GB2312" w:hAnsi="仿宋_GB2312" w:eastAsia="仿宋" w:cs="仿宋"/>
          <w:color w:val="FF0000"/>
          <w:kern w:val="1"/>
          <w:sz w:val="32"/>
          <w:szCs w:val="32"/>
        </w:rPr>
      </w:pPr>
      <w:r>
        <w:rPr>
          <w:rFonts w:hint="eastAsia" w:ascii="仿宋_GB2312" w:hAnsi="仿宋_GB2312" w:eastAsia="仿宋_GB2312"/>
          <w:sz w:val="30"/>
          <w:szCs w:val="30"/>
        </w:rPr>
        <w:t xml:space="preserve"> 5、卫生健康支出(类)行政事业单位医疗(款)事业单位医疗(项)2019年预算数为</w:t>
      </w:r>
      <w:r>
        <w:rPr>
          <w:rFonts w:hint="eastAsia" w:ascii="仿宋_GB2312" w:hAnsi="仿宋_GB2312" w:eastAsia="仿宋_GB2312"/>
          <w:sz w:val="30"/>
          <w:szCs w:val="30"/>
          <w:lang w:val="en-US" w:eastAsia="zh-CN"/>
        </w:rPr>
        <w:t>5.84</w:t>
      </w:r>
      <w:r>
        <w:rPr>
          <w:rFonts w:hint="eastAsia" w:ascii="仿宋_GB2312" w:hAnsi="仿宋_GB2312"/>
          <w:sz w:val="30"/>
          <w:szCs w:val="30"/>
        </w:rPr>
        <w:t>万</w:t>
      </w:r>
      <w:r>
        <w:rPr>
          <w:rFonts w:hint="eastAsia" w:ascii="仿宋_GB2312" w:hAnsi="仿宋_GB2312" w:eastAsia="仿宋_GB2312"/>
          <w:sz w:val="30"/>
          <w:szCs w:val="30"/>
        </w:rPr>
        <w:t>,跟上年预算数据</w:t>
      </w:r>
      <w:r>
        <w:rPr>
          <w:rFonts w:hint="eastAsia" w:ascii="仿宋_GB2312" w:hAnsi="仿宋_GB2312" w:eastAsia="仿宋_GB2312"/>
          <w:sz w:val="30"/>
          <w:szCs w:val="30"/>
          <w:lang w:eastAsia="zh-CN"/>
        </w:rPr>
        <w:t>减少</w:t>
      </w:r>
      <w:r>
        <w:rPr>
          <w:rFonts w:hint="eastAsia" w:ascii="仿宋_GB2312" w:hAnsi="仿宋_GB2312" w:eastAsia="仿宋_GB2312"/>
          <w:sz w:val="30"/>
          <w:szCs w:val="30"/>
          <w:lang w:val="en-US" w:eastAsia="zh-CN"/>
        </w:rPr>
        <w:t>0.11</w:t>
      </w:r>
      <w:r>
        <w:rPr>
          <w:rFonts w:hint="eastAsia" w:ascii="仿宋_GB2312" w:hAnsi="仿宋_GB2312" w:eastAsia="仿宋_GB2312"/>
          <w:sz w:val="30"/>
          <w:szCs w:val="30"/>
        </w:rPr>
        <w:t>万元，</w:t>
      </w:r>
      <w:r>
        <w:rPr>
          <w:rFonts w:ascii="仿宋_GB2312" w:hAnsi="仿宋_GB2312" w:eastAsia="仿宋" w:cs="仿宋"/>
          <w:color w:val="000000" w:themeColor="text1"/>
          <w:kern w:val="1"/>
          <w:sz w:val="32"/>
          <w:szCs w:val="32"/>
          <w14:textFill>
            <w14:solidFill>
              <w14:schemeClr w14:val="tx1"/>
            </w14:solidFill>
          </w14:textFill>
        </w:rPr>
        <w:t>主要是201</w:t>
      </w:r>
      <w:r>
        <w:rPr>
          <w:rFonts w:hint="eastAsia" w:ascii="仿宋_GB2312" w:hAnsi="仿宋_GB2312" w:eastAsia="仿宋" w:cs="仿宋"/>
          <w:color w:val="000000" w:themeColor="text1"/>
          <w:kern w:val="1"/>
          <w:sz w:val="32"/>
          <w:szCs w:val="32"/>
          <w14:textFill>
            <w14:solidFill>
              <w14:schemeClr w14:val="tx1"/>
            </w14:solidFill>
          </w14:textFill>
        </w:rPr>
        <w:t>9</w:t>
      </w:r>
      <w:r>
        <w:rPr>
          <w:rFonts w:ascii="仿宋_GB2312" w:hAnsi="仿宋_GB2312" w:eastAsia="仿宋" w:cs="仿宋"/>
          <w:color w:val="000000" w:themeColor="text1"/>
          <w:kern w:val="1"/>
          <w:sz w:val="32"/>
          <w:szCs w:val="32"/>
          <w14:textFill>
            <w14:solidFill>
              <w14:schemeClr w14:val="tx1"/>
            </w14:solidFill>
          </w14:textFill>
        </w:rPr>
        <w:t>年</w:t>
      </w:r>
      <w:r>
        <w:rPr>
          <w:rFonts w:hint="eastAsia" w:ascii="仿宋_GB2312" w:hAnsi="仿宋_GB2312" w:eastAsia="仿宋" w:cs="仿宋"/>
          <w:color w:val="000000" w:themeColor="text1"/>
          <w:kern w:val="1"/>
          <w:sz w:val="32"/>
          <w:szCs w:val="32"/>
          <w14:textFill>
            <w14:solidFill>
              <w14:schemeClr w14:val="tx1"/>
            </w14:solidFill>
          </w14:textFill>
        </w:rPr>
        <w:t>人员</w:t>
      </w:r>
      <w:r>
        <w:rPr>
          <w:rFonts w:hint="eastAsia" w:ascii="仿宋_GB2312" w:hAnsi="仿宋_GB2312" w:eastAsia="仿宋" w:cs="仿宋"/>
          <w:color w:val="000000" w:themeColor="text1"/>
          <w:kern w:val="1"/>
          <w:sz w:val="32"/>
          <w:szCs w:val="32"/>
          <w:lang w:eastAsia="zh-CN"/>
          <w14:textFill>
            <w14:solidFill>
              <w14:schemeClr w14:val="tx1"/>
            </w14:solidFill>
          </w14:textFill>
        </w:rPr>
        <w:t>死亡</w:t>
      </w:r>
      <w:r>
        <w:rPr>
          <w:rFonts w:hint="eastAsia" w:ascii="仿宋_GB2312" w:hAnsi="仿宋_GB2312" w:eastAsia="仿宋" w:cs="仿宋"/>
          <w:color w:val="000000" w:themeColor="text1"/>
          <w:kern w:val="1"/>
          <w:sz w:val="32"/>
          <w:szCs w:val="32"/>
          <w14:textFill>
            <w14:solidFill>
              <w14:schemeClr w14:val="tx1"/>
            </w14:solidFill>
          </w14:textFill>
        </w:rPr>
        <w:t>。</w:t>
      </w:r>
    </w:p>
    <w:p>
      <w:pPr>
        <w:ind w:firstLine="531" w:firstLineChars="177"/>
        <w:jc w:val="left"/>
        <w:rPr>
          <w:rFonts w:ascii="仿宋_GB2312" w:hAnsi="仿宋_GB2312" w:eastAsia="仿宋" w:cs="仿宋"/>
          <w:color w:val="000000" w:themeColor="text1"/>
          <w:kern w:val="1"/>
          <w:sz w:val="32"/>
          <w:szCs w:val="32"/>
          <w14:textFill>
            <w14:solidFill>
              <w14:schemeClr w14:val="tx1"/>
            </w14:solidFill>
          </w14:textFill>
        </w:rPr>
      </w:pPr>
      <w:r>
        <w:rPr>
          <w:rFonts w:hint="eastAsia" w:ascii="仿宋_GB2312" w:hAnsi="仿宋_GB2312" w:eastAsia="仿宋_GB2312"/>
          <w:sz w:val="30"/>
          <w:szCs w:val="30"/>
        </w:rPr>
        <w:t>6、卫生健康支出(类)行政事业单位医疗(款)公务员医疗补助(项)2019年预算数为</w:t>
      </w:r>
      <w:r>
        <w:rPr>
          <w:rFonts w:hint="eastAsia" w:ascii="仿宋_GB2312" w:hAnsi="仿宋_GB2312" w:eastAsia="仿宋_GB2312"/>
          <w:sz w:val="30"/>
          <w:szCs w:val="30"/>
          <w:lang w:val="en-US" w:eastAsia="zh-CN"/>
        </w:rPr>
        <w:t>8.68</w:t>
      </w:r>
      <w:r>
        <w:rPr>
          <w:rFonts w:hint="eastAsia" w:ascii="仿宋_GB2312" w:hAnsi="仿宋_GB2312"/>
          <w:sz w:val="30"/>
          <w:szCs w:val="30"/>
        </w:rPr>
        <w:t>万</w:t>
      </w:r>
      <w:r>
        <w:rPr>
          <w:rFonts w:hint="eastAsia" w:ascii="仿宋_GB2312" w:hAnsi="仿宋_GB2312" w:eastAsia="仿宋_GB2312"/>
          <w:sz w:val="30"/>
          <w:szCs w:val="30"/>
        </w:rPr>
        <w:t>,比上年预算数据</w:t>
      </w:r>
      <w:r>
        <w:rPr>
          <w:rFonts w:hint="eastAsia" w:ascii="仿宋_GB2312" w:hAnsi="仿宋_GB2312" w:eastAsia="仿宋_GB2312"/>
          <w:sz w:val="30"/>
          <w:szCs w:val="30"/>
          <w:lang w:eastAsia="zh-CN"/>
        </w:rPr>
        <w:t>减少</w:t>
      </w:r>
      <w:r>
        <w:rPr>
          <w:rFonts w:hint="eastAsia" w:ascii="仿宋_GB2312" w:hAnsi="仿宋_GB2312" w:eastAsia="仿宋_GB2312"/>
          <w:sz w:val="30"/>
          <w:szCs w:val="30"/>
          <w:lang w:val="en-US" w:eastAsia="zh-CN"/>
        </w:rPr>
        <w:t>0.75</w:t>
      </w:r>
      <w:r>
        <w:rPr>
          <w:rFonts w:hint="eastAsia" w:ascii="仿宋_GB2312" w:hAnsi="仿宋_GB2312" w:eastAsia="仿宋_GB2312"/>
          <w:sz w:val="30"/>
          <w:szCs w:val="30"/>
        </w:rPr>
        <w:t>万元，</w:t>
      </w:r>
      <w:r>
        <w:rPr>
          <w:rFonts w:ascii="仿宋_GB2312" w:hAnsi="仿宋_GB2312" w:eastAsia="仿宋" w:cs="仿宋"/>
          <w:color w:val="000000" w:themeColor="text1"/>
          <w:kern w:val="1"/>
          <w:sz w:val="32"/>
          <w:szCs w:val="32"/>
          <w14:textFill>
            <w14:solidFill>
              <w14:schemeClr w14:val="tx1"/>
            </w14:solidFill>
          </w14:textFill>
        </w:rPr>
        <w:t>主要是201</w:t>
      </w:r>
      <w:r>
        <w:rPr>
          <w:rFonts w:hint="eastAsia" w:ascii="仿宋_GB2312" w:hAnsi="仿宋_GB2312" w:eastAsia="仿宋" w:cs="仿宋"/>
          <w:color w:val="000000" w:themeColor="text1"/>
          <w:kern w:val="1"/>
          <w:sz w:val="32"/>
          <w:szCs w:val="32"/>
          <w14:textFill>
            <w14:solidFill>
              <w14:schemeClr w14:val="tx1"/>
            </w14:solidFill>
          </w14:textFill>
        </w:rPr>
        <w:t>9</w:t>
      </w:r>
      <w:r>
        <w:rPr>
          <w:rFonts w:ascii="仿宋_GB2312" w:hAnsi="仿宋_GB2312" w:eastAsia="仿宋" w:cs="仿宋"/>
          <w:color w:val="000000" w:themeColor="text1"/>
          <w:kern w:val="1"/>
          <w:sz w:val="32"/>
          <w:szCs w:val="32"/>
          <w14:textFill>
            <w14:solidFill>
              <w14:schemeClr w14:val="tx1"/>
            </w14:solidFill>
          </w14:textFill>
        </w:rPr>
        <w:t>年</w:t>
      </w:r>
      <w:r>
        <w:rPr>
          <w:rFonts w:hint="eastAsia" w:ascii="仿宋_GB2312" w:hAnsi="仿宋_GB2312" w:eastAsia="仿宋" w:cs="仿宋"/>
          <w:color w:val="000000" w:themeColor="text1"/>
          <w:kern w:val="1"/>
          <w:sz w:val="32"/>
          <w:szCs w:val="32"/>
          <w:lang w:eastAsia="zh-CN"/>
          <w14:textFill>
            <w14:solidFill>
              <w14:schemeClr w14:val="tx1"/>
            </w14:solidFill>
          </w14:textFill>
        </w:rPr>
        <w:t>有</w:t>
      </w:r>
      <w:r>
        <w:rPr>
          <w:rFonts w:hint="eastAsia" w:ascii="仿宋_GB2312" w:hAnsi="仿宋_GB2312" w:eastAsia="仿宋" w:cs="仿宋"/>
          <w:color w:val="000000" w:themeColor="text1"/>
          <w:kern w:val="1"/>
          <w:sz w:val="32"/>
          <w:szCs w:val="32"/>
          <w14:textFill>
            <w14:solidFill>
              <w14:schemeClr w14:val="tx1"/>
            </w14:solidFill>
          </w14:textFill>
        </w:rPr>
        <w:t>人员</w:t>
      </w:r>
      <w:r>
        <w:rPr>
          <w:rFonts w:hint="eastAsia" w:ascii="仿宋_GB2312" w:hAnsi="仿宋_GB2312" w:eastAsia="仿宋" w:cs="仿宋"/>
          <w:color w:val="000000" w:themeColor="text1"/>
          <w:kern w:val="1"/>
          <w:sz w:val="32"/>
          <w:szCs w:val="32"/>
          <w:lang w:eastAsia="zh-CN"/>
          <w14:textFill>
            <w14:solidFill>
              <w14:schemeClr w14:val="tx1"/>
            </w14:solidFill>
          </w14:textFill>
        </w:rPr>
        <w:t>死亡。</w:t>
      </w:r>
    </w:p>
    <w:p>
      <w:pPr>
        <w:ind w:firstLine="531" w:firstLineChars="177"/>
        <w:jc w:val="left"/>
        <w:rPr>
          <w:rFonts w:ascii="仿宋_GB2312" w:hAnsi="仿宋_GB2312" w:eastAsia="仿宋" w:cs="仿宋"/>
          <w:color w:val="000000" w:themeColor="text1"/>
          <w:kern w:val="1"/>
          <w:sz w:val="32"/>
          <w:szCs w:val="32"/>
          <w14:textFill>
            <w14:solidFill>
              <w14:schemeClr w14:val="tx1"/>
            </w14:solidFill>
          </w14:textFill>
        </w:rPr>
      </w:pPr>
      <w:r>
        <w:rPr>
          <w:rFonts w:hint="eastAsia" w:ascii="仿宋_GB2312" w:hAnsi="仿宋_GB2312" w:eastAsia="仿宋_GB2312"/>
          <w:sz w:val="30"/>
          <w:szCs w:val="30"/>
        </w:rPr>
        <w:t>7、住房保障(类)住房改革支出(款)、住房公积金(项)2019年预算数为</w:t>
      </w:r>
      <w:r>
        <w:rPr>
          <w:rFonts w:hint="eastAsia" w:ascii="仿宋_GB2312" w:hAnsi="仿宋_GB2312" w:eastAsia="仿宋_GB2312"/>
          <w:sz w:val="30"/>
          <w:szCs w:val="30"/>
          <w:lang w:val="en-US" w:eastAsia="zh-CN"/>
        </w:rPr>
        <w:t>8.24</w:t>
      </w:r>
      <w:r>
        <w:rPr>
          <w:rFonts w:hint="eastAsia" w:ascii="仿宋_GB2312" w:hAnsi="仿宋_GB2312"/>
          <w:sz w:val="30"/>
          <w:szCs w:val="30"/>
        </w:rPr>
        <w:t>万</w:t>
      </w:r>
      <w:r>
        <w:rPr>
          <w:rFonts w:hint="eastAsia" w:ascii="仿宋_GB2312" w:hAnsi="仿宋_GB2312" w:eastAsia="仿宋_GB2312"/>
          <w:sz w:val="30"/>
          <w:szCs w:val="30"/>
        </w:rPr>
        <w:t>，比上年预算数据</w:t>
      </w:r>
      <w:r>
        <w:rPr>
          <w:rFonts w:hint="eastAsia" w:ascii="仿宋_GB2312" w:hAnsi="仿宋_GB2312" w:eastAsia="仿宋_GB2312"/>
          <w:sz w:val="30"/>
          <w:szCs w:val="30"/>
          <w:lang w:eastAsia="zh-CN"/>
        </w:rPr>
        <w:t>减少</w:t>
      </w:r>
      <w:r>
        <w:rPr>
          <w:rFonts w:hint="eastAsia" w:ascii="仿宋_GB2312" w:hAnsi="仿宋_GB2312" w:eastAsia="仿宋_GB2312"/>
          <w:sz w:val="30"/>
          <w:szCs w:val="30"/>
          <w:lang w:val="en-US" w:eastAsia="zh-CN"/>
        </w:rPr>
        <w:t>0.15</w:t>
      </w:r>
      <w:r>
        <w:rPr>
          <w:rFonts w:hint="eastAsia" w:ascii="仿宋_GB2312" w:hAnsi="仿宋_GB2312" w:eastAsia="仿宋_GB2312"/>
          <w:sz w:val="30"/>
          <w:szCs w:val="30"/>
        </w:rPr>
        <w:t>万元，</w:t>
      </w:r>
      <w:r>
        <w:rPr>
          <w:rFonts w:ascii="仿宋_GB2312" w:hAnsi="仿宋_GB2312" w:eastAsia="仿宋" w:cs="仿宋"/>
          <w:kern w:val="1"/>
          <w:sz w:val="32"/>
          <w:szCs w:val="32"/>
        </w:rPr>
        <w:t>主要是</w:t>
      </w:r>
      <w:r>
        <w:rPr>
          <w:rFonts w:ascii="仿宋_GB2312" w:hAnsi="仿宋_GB2312" w:eastAsia="仿宋" w:cs="仿宋"/>
          <w:color w:val="000000" w:themeColor="text1"/>
          <w:kern w:val="1"/>
          <w:sz w:val="32"/>
          <w:szCs w:val="32"/>
          <w14:textFill>
            <w14:solidFill>
              <w14:schemeClr w14:val="tx1"/>
            </w14:solidFill>
          </w14:textFill>
        </w:rPr>
        <w:t>201</w:t>
      </w:r>
      <w:r>
        <w:rPr>
          <w:rFonts w:hint="eastAsia" w:ascii="仿宋_GB2312" w:hAnsi="仿宋_GB2312" w:eastAsia="仿宋" w:cs="仿宋"/>
          <w:color w:val="000000" w:themeColor="text1"/>
          <w:kern w:val="1"/>
          <w:sz w:val="32"/>
          <w:szCs w:val="32"/>
          <w14:textFill>
            <w14:solidFill>
              <w14:schemeClr w14:val="tx1"/>
            </w14:solidFill>
          </w14:textFill>
        </w:rPr>
        <w:t>9</w:t>
      </w:r>
      <w:r>
        <w:rPr>
          <w:rFonts w:ascii="仿宋_GB2312" w:hAnsi="仿宋_GB2312" w:eastAsia="仿宋" w:cs="仿宋"/>
          <w:color w:val="000000" w:themeColor="text1"/>
          <w:kern w:val="1"/>
          <w:sz w:val="32"/>
          <w:szCs w:val="32"/>
          <w14:textFill>
            <w14:solidFill>
              <w14:schemeClr w14:val="tx1"/>
            </w14:solidFill>
          </w14:textFill>
        </w:rPr>
        <w:t>年</w:t>
      </w:r>
      <w:r>
        <w:rPr>
          <w:rFonts w:hint="eastAsia" w:ascii="仿宋_GB2312" w:hAnsi="仿宋_GB2312" w:eastAsia="仿宋" w:cs="仿宋"/>
          <w:color w:val="000000" w:themeColor="text1"/>
          <w:kern w:val="1"/>
          <w:sz w:val="32"/>
          <w:szCs w:val="32"/>
          <w:lang w:eastAsia="zh-CN"/>
          <w14:textFill>
            <w14:solidFill>
              <w14:schemeClr w14:val="tx1"/>
            </w14:solidFill>
          </w14:textFill>
        </w:rPr>
        <w:t>有</w:t>
      </w:r>
      <w:r>
        <w:rPr>
          <w:rFonts w:hint="eastAsia" w:ascii="仿宋_GB2312" w:hAnsi="仿宋_GB2312" w:eastAsia="仿宋" w:cs="仿宋"/>
          <w:color w:val="000000" w:themeColor="text1"/>
          <w:kern w:val="1"/>
          <w:sz w:val="32"/>
          <w:szCs w:val="32"/>
          <w14:textFill>
            <w14:solidFill>
              <w14:schemeClr w14:val="tx1"/>
            </w14:solidFill>
          </w14:textFill>
        </w:rPr>
        <w:t>人员</w:t>
      </w:r>
      <w:r>
        <w:rPr>
          <w:rFonts w:hint="eastAsia" w:ascii="仿宋_GB2312" w:hAnsi="仿宋_GB2312" w:eastAsia="仿宋" w:cs="仿宋"/>
          <w:color w:val="000000" w:themeColor="text1"/>
          <w:kern w:val="1"/>
          <w:sz w:val="32"/>
          <w:szCs w:val="32"/>
          <w:lang w:eastAsia="zh-CN"/>
          <w14:textFill>
            <w14:solidFill>
              <w14:schemeClr w14:val="tx1"/>
            </w14:solidFill>
          </w14:textFill>
        </w:rPr>
        <w:t>死亡。</w:t>
      </w:r>
    </w:p>
    <w:p>
      <w:pPr>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b/>
          <w:bCs/>
          <w:sz w:val="32"/>
          <w:szCs w:val="32"/>
          <w:lang w:eastAsia="zh-CN"/>
        </w:rPr>
        <w:t>白沙黎族自治县青松乡卫生院（部门）</w:t>
      </w:r>
      <w:r>
        <w:rPr>
          <w:rFonts w:hint="eastAsia" w:ascii="仿宋_GB2312" w:hAnsi="黑体" w:eastAsia="仿宋_GB2312" w:cs="仿宋_GB2312"/>
          <w:sz w:val="32"/>
          <w:szCs w:val="32"/>
        </w:rPr>
        <w:t>2018</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青松乡</w:t>
      </w:r>
      <w:r>
        <w:rPr>
          <w:rFonts w:hint="eastAsia" w:ascii="仿宋_GB2312" w:hAnsi="黑体" w:eastAsia="仿宋_GB2312" w:cs="仿宋_GB2312"/>
          <w:sz w:val="32"/>
          <w:szCs w:val="32"/>
        </w:rPr>
        <w:t>卫生院2019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万元，其中：</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160.68</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主要包括：基本工资、津贴补贴、绩效工资、机关事业单位养老保险、职业年金、城镇职工医疗保险、其他社会保障缴费、生活补助、公务员医疗补助、医疗费、住房公积金。</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2.82</w:t>
      </w:r>
      <w:r>
        <w:rPr>
          <w:rFonts w:hint="eastAsia" w:ascii="仿宋_GB2312" w:hAnsi="黑体" w:eastAsia="仿宋_GB2312"/>
          <w:color w:val="000000" w:themeColor="text1"/>
          <w:sz w:val="32"/>
          <w:szCs w:val="32"/>
          <w14:textFill>
            <w14:solidFill>
              <w14:schemeClr w14:val="tx1"/>
            </w14:solidFill>
          </w14:textFill>
        </w:rPr>
        <w:t>万元，主要包括：商品和服务支出、邮电费、工会经费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青松乡</w:t>
      </w:r>
      <w:r>
        <w:rPr>
          <w:rFonts w:hint="eastAsia" w:ascii="仿宋_GB2312" w:hAnsi="黑体" w:eastAsia="仿宋_GB2312" w:cs="仿宋_GB2312"/>
          <w:sz w:val="32"/>
          <w:szCs w:val="32"/>
        </w:rPr>
        <w:t>卫生院2019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因公出国(境)经费没有安排,所以与上年预算数没有可比性。</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公务车购置及运行费没有，所以与上年预算数没有可比性。</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没有公务接待费用，所以与上年预算数没有可比性。</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白沙黎族自治县</w:t>
      </w:r>
      <w:r>
        <w:rPr>
          <w:rFonts w:hint="eastAsia" w:ascii="仿宋_GB2312" w:hAnsi="黑体" w:eastAsia="仿宋_GB2312" w:cs="仿宋_GB2312"/>
          <w:sz w:val="32"/>
          <w:szCs w:val="32"/>
          <w:lang w:eastAsia="zh-CN"/>
        </w:rPr>
        <w:t>青松乡</w:t>
      </w:r>
      <w:r>
        <w:rPr>
          <w:rFonts w:hint="eastAsia" w:ascii="仿宋_GB2312" w:hAnsi="黑体" w:eastAsia="仿宋_GB2312" w:cs="仿宋_GB2312"/>
          <w:sz w:val="32"/>
          <w:szCs w:val="32"/>
        </w:rPr>
        <w:t>卫生院(部门)2019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万元，主要是没有政府性基金预算。</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（二）政府性基金预算当年拨款结构情况</w:t>
      </w:r>
    </w:p>
    <w:p>
      <w:pPr>
        <w:ind w:firstLine="800" w:firstLineChars="25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科学技术支出（类）支出0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%；文化体育与传媒支出（类）</w:t>
      </w:r>
      <w:r>
        <w:rPr>
          <w:rFonts w:hint="eastAsia" w:ascii="仿宋_GB2312" w:hAnsi="黑体" w:eastAsia="仿宋_GB2312" w:cs="仿宋_GB2312"/>
          <w:color w:val="000000" w:themeColor="text1"/>
          <w:sz w:val="32"/>
          <w:szCs w:val="32"/>
        </w:rPr>
        <w:t>支出0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%；社会保障和就业支出（类）</w:t>
      </w:r>
      <w:r>
        <w:rPr>
          <w:rFonts w:hint="eastAsia" w:ascii="仿宋_GB2312" w:hAnsi="黑体" w:eastAsia="仿宋_GB2312" w:cs="仿宋_GB2312"/>
          <w:color w:val="000000" w:themeColor="text1"/>
          <w:sz w:val="32"/>
          <w:szCs w:val="32"/>
        </w:rPr>
        <w:t>支出0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%；节能环保（类）</w:t>
      </w:r>
      <w:r>
        <w:rPr>
          <w:rFonts w:hint="eastAsia" w:ascii="仿宋_GB2312" w:hAnsi="黑体" w:eastAsia="仿宋_GB2312" w:cs="仿宋_GB2312"/>
          <w:color w:val="000000" w:themeColor="text1"/>
          <w:sz w:val="32"/>
          <w:szCs w:val="32"/>
        </w:rPr>
        <w:t>支出0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rPr>
        <w:t>0</w:t>
      </w:r>
      <w:r>
        <w:rPr>
          <w:rFonts w:hint="eastAsia" w:ascii="仿宋_GB2312" w:hAnsi="黑体" w:eastAsia="仿宋_GB2312"/>
          <w:color w:val="000000" w:themeColor="text1"/>
          <w:sz w:val="32"/>
          <w:szCs w:val="32"/>
        </w:rPr>
        <w:t>%.</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（三）政府性基金预算当年拨款具体使用情况</w:t>
      </w:r>
    </w:p>
    <w:p>
      <w:pPr>
        <w:ind w:firstLine="643" w:firstLineChars="200"/>
        <w:rPr>
          <w:rFonts w:hint="eastAsia" w:ascii="仿宋_GB2312" w:hAnsi="黑体" w:eastAsia="仿宋_GB2312" w:cs="仿宋_GB2312"/>
          <w:b/>
          <w:bCs/>
          <w:color w:val="000000" w:themeColor="text1"/>
          <w:sz w:val="32"/>
          <w:szCs w:val="32"/>
          <w:lang w:eastAsia="zh-CN"/>
          <w14:textFill>
            <w14:solidFill>
              <w14:schemeClr w14:val="tx1"/>
            </w14:solidFill>
          </w14:textFill>
        </w:rPr>
      </w:pPr>
      <w:r>
        <w:rPr>
          <w:rFonts w:hint="eastAsia" w:ascii="仿宋_GB2312" w:hAnsi="黑体" w:eastAsia="仿宋_GB2312" w:cs="仿宋_GB2312"/>
          <w:b/>
          <w:bCs/>
          <w:color w:val="000000" w:themeColor="text1"/>
          <w:sz w:val="32"/>
          <w:szCs w:val="32"/>
          <w14:textFill>
            <w14:solidFill>
              <w14:schemeClr w14:val="tx1"/>
            </w14:solidFill>
          </w14:textFill>
        </w:rPr>
        <w:t>白沙黎族自治县</w:t>
      </w:r>
      <w:r>
        <w:rPr>
          <w:rFonts w:hint="eastAsia" w:ascii="仿宋_GB2312" w:hAnsi="黑体" w:eastAsia="仿宋_GB2312" w:cs="仿宋_GB2312"/>
          <w:b/>
          <w:bCs/>
          <w:color w:val="000000" w:themeColor="text1"/>
          <w:sz w:val="32"/>
          <w:szCs w:val="32"/>
          <w:lang w:eastAsia="zh-CN"/>
          <w14:textFill>
            <w14:solidFill>
              <w14:schemeClr w14:val="tx1"/>
            </w14:solidFill>
          </w14:textFill>
        </w:rPr>
        <w:t>青松乡</w:t>
      </w:r>
      <w:r>
        <w:rPr>
          <w:rFonts w:hint="eastAsia" w:ascii="仿宋_GB2312" w:hAnsi="黑体" w:eastAsia="仿宋_GB2312" w:cs="仿宋_GB2312"/>
          <w:b/>
          <w:bCs/>
          <w:color w:val="000000" w:themeColor="text1"/>
          <w:sz w:val="32"/>
          <w:szCs w:val="32"/>
          <w14:textFill>
            <w14:solidFill>
              <w14:schemeClr w14:val="tx1"/>
            </w14:solidFill>
          </w14:textFill>
        </w:rPr>
        <w:t>卫生院</w:t>
      </w:r>
      <w:r>
        <w:rPr>
          <w:rFonts w:hint="eastAsia" w:ascii="仿宋_GB2312" w:hAnsi="黑体" w:eastAsia="仿宋_GB2312" w:cs="仿宋_GB2312"/>
          <w:b/>
          <w:bCs/>
          <w:color w:val="000000" w:themeColor="text1"/>
          <w:sz w:val="32"/>
          <w:szCs w:val="32"/>
          <w:lang w:eastAsia="zh-CN"/>
          <w14:textFill>
            <w14:solidFill>
              <w14:schemeClr w14:val="tx1"/>
            </w14:solidFill>
          </w14:textFill>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b/>
          <w:bCs/>
          <w:sz w:val="32"/>
          <w:szCs w:val="32"/>
        </w:rPr>
        <w:t>白沙黎族自治县</w:t>
      </w:r>
      <w:r>
        <w:rPr>
          <w:rFonts w:hint="eastAsia" w:ascii="仿宋_GB2312" w:hAnsi="黑体" w:eastAsia="仿宋_GB2312" w:cs="仿宋_GB2312"/>
          <w:b/>
          <w:bCs/>
          <w:sz w:val="32"/>
          <w:szCs w:val="32"/>
          <w:lang w:eastAsia="zh-CN"/>
        </w:rPr>
        <w:t>青松乡</w:t>
      </w:r>
      <w:r>
        <w:rPr>
          <w:rFonts w:hint="eastAsia" w:ascii="仿宋_GB2312" w:hAnsi="黑体" w:eastAsia="仿宋_GB2312" w:cs="仿宋_GB2312"/>
          <w:b/>
          <w:bCs/>
          <w:sz w:val="32"/>
          <w:szCs w:val="32"/>
        </w:rPr>
        <w:t>卫生院2019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rPr>
          <w:rFonts w:ascii="宋体" w:hAnsi="宋体" w:eastAsia="宋体" w:cs="宋体"/>
          <w:color w:val="000000"/>
          <w:kern w:val="0"/>
          <w:sz w:val="36"/>
          <w:szCs w:val="36"/>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2019所有收入和支出均纳入部门预算管理。收入包括：一般公共预算拨款收入，</w:t>
      </w:r>
      <w:r>
        <w:rPr>
          <w:rFonts w:hint="eastAsia" w:ascii="仿宋_GB2312" w:hAnsi="黑体" w:eastAsia="仿宋_GB2312"/>
          <w:sz w:val="32"/>
          <w:szCs w:val="32"/>
        </w:rPr>
        <w:t>支出包括：</w:t>
      </w:r>
      <w:r>
        <w:rPr>
          <w:rFonts w:hint="eastAsia" w:ascii="宋体" w:hAnsi="宋体" w:eastAsia="宋体" w:cs="宋体"/>
          <w:color w:val="000000"/>
          <w:kern w:val="0"/>
          <w:sz w:val="36"/>
          <w:szCs w:val="36"/>
        </w:rPr>
        <w:t>社会保障和就业支出、卫生健康支出、住房保障支出</w:t>
      </w:r>
      <w:r>
        <w:rPr>
          <w:rFonts w:hint="eastAsia" w:ascii="仿宋_GB2312" w:hAnsi="黑体" w:eastAsia="仿宋_GB2312"/>
          <w:sz w:val="36"/>
          <w:szCs w:val="36"/>
        </w:rPr>
        <w:t>。</w:t>
      </w:r>
      <w:r>
        <w:rPr>
          <w:rFonts w:hint="eastAsia" w:ascii="仿宋_GB2312" w:hAnsi="黑体" w:eastAsia="仿宋_GB2312" w:cs="仿宋_GB2312"/>
          <w:color w:val="000000" w:themeColor="text1"/>
          <w:sz w:val="32"/>
          <w:szCs w:val="32"/>
        </w:rPr>
        <w:t>白沙黎族自治县</w:t>
      </w:r>
      <w:r>
        <w:rPr>
          <w:rFonts w:hint="eastAsia" w:ascii="仿宋_GB2312" w:hAnsi="黑体" w:eastAsia="仿宋_GB2312" w:cs="仿宋_GB2312"/>
          <w:color w:val="000000" w:themeColor="text1"/>
          <w:sz w:val="32"/>
          <w:szCs w:val="32"/>
          <w:lang w:eastAsia="zh-CN"/>
        </w:rPr>
        <w:t>青松乡</w:t>
      </w:r>
      <w:r>
        <w:rPr>
          <w:rFonts w:hint="eastAsia" w:ascii="仿宋_GB2312" w:hAnsi="黑体" w:eastAsia="仿宋_GB2312" w:cs="仿宋_GB2312"/>
          <w:color w:val="000000" w:themeColor="text1"/>
          <w:sz w:val="32"/>
          <w:szCs w:val="32"/>
        </w:rPr>
        <w:t>卫生院2019</w:t>
      </w:r>
      <w:r>
        <w:rPr>
          <w:rFonts w:hint="eastAsia" w:ascii="仿宋_GB2312" w:hAnsi="黑体" w:eastAsia="仿宋_GB2312"/>
          <w:color w:val="000000" w:themeColor="text1"/>
          <w:sz w:val="32"/>
          <w:szCs w:val="32"/>
        </w:rPr>
        <w:t>年收支总预算</w:t>
      </w:r>
      <w:r>
        <w:rPr>
          <w:rFonts w:hint="eastAsia" w:ascii="仿宋_GB2312" w:hAnsi="黑体" w:eastAsia="仿宋_GB2312" w:cs="仿宋_GB2312"/>
          <w:color w:val="000000" w:themeColor="text1"/>
          <w:sz w:val="32"/>
          <w:szCs w:val="32"/>
          <w:lang w:val="en-US" w:eastAsia="zh-CN"/>
        </w:rPr>
        <w:t>163.50</w:t>
      </w:r>
      <w:r>
        <w:rPr>
          <w:rFonts w:hint="eastAsia" w:ascii="仿宋_GB2312" w:hAnsi="黑体" w:eastAsia="仿宋_GB2312"/>
          <w:color w:val="000000" w:themeColor="text1"/>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163.50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163.50</w:t>
      </w:r>
      <w:bookmarkStart w:id="0" w:name="_GoBack"/>
      <w:bookmarkEnd w:id="0"/>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2019年机关运行经费预算数为</w:t>
      </w:r>
      <w:r>
        <w:rPr>
          <w:rFonts w:hint="eastAsia" w:ascii="仿宋_GB2312" w:hAnsi="黑体" w:eastAsia="仿宋_GB2312" w:cs="仿宋_GB2312"/>
          <w:sz w:val="32"/>
          <w:szCs w:val="32"/>
          <w:lang w:val="en-US" w:eastAsia="zh-CN"/>
        </w:rPr>
        <w:t>2.82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2019年政府采购预算总额0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万元，主要是没有政府采购预算。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2019年共有车辆0辆，其中，领导干部用车0辆，机要通信应急用车0辆、一般执法执勤用车0辆、特种专业技术用车0辆、其他用车0辆。单位价值100万元以上设备0台（套），主要是没有国有资产。</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白沙黎族自治县青松乡卫生院（部门）</w:t>
      </w:r>
      <w:r>
        <w:rPr>
          <w:rFonts w:hint="eastAsia" w:ascii="仿宋_GB2312" w:hAnsi="黑体" w:eastAsia="仿宋_GB2312" w:cs="仿宋_GB2312"/>
          <w:sz w:val="32"/>
          <w:szCs w:val="32"/>
        </w:rPr>
        <w:t>2019年0个项目实行绩效目标管理，未实行绩效目标管理。</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jc w:val="center"/>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3088"/>
    <w:rsid w:val="000D0DE3"/>
    <w:rsid w:val="000D223C"/>
    <w:rsid w:val="001326C1"/>
    <w:rsid w:val="001507CC"/>
    <w:rsid w:val="00173B57"/>
    <w:rsid w:val="001A12A1"/>
    <w:rsid w:val="001B1C56"/>
    <w:rsid w:val="001F4F8B"/>
    <w:rsid w:val="002530AD"/>
    <w:rsid w:val="0028400D"/>
    <w:rsid w:val="00286754"/>
    <w:rsid w:val="00293316"/>
    <w:rsid w:val="002956BC"/>
    <w:rsid w:val="002A542B"/>
    <w:rsid w:val="002A59FA"/>
    <w:rsid w:val="002E73B0"/>
    <w:rsid w:val="00301DBE"/>
    <w:rsid w:val="00345E23"/>
    <w:rsid w:val="0036394D"/>
    <w:rsid w:val="003847B6"/>
    <w:rsid w:val="003C4DA4"/>
    <w:rsid w:val="003D6389"/>
    <w:rsid w:val="00413CFC"/>
    <w:rsid w:val="00423DF2"/>
    <w:rsid w:val="0043064A"/>
    <w:rsid w:val="00430C24"/>
    <w:rsid w:val="004522A5"/>
    <w:rsid w:val="00454B09"/>
    <w:rsid w:val="00457E2F"/>
    <w:rsid w:val="00474F12"/>
    <w:rsid w:val="004A1C49"/>
    <w:rsid w:val="00517DBF"/>
    <w:rsid w:val="00525863"/>
    <w:rsid w:val="0053286E"/>
    <w:rsid w:val="00537B3F"/>
    <w:rsid w:val="005755FF"/>
    <w:rsid w:val="0059423F"/>
    <w:rsid w:val="00602F0F"/>
    <w:rsid w:val="00621B0E"/>
    <w:rsid w:val="00640059"/>
    <w:rsid w:val="0067541B"/>
    <w:rsid w:val="00680DF3"/>
    <w:rsid w:val="00685492"/>
    <w:rsid w:val="006871F7"/>
    <w:rsid w:val="006B1FB3"/>
    <w:rsid w:val="0071250A"/>
    <w:rsid w:val="00750461"/>
    <w:rsid w:val="0075151D"/>
    <w:rsid w:val="00751E90"/>
    <w:rsid w:val="00784C3A"/>
    <w:rsid w:val="00786240"/>
    <w:rsid w:val="00790F68"/>
    <w:rsid w:val="00793A7F"/>
    <w:rsid w:val="007B3322"/>
    <w:rsid w:val="007B348F"/>
    <w:rsid w:val="007C37F7"/>
    <w:rsid w:val="007E4EAF"/>
    <w:rsid w:val="007F06E9"/>
    <w:rsid w:val="00813B4F"/>
    <w:rsid w:val="00823D69"/>
    <w:rsid w:val="00826306"/>
    <w:rsid w:val="00874C42"/>
    <w:rsid w:val="009262C2"/>
    <w:rsid w:val="00926751"/>
    <w:rsid w:val="009462A5"/>
    <w:rsid w:val="00947538"/>
    <w:rsid w:val="00951383"/>
    <w:rsid w:val="009952DA"/>
    <w:rsid w:val="00995DA5"/>
    <w:rsid w:val="00996338"/>
    <w:rsid w:val="009B020E"/>
    <w:rsid w:val="009E5180"/>
    <w:rsid w:val="009F52FB"/>
    <w:rsid w:val="00A51AB4"/>
    <w:rsid w:val="00A545A0"/>
    <w:rsid w:val="00A6103B"/>
    <w:rsid w:val="00A6216F"/>
    <w:rsid w:val="00A6486D"/>
    <w:rsid w:val="00A74175"/>
    <w:rsid w:val="00AC3F9A"/>
    <w:rsid w:val="00B749B8"/>
    <w:rsid w:val="00BB49D9"/>
    <w:rsid w:val="00C05478"/>
    <w:rsid w:val="00C91D51"/>
    <w:rsid w:val="00CA7DBE"/>
    <w:rsid w:val="00CD7757"/>
    <w:rsid w:val="00CF5040"/>
    <w:rsid w:val="00D160DC"/>
    <w:rsid w:val="00D42A14"/>
    <w:rsid w:val="00DC65EF"/>
    <w:rsid w:val="00DD3FD8"/>
    <w:rsid w:val="00DF1423"/>
    <w:rsid w:val="00E3389C"/>
    <w:rsid w:val="00E51C27"/>
    <w:rsid w:val="00E73A4A"/>
    <w:rsid w:val="00ED50D0"/>
    <w:rsid w:val="00ED6580"/>
    <w:rsid w:val="00EF5DDA"/>
    <w:rsid w:val="00F34049"/>
    <w:rsid w:val="00F63E7D"/>
    <w:rsid w:val="00F64A8D"/>
    <w:rsid w:val="00F91B44"/>
    <w:rsid w:val="00FA3831"/>
    <w:rsid w:val="00FA5357"/>
    <w:rsid w:val="00FB0A31"/>
    <w:rsid w:val="02526065"/>
    <w:rsid w:val="04664835"/>
    <w:rsid w:val="1C576D8B"/>
    <w:rsid w:val="1FE60261"/>
    <w:rsid w:val="25DF71F4"/>
    <w:rsid w:val="294D6B6E"/>
    <w:rsid w:val="328627C8"/>
    <w:rsid w:val="3A61079E"/>
    <w:rsid w:val="4AAC3720"/>
    <w:rsid w:val="5AE5782C"/>
    <w:rsid w:val="5FD948BB"/>
    <w:rsid w:val="62133943"/>
    <w:rsid w:val="621D08C5"/>
    <w:rsid w:val="7444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列出段落2"/>
    <w:basedOn w:val="1"/>
    <w:unhideWhenUsed/>
    <w:qFormat/>
    <w:uiPriority w:val="99"/>
    <w:pPr>
      <w:ind w:firstLine="420" w:firstLineChars="200"/>
    </w:p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660</Words>
  <Characters>3764</Characters>
  <Lines>31</Lines>
  <Paragraphs>8</Paragraphs>
  <TotalTime>22</TotalTime>
  <ScaleCrop>false</ScaleCrop>
  <LinksUpToDate>false</LinksUpToDate>
  <CharactersWithSpaces>4416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2019-04-02T02:33:00Z</cp:lastPrinted>
  <dcterms:modified xsi:type="dcterms:W3CDTF">2019-04-15T11:25:30Z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