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cs="仿宋"/>
          <w:b w:val="0"/>
          <w:bCs/>
          <w:sz w:val="32"/>
          <w:szCs w:val="32"/>
          <w:lang w:val="en-US" w:eastAsia="zh-CN"/>
        </w:rPr>
      </w:pPr>
    </w:p>
    <w:p>
      <w:pPr>
        <w:jc w:val="center"/>
        <w:rPr>
          <w:rFonts w:hint="eastAsia" w:ascii="宋体" w:hAnsi="宋体" w:eastAsia="宋体" w:cs="方正小标宋_GBK"/>
          <w:b/>
          <w:sz w:val="44"/>
          <w:szCs w:val="44"/>
        </w:rPr>
      </w:pPr>
      <w:r>
        <w:rPr>
          <w:rFonts w:hint="eastAsia" w:ascii="宋体" w:hAnsi="宋体" w:eastAsia="宋体" w:cs="方正小标宋_GBK"/>
          <w:b/>
          <w:sz w:val="44"/>
          <w:szCs w:val="44"/>
          <w:lang w:eastAsia="zh-CN"/>
        </w:rPr>
        <w:t>白沙黎族</w:t>
      </w:r>
      <w:r>
        <w:rPr>
          <w:rFonts w:hint="eastAsia" w:ascii="宋体" w:hAnsi="宋体" w:eastAsia="宋体" w:cs="方正小标宋_GBK"/>
          <w:b/>
          <w:sz w:val="44"/>
          <w:szCs w:val="44"/>
        </w:rPr>
        <w:t>自治县农业用水价格实施暂行办法</w:t>
      </w:r>
    </w:p>
    <w:p>
      <w:pPr>
        <w:jc w:val="center"/>
        <w:rPr>
          <w:rFonts w:hint="eastAsia" w:ascii="宋体" w:hAnsi="宋体" w:eastAsia="宋体" w:cs="方正小标宋_GBK"/>
          <w:b/>
          <w:sz w:val="44"/>
          <w:szCs w:val="44"/>
          <w:lang w:eastAsia="zh-CN"/>
        </w:rPr>
      </w:pPr>
      <w:r>
        <w:rPr>
          <w:rFonts w:hint="eastAsia" w:ascii="宋体" w:hAnsi="宋体" w:eastAsia="宋体" w:cs="方正小标宋_GBK"/>
          <w:b/>
          <w:sz w:val="44"/>
          <w:szCs w:val="44"/>
          <w:lang w:eastAsia="zh-CN"/>
        </w:rPr>
        <w:t>（征求意见稿）</w:t>
      </w:r>
    </w:p>
    <w:p>
      <w:pPr>
        <w:ind w:firstLine="646" w:firstLineChars="200"/>
        <w:rPr>
          <w:rFonts w:hint="eastAsia" w:ascii="仿宋_GB2312" w:hAnsi="仿宋_GB2312" w:cs="仿宋_GB2312"/>
          <w:szCs w:val="32"/>
        </w:rPr>
      </w:pPr>
      <w:bookmarkStart w:id="0" w:name="_GoBack"/>
      <w:bookmarkEnd w:id="0"/>
    </w:p>
    <w:p>
      <w:pPr>
        <w:ind w:firstLine="646" w:firstLineChars="200"/>
        <w:rPr>
          <w:rFonts w:ascii="仿宋_GB2312" w:hAnsi="仿宋_GB2312" w:cs="仿宋_GB2312"/>
          <w:szCs w:val="32"/>
        </w:rPr>
      </w:pPr>
      <w:r>
        <w:rPr>
          <w:rFonts w:hint="eastAsia" w:ascii="仿宋_GB2312" w:hAnsi="仿宋_GB2312" w:cs="仿宋_GB2312"/>
          <w:szCs w:val="32"/>
        </w:rPr>
        <w:t>根据原海南省物价局《关于建立健全农业用水价格形成机制的指导意见》（琼价价管〔2017〕729号）、《白沙黎族自治县人民政府办公室关于印发白沙黎族自治县推进农业水价综合改革实施方案的通知》（白府办〔2018〕8号）精神，为了加快推进我县农业水价综合改革工作，促进节约用水，结合我县农业用水供水现状，制定本方案。</w:t>
      </w:r>
    </w:p>
    <w:p>
      <w:pPr>
        <w:ind w:firstLine="640"/>
        <w:rPr>
          <w:rFonts w:ascii="仿宋_GB2312" w:hAnsi="仿宋_GB2312" w:cs="仿宋_GB2312"/>
          <w:szCs w:val="32"/>
        </w:rPr>
      </w:pPr>
      <w:r>
        <w:rPr>
          <w:rFonts w:hint="eastAsia" w:ascii="仿宋_GB2312" w:hAnsi="仿宋_GB2312" w:cs="仿宋_GB2312"/>
          <w:szCs w:val="32"/>
        </w:rPr>
        <w:t>一、指导思想</w:t>
      </w:r>
    </w:p>
    <w:p>
      <w:pPr>
        <w:ind w:firstLine="640"/>
        <w:rPr>
          <w:rFonts w:ascii="仿宋_GB2312" w:hAnsi="仿宋_GB2312" w:cs="仿宋_GB2312"/>
          <w:szCs w:val="32"/>
        </w:rPr>
      </w:pPr>
      <w:r>
        <w:rPr>
          <w:rFonts w:hint="eastAsia" w:ascii="仿宋_GB2312" w:hAnsi="仿宋_GB2312" w:cs="仿宋_GB2312"/>
          <w:szCs w:val="32"/>
        </w:rPr>
        <w:t>充分发挥价格杠杆在农业用水配置、水需求调节等方面的积极作用，建立健全农业水价形成机制，促进我县农业节约用水和农业可持续发展。</w:t>
      </w:r>
    </w:p>
    <w:p>
      <w:pPr>
        <w:numPr>
          <w:ilvl w:val="0"/>
          <w:numId w:val="1"/>
        </w:numPr>
        <w:ind w:firstLine="640"/>
        <w:rPr>
          <w:rFonts w:ascii="仿宋_GB2312" w:hAnsi="仿宋_GB2312" w:cs="仿宋_GB2312"/>
          <w:szCs w:val="32"/>
        </w:rPr>
      </w:pPr>
      <w:r>
        <w:rPr>
          <w:rFonts w:hint="eastAsia" w:ascii="仿宋_GB2312" w:hAnsi="仿宋_GB2312" w:cs="仿宋_GB2312"/>
          <w:szCs w:val="32"/>
        </w:rPr>
        <w:t>农业用水价格机制</w:t>
      </w:r>
    </w:p>
    <w:p>
      <w:pPr>
        <w:ind w:firstLine="646" w:firstLineChars="200"/>
        <w:rPr>
          <w:rFonts w:ascii="仿宋_GB2312" w:hAnsi="仿宋_GB2312" w:cs="仿宋_GB2312"/>
          <w:szCs w:val="32"/>
        </w:rPr>
      </w:pPr>
      <w:r>
        <w:rPr>
          <w:rFonts w:hint="eastAsia" w:ascii="仿宋_GB2312" w:hAnsi="仿宋_GB2312" w:cs="仿宋_GB2312"/>
          <w:szCs w:val="32"/>
        </w:rPr>
        <w:t>（一）农业用水价格类别</w:t>
      </w:r>
    </w:p>
    <w:p>
      <w:pPr>
        <w:ind w:firstLine="646" w:firstLineChars="200"/>
        <w:rPr>
          <w:rFonts w:ascii="仿宋_GB2312" w:hAnsi="仿宋_GB2312" w:cs="仿宋_GB2312"/>
          <w:szCs w:val="32"/>
        </w:rPr>
      </w:pPr>
      <w:r>
        <w:rPr>
          <w:rFonts w:hint="eastAsia" w:ascii="仿宋_GB2312" w:hAnsi="仿宋_GB2312" w:cs="仿宋_GB2312"/>
          <w:szCs w:val="32"/>
        </w:rPr>
        <w:t>农业用水实行分类水价，具体分为粮食作物、经济作物和水产养殖三类用水价格。</w:t>
      </w:r>
    </w:p>
    <w:p>
      <w:pPr>
        <w:numPr>
          <w:ilvl w:val="0"/>
          <w:numId w:val="2"/>
        </w:numPr>
        <w:ind w:firstLine="646" w:firstLineChars="200"/>
        <w:rPr>
          <w:rFonts w:hint="eastAsia" w:ascii="仿宋" w:hAnsi="仿宋" w:eastAsia="仿宋"/>
          <w:b w:val="0"/>
          <w:bCs w:val="0"/>
          <w:sz w:val="32"/>
          <w:lang w:val="en-US" w:eastAsia="zh-CN"/>
        </w:rPr>
      </w:pPr>
      <w:r>
        <w:rPr>
          <w:rFonts w:hint="eastAsia" w:ascii="仿宋" w:hAnsi="仿宋" w:eastAsia="仿宋"/>
          <w:b w:val="0"/>
          <w:bCs w:val="0"/>
          <w:sz w:val="32"/>
          <w:lang w:val="en-US" w:eastAsia="zh-CN"/>
        </w:rPr>
        <w:t>农业用水价格标准</w:t>
      </w:r>
    </w:p>
    <w:p>
      <w:pPr>
        <w:numPr>
          <w:ilvl w:val="0"/>
          <w:numId w:val="0"/>
        </w:numPr>
        <w:ind w:firstLine="646" w:firstLineChars="200"/>
        <w:rPr>
          <w:rFonts w:ascii="仿宋_GB2312" w:hAnsi="仿宋_GB2312" w:cs="仿宋_GB2312"/>
          <w:szCs w:val="32"/>
        </w:rPr>
      </w:pPr>
      <w:r>
        <w:rPr>
          <w:rFonts w:hint="eastAsia" w:ascii="仿宋" w:hAnsi="仿宋" w:eastAsia="仿宋"/>
          <w:b w:val="0"/>
          <w:bCs w:val="0"/>
          <w:sz w:val="32"/>
          <w:lang w:val="en-US" w:eastAsia="zh-CN"/>
        </w:rPr>
        <w:t>各灌区终端农业用水价格按照</w:t>
      </w:r>
      <w:r>
        <w:rPr>
          <w:rFonts w:hint="eastAsia" w:ascii="仿宋" w:hAnsi="仿宋" w:eastAsia="仿宋" w:cs="宋体"/>
          <w:color w:val="000000"/>
          <w:kern w:val="0"/>
          <w:sz w:val="32"/>
          <w:szCs w:val="32"/>
          <w:shd w:val="clear" w:color="auto" w:fill="FFFFFF"/>
          <w:lang w:val="en-US" w:eastAsia="zh-CN"/>
        </w:rPr>
        <w:t>海南省发展与改革厅《关于水利工程农业供水价格问题通知》</w:t>
      </w:r>
      <w:r>
        <w:rPr>
          <w:rFonts w:hint="eastAsia" w:ascii="仿宋" w:hAnsi="仿宋" w:eastAsia="仿宋"/>
          <w:b w:val="0"/>
          <w:bCs w:val="0"/>
          <w:sz w:val="32"/>
          <w:lang w:val="en-US" w:eastAsia="zh-CN"/>
        </w:rPr>
        <w:t>（琼发改价格〔2004〕411号）</w:t>
      </w:r>
      <w:r>
        <w:rPr>
          <w:rFonts w:hint="eastAsia" w:ascii="仿宋_GB2312" w:hAnsi="仿宋_GB2312" w:cs="仿宋_GB2312"/>
          <w:szCs w:val="32"/>
        </w:rPr>
        <w:t>规定的水利工程农业供水价格，作为过渡期价格，具体试行价格标准如下：</w:t>
      </w:r>
    </w:p>
    <w:p>
      <w:pPr>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6" w:firstLineChars="200"/>
        <w:jc w:val="left"/>
        <w:textAlignment w:val="auto"/>
        <w:outlineLvl w:val="9"/>
        <w:rPr>
          <w:rFonts w:hint="eastAsia" w:ascii="仿宋" w:hAnsi="仿宋" w:eastAsia="仿宋"/>
          <w:b w:val="0"/>
          <w:bCs w:val="0"/>
          <w:sz w:val="32"/>
          <w:lang w:val="en-US" w:eastAsia="zh-CN"/>
        </w:rPr>
      </w:pPr>
      <w:r>
        <w:rPr>
          <w:rFonts w:hint="eastAsia" w:ascii="仿宋" w:hAnsi="仿宋" w:eastAsia="仿宋"/>
          <w:b w:val="0"/>
          <w:bCs w:val="0"/>
          <w:sz w:val="32"/>
          <w:lang w:val="en-US" w:eastAsia="zh-CN"/>
        </w:rPr>
        <w:t>1、</w:t>
      </w:r>
      <w:r>
        <w:rPr>
          <w:rFonts w:hint="eastAsia" w:ascii="仿宋_GB2312" w:hAnsi="仿宋_GB2312" w:cs="仿宋_GB2312"/>
          <w:szCs w:val="32"/>
        </w:rPr>
        <w:t>粮食作物用水价格：跨市县级水利灌区供水价格每年每亩25元；县级水利工程灌区供水价格每年每亩22元，镇级水利工程灌区供水价格每年每亩18元；</w:t>
      </w:r>
    </w:p>
    <w:p>
      <w:pPr>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6" w:firstLineChars="200"/>
        <w:jc w:val="left"/>
        <w:textAlignment w:val="auto"/>
        <w:outlineLvl w:val="9"/>
        <w:rPr>
          <w:rFonts w:hint="eastAsia" w:ascii="仿宋" w:hAnsi="仿宋" w:eastAsia="仿宋"/>
          <w:b w:val="0"/>
          <w:bCs w:val="0"/>
          <w:sz w:val="32"/>
          <w:lang w:val="en-US" w:eastAsia="zh-CN"/>
        </w:rPr>
      </w:pPr>
      <w:r>
        <w:rPr>
          <w:rFonts w:hint="eastAsia" w:ascii="仿宋" w:hAnsi="仿宋" w:eastAsia="仿宋"/>
          <w:b w:val="0"/>
          <w:bCs w:val="0"/>
          <w:sz w:val="32"/>
          <w:lang w:val="en-US" w:eastAsia="zh-CN"/>
        </w:rPr>
        <w:t>2、经济作物和水产养殖用水价格。对已完善计量设施供水的，自流供水价格：经济作物每立方米0.12元；供水养殖每立方米0.15元。用户从库渠自提供水的，按自流供水水价的70%计收。 对没有完善计量设施供水的，</w:t>
      </w:r>
      <w:r>
        <w:rPr>
          <w:rFonts w:hint="eastAsia" w:ascii="仿宋_GB2312" w:hAnsi="仿宋_GB2312" w:cs="仿宋_GB2312"/>
          <w:szCs w:val="32"/>
        </w:rPr>
        <w:t>由供用水双方根据经济作物、水产养殖用水量、供水方式等因素协议执行</w:t>
      </w:r>
      <w:r>
        <w:rPr>
          <w:rFonts w:hint="eastAsia" w:ascii="仿宋" w:hAnsi="仿宋" w:eastAsia="仿宋"/>
          <w:b w:val="0"/>
          <w:bCs w:val="0"/>
          <w:sz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6" w:firstLineChars="200"/>
        <w:jc w:val="left"/>
        <w:textAlignment w:val="auto"/>
        <w:outlineLvl w:val="9"/>
        <w:rPr>
          <w:rFonts w:hint="eastAsia" w:ascii="仿宋" w:hAnsi="仿宋" w:eastAsia="仿宋"/>
          <w:b w:val="0"/>
          <w:bCs w:val="0"/>
          <w:sz w:val="32"/>
          <w:lang w:val="en-US" w:eastAsia="zh-CN"/>
        </w:rPr>
      </w:pPr>
      <w:r>
        <w:rPr>
          <w:rFonts w:hint="eastAsia" w:ascii="仿宋" w:hAnsi="仿宋" w:eastAsia="仿宋"/>
          <w:b w:val="0"/>
          <w:bCs w:val="0"/>
          <w:sz w:val="32"/>
          <w:lang w:val="en-US" w:eastAsia="zh-CN"/>
        </w:rPr>
        <w:t>三、各灌区要充分利用现有计量条件，采取仪表计量、设施计量或以电折水和计时计量等多种方式进行计量。已具备计量条件的灌区原则上用水价格按每立方米的计收，目前尚不具备计量条件的按每亩计收，待具备计量条件后，再按照每立方米计收。</w:t>
      </w:r>
    </w:p>
    <w:p>
      <w:pPr>
        <w:ind w:firstLine="646" w:firstLineChars="200"/>
        <w:rPr>
          <w:rFonts w:ascii="仿宋_GB2312" w:hAnsi="仿宋_GB2312" w:cs="仿宋_GB2312"/>
          <w:szCs w:val="32"/>
        </w:rPr>
      </w:pPr>
      <w:r>
        <w:rPr>
          <w:rFonts w:hint="eastAsia" w:ascii="仿宋" w:hAnsi="仿宋" w:eastAsia="仿宋"/>
          <w:b w:val="0"/>
          <w:bCs w:val="0"/>
          <w:sz w:val="32"/>
          <w:lang w:val="en-US" w:eastAsia="zh-CN"/>
        </w:rPr>
        <w:t>四、</w:t>
      </w:r>
      <w:r>
        <w:rPr>
          <w:rFonts w:hint="eastAsia" w:ascii="仿宋_GB2312" w:hAnsi="仿宋_GB2312" w:cs="仿宋_GB2312"/>
          <w:szCs w:val="32"/>
        </w:rPr>
        <w:t>农业用水实行超定额累进加价制度，各类用水定额按照省质量技术监督局发布的《海南省用水定额》（海南地方标准DB46/T449-2017）标准执行。根据各类农作物及水产养殖用水状况，用水量分为三挡，第一档为用水定额，第二档为超定额水量的10%（含）以内部分；第三档为超定额水量10%以上部分水量，各档加价标准按照1:1.2:1.5执行。</w:t>
      </w:r>
    </w:p>
    <w:p>
      <w:pPr>
        <w:ind w:firstLine="646" w:firstLineChars="200"/>
        <w:jc w:val="both"/>
        <w:rPr>
          <w:rFonts w:ascii="仿宋" w:hAnsi="仿宋" w:eastAsia="仿宋" w:cs="仿宋"/>
          <w:szCs w:val="32"/>
        </w:rPr>
      </w:pPr>
      <w:r>
        <w:rPr>
          <w:rFonts w:hint="eastAsia" w:ascii="仿宋_GB2312" w:hAnsi="仿宋_GB2312" w:cs="仿宋_GB2312"/>
          <w:szCs w:val="32"/>
          <w:lang w:eastAsia="zh-CN"/>
        </w:rPr>
        <w:t>五</w:t>
      </w:r>
      <w:r>
        <w:rPr>
          <w:rFonts w:hint="eastAsia" w:ascii="仿宋_GB2312" w:hAnsi="仿宋_GB2312" w:cs="仿宋_GB2312"/>
          <w:szCs w:val="32"/>
        </w:rPr>
        <w:t>、</w:t>
      </w:r>
      <w:r>
        <w:rPr>
          <w:rFonts w:hint="eastAsia" w:ascii="仿宋" w:hAnsi="仿宋" w:eastAsia="仿宋" w:cs="仿宋"/>
          <w:szCs w:val="32"/>
        </w:rPr>
        <w:t>各乡镇、各水利工程管理单位、用水单位要严格执行政府价格政策,做好农业水价综合改革的政策宣传解读,强化水情教育,引导用水单位水商品意识,树立节水观念,提高有偿用水意识和节约用水的自觉性,营造有利于加快完善农业水价形成机制、深化农业水价综合改革的良好舆论氛围。夯实农田水利工程建设,加快供水计量设施建设,逐步实现计量用水收费。</w:t>
      </w:r>
    </w:p>
    <w:p>
      <w:pPr>
        <w:ind w:firstLine="323" w:firstLineChars="100"/>
        <w:rPr>
          <w:rFonts w:ascii="仿宋_GB2312" w:hAnsi="仿宋_GB2312" w:cs="仿宋_GB2312"/>
          <w:szCs w:val="32"/>
        </w:rPr>
      </w:pPr>
      <w:r>
        <w:rPr>
          <w:rFonts w:hint="eastAsia" w:ascii="仿宋_GB2312" w:hAnsi="仿宋_GB2312" w:cs="仿宋_GB2312"/>
          <w:szCs w:val="32"/>
        </w:rPr>
        <w:t xml:space="preserve">   </w:t>
      </w:r>
      <w:r>
        <w:rPr>
          <w:rFonts w:hint="eastAsia" w:ascii="仿宋_GB2312" w:hAnsi="仿宋_GB2312" w:cs="仿宋_GB2312"/>
          <w:szCs w:val="32"/>
          <w:lang w:eastAsia="zh-CN"/>
        </w:rPr>
        <w:t>六</w:t>
      </w:r>
      <w:r>
        <w:rPr>
          <w:rFonts w:hint="eastAsia" w:ascii="仿宋_GB2312" w:hAnsi="仿宋_GB2312" w:cs="仿宋_GB2312"/>
          <w:szCs w:val="32"/>
        </w:rPr>
        <w:t>、本办法自发文之日起执行，试行期两年。</w:t>
      </w:r>
    </w:p>
    <w:p>
      <w:pPr>
        <w:rPr>
          <w:rFonts w:ascii="仿宋_GB2312" w:hAnsi="仿宋_GB2312" w:cs="仿宋_GB2312"/>
          <w:szCs w:val="32"/>
        </w:rPr>
      </w:pPr>
      <w:r>
        <w:rPr>
          <w:rFonts w:hint="eastAsia" w:ascii="仿宋_GB2312" w:hAnsi="仿宋_GB2312" w:cs="仿宋_GB2312"/>
          <w:szCs w:val="32"/>
        </w:rPr>
        <w:t xml:space="preserve">     </w:t>
      </w:r>
    </w:p>
    <w:p>
      <w:pPr>
        <w:spacing w:line="560" w:lineRule="exact"/>
        <w:ind w:right="737"/>
        <w:rPr>
          <w:rFonts w:hint="eastAsia"/>
        </w:rPr>
      </w:pPr>
      <w:r>
        <w:rPr>
          <w:rFonts w:hint="eastAsia" w:ascii="仿宋_GB2312" w:hAnsi="仿宋_GB2312" w:cs="仿宋_GB2312"/>
          <w:szCs w:val="32"/>
        </w:rPr>
        <w:t xml:space="preserve">                                </w:t>
      </w:r>
    </w:p>
    <w:p/>
    <w:sectPr>
      <w:headerReference r:id="rId3" w:type="default"/>
      <w:footerReference r:id="rId5" w:type="default"/>
      <w:headerReference r:id="rId4" w:type="even"/>
      <w:footerReference r:id="rId6" w:type="even"/>
      <w:pgSz w:w="11906" w:h="16838"/>
      <w:pgMar w:top="2098" w:right="1587" w:bottom="2098" w:left="1588" w:header="851" w:footer="1049" w:gutter="0"/>
      <w:pgNumType w:fmt="numberInDash"/>
      <w:cols w:space="720" w:num="1"/>
      <w:docGrid w:type="linesAndChars" w:linePitch="579" w:charSpace="6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仿宋_GB2312"/>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eastAsia="仿宋_GB2312"/>
                        <w:lang w:eastAsia="zh-CN"/>
                      </w:rPr>
                    </w:pPr>
                  </w:p>
                </w:txbxContent>
              </v:textbox>
            </v:shape>
          </w:pict>
        </mc:Fallback>
      </mc:AlternateContent>
    </w:r>
    <w:r>
      <w:rPr>
        <w:rFonts w:hint="eastAsia"/>
      </w:rPr>
      <w:t xml:space="preserve"> </w:t>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jc w:val="left"/>
    </w:pPr>
    <w:r>
      <w:rPr>
        <w:sz w:val="2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869950"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69950" cy="230505"/>
                      </a:xfrm>
                      <a:prstGeom prst="rect">
                        <a:avLst/>
                      </a:prstGeom>
                      <a:noFill/>
                      <a:ln>
                        <a:noFill/>
                      </a:ln>
                    </wps:spPr>
                    <wps:txbx>
                      <w:txbxContent>
                        <w:p>
                          <w:pPr>
                            <w:pStyle w:val="2"/>
                            <w:ind w:firstLine="140" w:firstLineChars="50"/>
                            <w:jc w:val="left"/>
                          </w:pPr>
                        </w:p>
                      </w:txbxContent>
                    </wps:txbx>
                    <wps:bodyPr lIns="0" tIns="0" rIns="0" bIns="0" upright="0"/>
                  </wps:wsp>
                </a:graphicData>
              </a:graphic>
            </wp:anchor>
          </w:drawing>
        </mc:Choice>
        <mc:Fallback>
          <w:pict>
            <v:shape id="_x0000_s1026" o:spid="_x0000_s1026" o:spt="202" type="#_x0000_t202" style="position:absolute;left:0pt;margin-left:0pt;margin-top:0pt;height:18.15pt;width:68.5pt;mso-position-horizontal-relative:margin;z-index:251659264;mso-width-relative:page;mso-height-relative:page;" filled="f" stroked="f" coordsize="21600,21600" o:gfxdata="UEsDBAoAAAAAAIdO4kAAAAAAAAAAAAAAAAAEAAAAZHJzL1BLAwQUAAAACACHTuJAhQkcq9MAAAAE&#10;AQAADwAAAGRycy9kb3ducmV2LnhtbE2PzU7DMBCE70i8g7VI3KhdIgUIcSqE4ISESMOB4ybeJlbj&#10;dYjdH94elwu9jDSa1cy35eroRrGnOVjPGpYLBYK488Zyr+Gzeb25BxEissHRM2n4oQCr6vKixML4&#10;A9e0X8depBIOBWoYYpwKKUM3kMOw8BNxyjZ+dhiTnXtpZjykcjfKW6Vy6dByWhhwoueBuu165zQ8&#10;fXH9Yr/f2496U9umeVD8lm+1vr5aqkcQkY7x/xhO+AkdqsTU+h2bIEYN6ZH4p6csu0u21ZDlGciq&#10;lOfw1S9QSwMEFAAAAAgAh07iQKnT5jmeAQAAIwMAAA4AAABkcnMvZTJvRG9jLnhtbK1SS44TMRDd&#10;I3EHy3viTlBGM610RkKjQUgIkAYO4LjttCXbZZU96c4F4Aas2LDnXDkHZeczfHaIjbtcVf383qta&#10;3U7esZ3GZCF0fD5rONNBQW/DtuOfPt6/uOYsZRl66SDoju914rfr589WY2z1AgZwvUZGICG1Y+z4&#10;kHNshUhq0F6mGUQdqGgAvcx0xa3oUY6E7p1YNM2VGAH7iKB0SpS9Oxb5uuIbo1V+b0zSmbmOE7dc&#10;T6znppxivZLtFmUcrDrRkP/Awksb6NEL1J3Mkj2i/QvKW4WQwOSZAi/AGKt01UBq5s0fah4GGXXV&#10;QuakeLEp/T9Y9W73AZntaXacBelpRIevXw7ffhy+f2bzYs8YU0tdD5H68vQKptJ6yidKFtWTQV++&#10;pIdRnYzeX8zVU2aKktdXNzdLqigqLV42y2ZZUMTTzxFTfq3BsxJ0HGl21VK5e5vysfXcUt4KcG+d&#10;o7xsXfgtQZglIwrzI8MS5WkznWhvoN+TGvcmkJNlK84BnoPNOXiMaLdDXZtCoQDRJCrv09aUUf96&#10;r11Pu73+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IUJHKvTAAAABAEAAA8AAAAAAAAAAQAgAAAA&#10;IgAAAGRycy9kb3ducmV2LnhtbFBLAQIUABQAAAAIAIdO4kCp0+Y5ngEAACMDAAAOAAAAAAAAAAEA&#10;IAAAACIBAABkcnMvZTJvRG9jLnhtbFBLBQYAAAAABgAGAFkBAAAyBQAAAAA=&#10;">
              <v:fill on="f" focussize="0,0"/>
              <v:stroke on="f"/>
              <v:imagedata o:title=""/>
              <o:lock v:ext="edit" aspectratio="f"/>
              <v:textbox inset="0mm,0mm,0mm,0mm">
                <w:txbxContent>
                  <w:p>
                    <w:pPr>
                      <w:pStyle w:val="2"/>
                      <w:ind w:firstLine="140" w:firstLineChars="50"/>
                      <w:jc w:val="left"/>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EBF70"/>
    <w:multiLevelType w:val="singleLevel"/>
    <w:tmpl w:val="342EBF70"/>
    <w:lvl w:ilvl="0" w:tentative="0">
      <w:start w:val="2"/>
      <w:numFmt w:val="chineseCounting"/>
      <w:suff w:val="nothing"/>
      <w:lvlText w:val="（%1）"/>
      <w:lvlJc w:val="left"/>
      <w:rPr>
        <w:rFonts w:hint="eastAsia"/>
      </w:rPr>
    </w:lvl>
  </w:abstractNum>
  <w:abstractNum w:abstractNumId="1">
    <w:nsid w:val="5CDCB849"/>
    <w:multiLevelType w:val="singleLevel"/>
    <w:tmpl w:val="5CDCB849"/>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C764DE"/>
    <w:rsid w:val="13204C5A"/>
    <w:rsid w:val="1B540820"/>
    <w:rsid w:val="2A94118A"/>
    <w:rsid w:val="3E9868BE"/>
    <w:rsid w:val="4CF17D35"/>
    <w:rsid w:val="6C5F28B7"/>
    <w:rsid w:val="73837ADE"/>
    <w:rsid w:val="79F244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right"/>
    </w:pPr>
    <w:rPr>
      <w:rFonts w:ascii="宋体" w:hAnsi="宋体" w:eastAsia="宋体"/>
      <w:kern w:val="0"/>
      <w:sz w:val="28"/>
      <w:szCs w:val="2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eastAsia="宋体"/>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NA</cp:lastModifiedBy>
  <dcterms:modified xsi:type="dcterms:W3CDTF">2019-11-14T10:18:39Z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