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自评</w:t>
      </w:r>
      <w:r>
        <w:rPr>
          <w:rFonts w:hint="eastAsia" w:ascii="宋体" w:hAnsi="宋体"/>
          <w:b/>
          <w:bCs/>
          <w:sz w:val="44"/>
          <w:szCs w:val="44"/>
        </w:rPr>
        <w:t>报告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hAnsi="宋体"/>
          <w:sz w:val="28"/>
          <w:szCs w:val="28"/>
        </w:rPr>
        <w:t xml:space="preserve"> 评价类型：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>实施过程评价</w:t>
      </w:r>
      <w:r>
        <w:rPr>
          <w:rFonts w:hint="eastAsia" w:hAnsi="宋体"/>
          <w:sz w:val="28"/>
          <w:szCs w:val="28"/>
        </w:rPr>
        <w:t xml:space="preserve">      </w:t>
      </w:r>
      <w:r>
        <w:rPr>
          <w:rFonts w:hint="eastAsia" w:hAnsi="宋体"/>
          <w:spacing w:val="-20"/>
          <w:sz w:val="36"/>
          <w:u w:val="single"/>
          <w:lang w:eastAsia="zh-CN"/>
        </w:rPr>
        <w:t>☑</w:t>
      </w:r>
      <w:r>
        <w:rPr>
          <w:rFonts w:hint="eastAsia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项目名称：</w:t>
      </w:r>
      <w:r>
        <w:rPr>
          <w:rFonts w:hint="eastAsia" w:hAnsi="宋体"/>
          <w:sz w:val="28"/>
          <w:szCs w:val="28"/>
          <w:highlight w:val="none"/>
          <w:u w:val="single"/>
          <w:lang w:eastAsia="zh-CN"/>
        </w:rPr>
        <w:t>综合事务经费</w:t>
      </w:r>
    </w:p>
    <w:p>
      <w:pPr>
        <w:ind w:left="2240" w:hanging="2240" w:hangingChars="800"/>
        <w:rPr>
          <w:rFonts w:hint="eastAsia" w:hAnsi="宋体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项目单位：</w:t>
      </w:r>
      <w:r>
        <w:rPr>
          <w:rFonts w:hint="eastAsia" w:hAnsi="宋体"/>
          <w:sz w:val="28"/>
          <w:szCs w:val="28"/>
          <w:u w:val="single"/>
        </w:rPr>
        <w:t>白沙黎族自治县土地征用安置中心</w:t>
      </w:r>
    </w:p>
    <w:p>
      <w:pPr>
        <w:ind w:left="1400" w:hanging="1400" w:hangingChars="500"/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 xml:space="preserve">     主管部门：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白沙黎族自治县自然资源和规划局</w:t>
      </w:r>
      <w:r>
        <w:rPr>
          <w:rFonts w:hint="eastAsia" w:hAnsi="宋体"/>
          <w:sz w:val="28"/>
          <w:szCs w:val="28"/>
          <w:highlight w:val="none"/>
        </w:rPr>
        <w:t xml:space="preserve">  </w:t>
      </w:r>
    </w:p>
    <w:p>
      <w:pPr>
        <w:ind w:left="1400" w:hanging="1400" w:hangingChars="500"/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 xml:space="preserve">     评价时间： 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2022</w:t>
      </w:r>
      <w:r>
        <w:rPr>
          <w:rFonts w:hint="eastAsia" w:hAnsi="宋体"/>
          <w:sz w:val="28"/>
          <w:szCs w:val="28"/>
          <w:highlight w:val="none"/>
          <w:u w:val="single"/>
        </w:rPr>
        <w:t>年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hAnsi="宋体"/>
          <w:sz w:val="28"/>
          <w:szCs w:val="28"/>
          <w:highlight w:val="none"/>
          <w:u w:val="single"/>
        </w:rPr>
        <w:t>月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8</w:t>
      </w:r>
      <w:r>
        <w:rPr>
          <w:rFonts w:hint="eastAsia" w:hAnsi="宋体"/>
          <w:sz w:val="28"/>
          <w:szCs w:val="28"/>
          <w:highlight w:val="none"/>
          <w:u w:val="single"/>
        </w:rPr>
        <w:t>日至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2022</w:t>
      </w:r>
      <w:r>
        <w:rPr>
          <w:rFonts w:hint="eastAsia" w:hAnsi="宋体"/>
          <w:sz w:val="28"/>
          <w:szCs w:val="28"/>
          <w:highlight w:val="none"/>
          <w:u w:val="single"/>
        </w:rPr>
        <w:t>年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hAnsi="宋体"/>
          <w:sz w:val="28"/>
          <w:szCs w:val="28"/>
          <w:highlight w:val="none"/>
          <w:u w:val="single"/>
        </w:rPr>
        <w:t>月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14</w:t>
      </w:r>
      <w:r>
        <w:rPr>
          <w:rFonts w:hint="eastAsia" w:hAnsi="宋体"/>
          <w:sz w:val="28"/>
          <w:szCs w:val="28"/>
          <w:highlight w:val="none"/>
          <w:u w:val="single"/>
        </w:rPr>
        <w:t>日</w:t>
      </w:r>
    </w:p>
    <w:p>
      <w:pPr>
        <w:ind w:left="1400" w:hanging="1400" w:hangingChars="500"/>
        <w:rPr>
          <w:rFonts w:hint="eastAsia"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 xml:space="preserve">     组织方式：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 xml:space="preserve">财政部门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  <w:lang w:eastAsia="zh-CN"/>
        </w:rPr>
        <w:t>□</w:t>
      </w:r>
      <w:r>
        <w:rPr>
          <w:rFonts w:hint="eastAsia" w:hAnsi="宋体"/>
          <w:sz w:val="28"/>
          <w:szCs w:val="28"/>
          <w:u w:val="single"/>
        </w:rPr>
        <w:t>主管部门</w:t>
      </w:r>
      <w:r>
        <w:rPr>
          <w:rFonts w:hint="eastAsia" w:hAnsi="宋体"/>
          <w:sz w:val="28"/>
          <w:szCs w:val="28"/>
        </w:rPr>
        <w:t xml:space="preserve">     </w:t>
      </w:r>
      <w:r>
        <w:rPr>
          <w:rFonts w:hint="eastAsia" w:hAnsi="宋体"/>
          <w:spacing w:val="-20"/>
          <w:sz w:val="36"/>
          <w:u w:val="single"/>
          <w:lang w:eastAsia="zh-CN"/>
        </w:rPr>
        <w:t>☑</w:t>
      </w:r>
      <w:r>
        <w:rPr>
          <w:rFonts w:hint="eastAsia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评价机构：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 xml:space="preserve">中介机构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 xml:space="preserve">专家组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  <w:lang w:eastAsia="zh-CN"/>
        </w:rPr>
        <w:t>☑</w:t>
      </w:r>
      <w:r>
        <w:rPr>
          <w:rFonts w:hint="eastAsia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</w:p>
    <w:p>
      <w:pPr>
        <w:rPr>
          <w:rFonts w:hint="eastAsia" w:hAnsi="仿宋_GB2312"/>
          <w:szCs w:val="28"/>
        </w:rPr>
      </w:pPr>
    </w:p>
    <w:p>
      <w:pPr>
        <w:rPr>
          <w:rFonts w:hint="eastAsia" w:hAnsi="仿宋_GB2312"/>
          <w:szCs w:val="28"/>
        </w:rPr>
      </w:pPr>
      <w:r>
        <w:rPr>
          <w:rFonts w:hint="eastAsia" w:hAnsi="仿宋_GB2312"/>
          <w:szCs w:val="28"/>
        </w:rPr>
        <w:t xml:space="preserve">        </w:t>
      </w:r>
    </w:p>
    <w:p>
      <w:pPr>
        <w:ind w:left="1050" w:hanging="1050" w:hangingChars="500"/>
        <w:rPr>
          <w:rFonts w:hint="eastAsia" w:hAnsi="宋体"/>
          <w:szCs w:val="28"/>
        </w:rPr>
      </w:pPr>
      <w:r>
        <w:rPr>
          <w:rFonts w:hint="eastAsia" w:hAnsi="仿宋_GB2312"/>
          <w:szCs w:val="28"/>
        </w:rPr>
        <w:t xml:space="preserve">           </w:t>
      </w:r>
      <w:r>
        <w:rPr>
          <w:rFonts w:hint="eastAsia" w:hAnsi="宋体"/>
          <w:szCs w:val="28"/>
        </w:rPr>
        <w:t xml:space="preserve"> </w:t>
      </w: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200" w:hangingChars="5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评价单位（盖章）：白沙黎族自治县土地征用安置中心</w:t>
      </w:r>
    </w:p>
    <w:p>
      <w:pPr>
        <w:ind w:left="1050" w:hanging="1200" w:hangingChars="50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ind w:left="1050" w:hanging="1200" w:hangingChars="5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上报时间：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2022年9月</w:t>
      </w: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050" w:hanging="1050" w:hangingChars="500"/>
        <w:rPr>
          <w:rFonts w:hint="eastAsia" w:hAnsi="宋体"/>
          <w:szCs w:val="28"/>
        </w:rPr>
      </w:pPr>
    </w:p>
    <w:p>
      <w:pPr>
        <w:ind w:left="1606" w:hanging="1606" w:hangingChars="500"/>
        <w:jc w:val="center"/>
        <w:rPr>
          <w:rFonts w:hint="eastAsia" w:hAnsi="宋体"/>
          <w:b/>
          <w:bCs/>
          <w:sz w:val="32"/>
          <w:szCs w:val="32"/>
          <w:highlight w:val="none"/>
        </w:rPr>
      </w:pPr>
      <w:r>
        <w:rPr>
          <w:rFonts w:hint="eastAsia" w:hAnsi="宋体"/>
          <w:b/>
          <w:bCs/>
          <w:sz w:val="32"/>
          <w:szCs w:val="32"/>
          <w:highlight w:val="none"/>
        </w:rPr>
        <w:t>项目基本信息</w:t>
      </w:r>
    </w:p>
    <w:tbl>
      <w:tblPr>
        <w:tblStyle w:val="6"/>
        <w:tblpPr w:vertAnchor="text" w:tblpXSpec="center" w:tblpY="1"/>
        <w:tblOverlap w:val="never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502"/>
        <w:gridCol w:w="72"/>
        <w:gridCol w:w="703"/>
        <w:gridCol w:w="773"/>
        <w:gridCol w:w="629"/>
        <w:gridCol w:w="199"/>
        <w:gridCol w:w="139"/>
        <w:gridCol w:w="1577"/>
        <w:gridCol w:w="1085"/>
        <w:gridCol w:w="660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6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项目实施单位</w:t>
            </w:r>
          </w:p>
        </w:tc>
        <w:tc>
          <w:tcPr>
            <w:tcW w:w="459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白沙黎族自治县土地征用安置中心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主管部门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白沙黎族自治县自然资源和规划局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项目负责人</w:t>
            </w:r>
          </w:p>
        </w:tc>
        <w:tc>
          <w:tcPr>
            <w:tcW w:w="459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陈在前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联系电话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0898-27711546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地      址</w:t>
            </w:r>
          </w:p>
        </w:tc>
        <w:tc>
          <w:tcPr>
            <w:tcW w:w="567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白沙县原政府办公大楼一楼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邮编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572800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项目类型</w:t>
            </w:r>
          </w:p>
        </w:tc>
        <w:tc>
          <w:tcPr>
            <w:tcW w:w="763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经常性项目（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highlight w:val="none"/>
              </w:rPr>
              <w:t>）     一次性项目（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计划投资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（万元）</w:t>
            </w:r>
          </w:p>
        </w:tc>
        <w:tc>
          <w:tcPr>
            <w:tcW w:w="12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41.80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实际到位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（万元）</w:t>
            </w:r>
          </w:p>
        </w:tc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41.80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实际使用</w:t>
            </w:r>
            <w:r>
              <w:rPr>
                <w:rFonts w:hint="eastAsia" w:ascii="仿宋" w:hAnsi="仿宋" w:eastAsia="仿宋" w:cs="仿宋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（万元）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26.47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其中：省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级资金</w:t>
            </w:r>
          </w:p>
        </w:tc>
        <w:tc>
          <w:tcPr>
            <w:tcW w:w="12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其中：省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级资金</w:t>
            </w:r>
          </w:p>
        </w:tc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其中：省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级资金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eastAsia" w:ascii="仿宋" w:hAnsi="仿宋" w:eastAsia="仿宋" w:cs="仿宋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县级资金</w:t>
            </w:r>
          </w:p>
        </w:tc>
        <w:tc>
          <w:tcPr>
            <w:tcW w:w="12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41.80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县级资金</w:t>
            </w:r>
          </w:p>
        </w:tc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41.80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县级资金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26.47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46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eastAsia="仿宋" w:cs="仿宋"/>
                <w:b/>
                <w:bCs/>
                <w:sz w:val="22"/>
                <w:highlight w:val="none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highlight w:val="none"/>
              </w:rPr>
              <w:t>、</w:t>
            </w:r>
            <w:r>
              <w:rPr>
                <w:rFonts w:hint="eastAsia" w:eastAsia="仿宋" w:cs="仿宋"/>
                <w:b/>
                <w:bCs/>
                <w:sz w:val="22"/>
                <w:highlight w:val="none"/>
              </w:rPr>
              <w:t>绩效评价指标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一级指标</w:t>
            </w:r>
          </w:p>
        </w:tc>
        <w:tc>
          <w:tcPr>
            <w:tcW w:w="5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分值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二级指标</w:t>
            </w: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分值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三级指标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分值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项目决策</w:t>
            </w:r>
          </w:p>
        </w:tc>
        <w:tc>
          <w:tcPr>
            <w:tcW w:w="57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20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项目目标</w:t>
            </w: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项目内容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决策过程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决策依据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决策程序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5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资金分配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分配办法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2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分配结果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6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项目管理</w:t>
            </w:r>
          </w:p>
        </w:tc>
        <w:tc>
          <w:tcPr>
            <w:tcW w:w="57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25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资金到位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到位率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到位时效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2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资金管理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资金使用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7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财务管理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组织实施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组织机构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管理制度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9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项目绩效</w:t>
            </w:r>
          </w:p>
        </w:tc>
        <w:tc>
          <w:tcPr>
            <w:tcW w:w="57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55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项目产出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15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产出数量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5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产出质量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产出时效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产出成本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项目效果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40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经济效益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8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社会效益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8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环境效益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8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可持续性影响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8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57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8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服务对象满意度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8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</w:rPr>
              <w:t>合计</w:t>
            </w:r>
          </w:p>
        </w:tc>
        <w:tc>
          <w:tcPr>
            <w:tcW w:w="5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</w:rPr>
              <w:t>100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</w:rPr>
              <w:t>100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</w:rPr>
              <w:t>100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b/>
                <w:bCs/>
                <w:highlight w:val="none"/>
                <w:lang w:val="en-US" w:eastAsia="zh-CN"/>
              </w:rPr>
              <w:instrText xml:space="preserve"> = sum(G11:G30) \* MERGEFORMAT </w:instrText>
            </w:r>
            <w:r>
              <w:rPr>
                <w:rFonts w:hint="default" w:ascii="仿宋" w:hAnsi="仿宋" w:eastAsia="仿宋" w:cs="仿宋"/>
                <w:b/>
                <w:bCs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/>
                <w:bCs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highlight w:val="none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b/>
                <w:bCs/>
                <w:highlight w:val="none"/>
                <w:lang w:val="en-US" w:eastAsia="zh-CN"/>
              </w:rPr>
              <w:t>.17</w:t>
            </w:r>
            <w:r>
              <w:rPr>
                <w:rFonts w:hint="default" w:ascii="仿宋" w:hAnsi="仿宋" w:eastAsia="仿宋" w:cs="仿宋"/>
                <w:b/>
                <w:bCs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</w:rPr>
              <w:t>评价等次</w:t>
            </w:r>
          </w:p>
        </w:tc>
        <w:tc>
          <w:tcPr>
            <w:tcW w:w="30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46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eastAsia="仿宋" w:cs="仿宋"/>
                <w:b/>
                <w:bCs/>
                <w:sz w:val="22"/>
                <w:highlight w:val="none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highlight w:val="none"/>
              </w:rPr>
              <w:t>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职务/职称</w:t>
            </w:r>
          </w:p>
        </w:tc>
        <w:tc>
          <w:tcPr>
            <w:tcW w:w="4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严朝星</w:t>
            </w:r>
          </w:p>
        </w:tc>
        <w:tc>
          <w:tcPr>
            <w:tcW w:w="21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办公室主任</w:t>
            </w:r>
          </w:p>
        </w:tc>
        <w:tc>
          <w:tcPr>
            <w:tcW w:w="4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白沙黎族自治县土地征用安置中心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highlight w:val="none"/>
              </w:rPr>
              <w:t>廷</w:t>
            </w:r>
          </w:p>
        </w:tc>
        <w:tc>
          <w:tcPr>
            <w:tcW w:w="21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办事员</w:t>
            </w:r>
          </w:p>
        </w:tc>
        <w:tc>
          <w:tcPr>
            <w:tcW w:w="4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白沙黎族自治县土地征用安置中心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</w:tc>
        <w:tc>
          <w:tcPr>
            <w:tcW w:w="4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</w:tc>
        <w:tc>
          <w:tcPr>
            <w:tcW w:w="4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8" w:hRule="atLeast"/>
          <w:jc w:val="center"/>
        </w:trPr>
        <w:tc>
          <w:tcPr>
            <w:tcW w:w="946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评价工作组组长（签字）：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 xml:space="preserve">                                  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 xml:space="preserve"> 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highlight w:val="none"/>
              </w:rPr>
              <w:t>二0二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十四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21" w:firstLineChars="50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目录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sz w:val="24"/>
          <w:szCs w:val="24"/>
        </w:rPr>
        <w:instrText xml:space="preserve">TOC \o "1-2" \h \u </w:instrText>
      </w:r>
      <w:r>
        <w:rPr>
          <w:rFonts w:hint="eastAsia" w:ascii="仿宋" w:hAnsi="仿宋" w:eastAsia="仿宋" w:cs="仿宋"/>
          <w:b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\l _Toc30785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一、项目概况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_Toc30785 \h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_Toc5458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</w:rPr>
        <w:t>（一）项目基本情况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_Toc5458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_Toc29505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</w:rPr>
        <w:t>（二）项目年度预算绩效目标和绩效指标设定情况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_Toc29505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\l _Toc10880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二、项目决策及资金使用管理情况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_Toc10880 \h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_Toc80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</w:rPr>
        <w:t>（一）项目决策情况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_Toc80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_Toc42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Cs/>
          <w:sz w:val="24"/>
          <w:szCs w:val="24"/>
        </w:rPr>
        <w:t>项目资金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投入及</w:t>
      </w:r>
      <w:r>
        <w:rPr>
          <w:rFonts w:hint="eastAsia" w:ascii="仿宋" w:hAnsi="仿宋" w:eastAsia="仿宋" w:cs="仿宋"/>
          <w:bCs/>
          <w:sz w:val="24"/>
          <w:szCs w:val="24"/>
        </w:rPr>
        <w:t>使用情况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_Toc42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\l _Toc24810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三、项目组织实施情况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_Toc24810 \h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_Toc12592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</w:rPr>
        <w:t>（一）项目组织情况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_Toc12592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_Toc28284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</w:rPr>
        <w:t>（二）项目管理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情况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_Toc28284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\l _Toc23341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项目绩效情况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_Toc23341 \h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_Toc23183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Cs/>
          <w:sz w:val="24"/>
          <w:szCs w:val="24"/>
        </w:rPr>
        <w:t>项目绩效目标完成情况分析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_Toc23183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\l _Toc30030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五、综合评价结论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_Toc30030 \h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\l _Toc9998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主要经验及做法、存在问题和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改进措施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_Toc9998 \h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_Toc21800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（一）主要经验及做法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_Toc21800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_Toc10807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（二）存在问题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_Toc10807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_Toc20642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（三）计划改进措施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_Toc20642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\l _Toc24968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附件：绩效评价指标体系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" w:firstLineChars="50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21" w:firstLineChars="50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财政支出项目绩效自评报告</w:t>
      </w:r>
    </w:p>
    <w:p>
      <w:pPr>
        <w:spacing w:line="530" w:lineRule="exact"/>
        <w:ind w:firstLine="105" w:firstLineChars="50"/>
        <w:jc w:val="center"/>
        <w:rPr>
          <w:rFonts w:hint="eastAsia" w:ascii="楷体_GB2312" w:hAnsi="仿宋" w:eastAsia="楷体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白沙黎族自治县土地征用安置中心（以下简称“本单位”）根据白沙黎族自治县财政局《关于开展项目绩效自评工作的通知》（白财〔2022〕47号）的要求，为推进预算绩效管理工作，提高财政资金使用效益，落实十九大报告提出的“建立全面规范、透明、标准科学、约束有力的预算制度，全面实施绩效管理”的要求，我们对本单位“综合事务经费项目”（以下简称“本项目”）开展绩效自评工作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黑体" w:hAnsi="黑体" w:eastAsia="黑体" w:cs="黑体"/>
          <w:sz w:val="28"/>
          <w:szCs w:val="28"/>
        </w:rPr>
      </w:pPr>
      <w:bookmarkStart w:id="0" w:name="_Toc30785"/>
      <w:r>
        <w:rPr>
          <w:rFonts w:hint="eastAsia" w:ascii="黑体" w:hAnsi="黑体" w:eastAsia="黑体" w:cs="黑体"/>
          <w:sz w:val="28"/>
          <w:szCs w:val="28"/>
        </w:rPr>
        <w:t>一、项目概况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1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bookmarkStart w:id="1" w:name="_Toc5458"/>
      <w:r>
        <w:rPr>
          <w:rFonts w:hint="eastAsia" w:ascii="仿宋" w:hAnsi="仿宋" w:eastAsia="仿宋" w:cs="仿宋"/>
          <w:b/>
          <w:bCs/>
          <w:sz w:val="28"/>
          <w:szCs w:val="28"/>
        </w:rPr>
        <w:t>（一）项目基本情况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本单位主要负责白沙县重点项目土地征用拆迁工作，隶属于白沙黎族自治县自然资源和规划局，为副科级事业单位。设立综合岗、财务岗、征地岗3个内设机构；截止2021年12月31日，本单位核定事业编制6名，核定人员编制结构为：单位领导岗位2个，其中主任1个，副主任1个；其他管理人员岗位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为保障本单位日常工作需要，本单位设立“综合事务经费”项目，作为经常性项目。本项目经县人代会审议批准，白沙黎族自治县财政局批复主要内容包括人员差旅费、长聘人员工资福利费、 委托业务费等。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2" w:name="_Toc29505"/>
      <w:r>
        <w:rPr>
          <w:rFonts w:hint="eastAsia" w:ascii="仿宋" w:hAnsi="仿宋" w:eastAsia="仿宋" w:cs="仿宋"/>
          <w:b/>
          <w:bCs/>
          <w:sz w:val="28"/>
          <w:szCs w:val="28"/>
        </w:rPr>
        <w:t>项目年度预算绩效目标和绩效指标设定情况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1.绩效目标: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为保障</w:t>
      </w:r>
      <w:r>
        <w:rPr>
          <w:rFonts w:hint="eastAsia" w:eastAsia="仿宋" w:cs="Times New Roman"/>
          <w:b w:val="0"/>
          <w:bCs w:val="0"/>
          <w:sz w:val="28"/>
          <w:szCs w:val="28"/>
          <w:lang w:val="en-US" w:eastAsia="zh-CN"/>
        </w:rPr>
        <w:t>本单位开展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日常工作</w:t>
      </w:r>
      <w:r>
        <w:rPr>
          <w:rFonts w:hint="eastAsia" w:eastAsia="仿宋" w:cs="Times New Roman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2.绩效指标：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（1）产出指标：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9" w:leftChars="266" w:hanging="560" w:hanging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时效指标：单位一年工作次数≥76次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9" w:leftChars="266" w:hanging="560" w:hanging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数量指标：完成单位工作次数≥76次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（2）效益指标：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本项目未设置效益指标。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（3）满意度指标：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本项目未设置满意度指标。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本项目绩效指标设置不完善，不符合绩效指标设置要求，建议调整为产出数量指标：日常工作完成率100%；质量指标：工作考核达标；时效指标：工作完成及时；效益指标：保障本单位日常工作的开展、保障服务水平等；满意度指标：受益对象满意度≥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3" w:name="_Toc1088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二、项目决策及资金使用管理情况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bookmarkStart w:id="4" w:name="_Toc8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（一）项目决策情况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本项目立项符合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《白沙黎族自治县国民经济和社会发展第十三个五年规划》和本单位职能职责</w:t>
      </w: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。项目立项经党委会议集体讨论通过，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经县人代会审议批准，立项材料齐全，符合立项审批程序。但本项目存在预算编制不准确的问题。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5" w:name="_Toc42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项目资金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投入及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使用情况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1.项目资金预算安排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2021年度批复“综合事务经费”预算资金41.80万元。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2.项目资金使用情况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本项目资金到位41.80万元，资金支出26.47万元，资金结余15.33万元,完成年度预算的63.33%。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通过核对项目相关的预决算资料、资金支出情况、明细账、记账凭证等，并实地对存档案卷进行现场抽查，本项目预算资金完成率较低，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预决算差距较大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）项目资金管理情况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项目按照《白沙黎族自治县财政专项资金报账制管理办法》（白府办〔2012〕145号）的规定，资金管理执行报账制。按照《白沙黎族自治县县直机关单位差旅费管理办法》（白府办〔2014〕114号）及《关于加强我县机关和事业单位差旅费管理的补充通知》（白府办〔2018〕66号）的标准执行。支出严格按照审批流程，会计核算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黑体" w:hAnsi="黑体" w:eastAsia="黑体" w:cs="黑体"/>
          <w:sz w:val="28"/>
          <w:szCs w:val="28"/>
        </w:rPr>
      </w:pPr>
      <w:bookmarkStart w:id="6" w:name="_Toc24810"/>
      <w:r>
        <w:rPr>
          <w:rFonts w:hint="eastAsia" w:ascii="黑体" w:hAnsi="黑体" w:eastAsia="黑体" w:cs="黑体"/>
          <w:sz w:val="28"/>
          <w:szCs w:val="28"/>
        </w:rPr>
        <w:t>三、项目组织实施情况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7" w:name="_Toc28284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单位根据实际情况制定本项目，报白沙黎族自治县财政局批复同意后实施。2021年3月白沙县财政局下达本项目预算经费。本项目依据《中华人民共和国预算法》及白沙县财政部门预算编制要求进行预算编制、审批、执行。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bookmarkStart w:id="8" w:name="_Toc23341"/>
      <w:bookmarkStart w:id="9" w:name="_Toc23389"/>
      <w:bookmarkStart w:id="10" w:name="_Toc28764"/>
      <w:bookmarkStart w:id="11" w:name="_Toc30417"/>
      <w:bookmarkStart w:id="12" w:name="_Toc30407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项目绩效情况</w:t>
      </w:r>
      <w:bookmarkEnd w:id="8"/>
      <w:bookmarkEnd w:id="9"/>
      <w:bookmarkEnd w:id="10"/>
      <w:bookmarkEnd w:id="11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13" w:name="_Toc5728"/>
      <w:bookmarkStart w:id="14" w:name="_Toc12214"/>
      <w:bookmarkStart w:id="15" w:name="_Toc23183"/>
      <w:bookmarkStart w:id="16" w:name="_Toc9494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项目绩效目标完成情况分析</w:t>
      </w:r>
      <w:bookmarkEnd w:id="13"/>
      <w:bookmarkEnd w:id="14"/>
      <w:bookmarkEnd w:id="15"/>
      <w:bookmarkEnd w:id="16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项目的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经济性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分析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2021年度预算实际安排财政资金41.80万元,支出26.47万元，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资金结余15.33万元,完成年度预算的63.33%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。本项目支出控制在批复的预算内。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项目的效率性分析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202</w:t>
      </w:r>
      <w:r>
        <w:rPr>
          <w:rFonts w:hint="eastAsia" w:eastAsia="仿宋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年度本项目资金</w:t>
      </w:r>
      <w:r>
        <w:rPr>
          <w:rFonts w:hint="eastAsia" w:eastAsia="仿宋" w:cs="Times New Roman"/>
          <w:color w:val="auto"/>
          <w:sz w:val="28"/>
          <w:szCs w:val="28"/>
          <w:highlight w:val="none"/>
          <w:lang w:val="en-US" w:eastAsia="zh-CN"/>
        </w:rPr>
        <w:t>主要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用于开展下乡</w:t>
      </w:r>
      <w:r>
        <w:rPr>
          <w:rFonts w:hint="eastAsia" w:eastAsia="仿宋" w:cs="Times New Roman"/>
          <w:color w:val="auto"/>
          <w:sz w:val="28"/>
          <w:szCs w:val="28"/>
          <w:highlight w:val="none"/>
          <w:lang w:val="en-US" w:eastAsia="zh-CN"/>
        </w:rPr>
        <w:t>征地、发放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长聘人员工资福利、委托业务等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项目的效益性分析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本项目的实施有效保障下乡征地工作的开展，保障了部门工作正常运转，提升工作效率及服务水平。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根据调查问卷，群众满意度达到90%以上，满意度较高。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黑体" w:hAnsi="黑体" w:eastAsia="黑体" w:cs="黑体"/>
          <w:sz w:val="28"/>
          <w:szCs w:val="44"/>
          <w:lang w:val="en-US" w:eastAsia="zh-CN"/>
        </w:rPr>
      </w:pPr>
      <w:bookmarkStart w:id="17" w:name="_Toc30030"/>
      <w:r>
        <w:rPr>
          <w:rFonts w:hint="eastAsia" w:ascii="黑体" w:hAnsi="黑体" w:eastAsia="黑体" w:cs="黑体"/>
          <w:sz w:val="28"/>
          <w:szCs w:val="44"/>
          <w:lang w:val="en-US" w:eastAsia="zh-CN"/>
        </w:rPr>
        <w:t>五、综合评价结论</w:t>
      </w:r>
      <w:bookmarkEnd w:id="17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本项目综合评分92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.17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分，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绩效级别评定为“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优秀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本项目评价得分汇总如下：</w:t>
      </w:r>
    </w:p>
    <w:tbl>
      <w:tblPr>
        <w:tblStyle w:val="7"/>
        <w:tblW w:w="8332" w:type="dxa"/>
        <w:tblInd w:w="118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59"/>
        <w:gridCol w:w="959"/>
        <w:gridCol w:w="1232"/>
        <w:gridCol w:w="380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tblHeader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评价指标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分值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得分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绩效等级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绩效等级标准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项目决策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20.00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18.00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优秀（18-20）、良好（16-17）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一般（14-15）、较差（13分以下）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项目管理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25.00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23.00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优秀（22-25）、良好（20-21）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一般（17-19）、较差（16分以下）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项目绩效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55.00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51.17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优秀（49-55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、良好（44-48）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一般（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8-43）、较差（37以下）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综合绩效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100.00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instrText xml:space="preserve"> = sum(C2:C4) \* MERGEFORMAT </w:instrText>
            </w: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.17</w:t>
            </w: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优秀（90-100）、良好（80-89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一般（60-79）、较差（0-59）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18" w:name="_Toc9998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1、“项目决策”评价指标满分为20.00分，评价得分为18.00分。该指标扣分的原因主要是：项目目标扣2分。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2、“项目管理”评价指标满分为25.00分，评价得分为23.00分。该指标扣分的原因主要是：管理制度扣2.00分。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“项目绩效”评价指标满分为55.00分，评价得分为51.17分。该指标的扣分原因主要是：产出数量扣1.83分、经济效益扣2分。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黑体" w:hAnsi="黑体" w:eastAsia="黑体" w:cs="黑体"/>
          <w:sz w:val="28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44"/>
          <w:lang w:val="en-US" w:eastAsia="zh-CN"/>
        </w:rPr>
        <w:t>六、</w:t>
      </w:r>
      <w:r>
        <w:rPr>
          <w:rFonts w:hint="eastAsia" w:ascii="黑体" w:hAnsi="黑体" w:eastAsia="黑体" w:cs="黑体"/>
          <w:sz w:val="28"/>
          <w:szCs w:val="44"/>
        </w:rPr>
        <w:t>主要经验及做法、存在问题和</w:t>
      </w:r>
      <w:r>
        <w:rPr>
          <w:rFonts w:hint="eastAsia" w:ascii="黑体" w:hAnsi="黑体" w:eastAsia="黑体" w:cs="黑体"/>
          <w:sz w:val="28"/>
          <w:szCs w:val="44"/>
          <w:lang w:val="en-US" w:eastAsia="zh-CN"/>
        </w:rPr>
        <w:t>改进措施</w:t>
      </w:r>
      <w:bookmarkEnd w:id="18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19" w:name="_Toc2180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（一）主要经验及做法</w:t>
      </w:r>
      <w:bookmarkEnd w:id="19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一是项目资金的及时到位，保障了项目按时实施。二是项目整体流程基本符合内控控制要求，积极布置项目并</w:t>
      </w:r>
      <w:bookmarkStart w:id="22" w:name="_GoBack"/>
      <w:bookmarkEnd w:id="22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开展各项工作，保障项目按时进行实施，顺利结束。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0" w:name="_Toc10807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（二）存在问题</w:t>
      </w:r>
      <w:bookmarkEnd w:id="20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一是项目决策方面，项目目标设置不完整，未对项目目标进行细化量化。二是在预算管理方面，存在预算编制不准确，降低了财政资金的使用效率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。三是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绩效指标值设置不够明确，项目产出未设置质量指标和成本指标；经济效益指标设置不清晰。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outlineLvl w:val="1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1" w:name="_Toc20642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（三）计划改进措施</w:t>
      </w:r>
      <w:bookmarkEnd w:id="21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一是本单位将完善项目目标设置，按规定对项目进行申报、审批。二是提升预算编制水平，确保预算编制准确，设置合理的效益考核评价指标，提高财政资金使用的效益，确保财政资金使用效益最大化。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D8F1F"/>
    <w:multiLevelType w:val="singleLevel"/>
    <w:tmpl w:val="948D8F1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00D1CB7"/>
    <w:multiLevelType w:val="singleLevel"/>
    <w:tmpl w:val="300D1C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9819F2F"/>
    <w:multiLevelType w:val="singleLevel"/>
    <w:tmpl w:val="59819F2F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819FA0"/>
    <w:multiLevelType w:val="singleLevel"/>
    <w:tmpl w:val="59819FA0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981A035"/>
    <w:multiLevelType w:val="singleLevel"/>
    <w:tmpl w:val="5981A035"/>
    <w:lvl w:ilvl="0" w:tentative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N2Q0NjdmNmNjNWVmY2RhYTA2ZDVmNTM2ZGNhNjkifQ=="/>
  </w:docVars>
  <w:rsids>
    <w:rsidRoot w:val="00000000"/>
    <w:rsid w:val="00443222"/>
    <w:rsid w:val="02DF390F"/>
    <w:rsid w:val="064B5646"/>
    <w:rsid w:val="0EA26636"/>
    <w:rsid w:val="0F135B60"/>
    <w:rsid w:val="0F3F72F8"/>
    <w:rsid w:val="107751CF"/>
    <w:rsid w:val="13E96DE1"/>
    <w:rsid w:val="15DC5D75"/>
    <w:rsid w:val="16B52B9D"/>
    <w:rsid w:val="17F83ADB"/>
    <w:rsid w:val="18202370"/>
    <w:rsid w:val="19393BD9"/>
    <w:rsid w:val="194F5837"/>
    <w:rsid w:val="199755B0"/>
    <w:rsid w:val="1A193D77"/>
    <w:rsid w:val="1B922362"/>
    <w:rsid w:val="1C1F0F99"/>
    <w:rsid w:val="1C212D97"/>
    <w:rsid w:val="1D7050CA"/>
    <w:rsid w:val="20A6282B"/>
    <w:rsid w:val="20AD28D4"/>
    <w:rsid w:val="22E53B72"/>
    <w:rsid w:val="2377681F"/>
    <w:rsid w:val="26EE32CA"/>
    <w:rsid w:val="270E3CB5"/>
    <w:rsid w:val="285B5113"/>
    <w:rsid w:val="28DF7871"/>
    <w:rsid w:val="2AD468BE"/>
    <w:rsid w:val="2AF21DCE"/>
    <w:rsid w:val="2B1153AA"/>
    <w:rsid w:val="30461C05"/>
    <w:rsid w:val="308A51E0"/>
    <w:rsid w:val="30BB528B"/>
    <w:rsid w:val="313679CB"/>
    <w:rsid w:val="31E46D59"/>
    <w:rsid w:val="32FC22AB"/>
    <w:rsid w:val="33BA1FEA"/>
    <w:rsid w:val="34833E85"/>
    <w:rsid w:val="349E48E3"/>
    <w:rsid w:val="35703BFB"/>
    <w:rsid w:val="3AA059AA"/>
    <w:rsid w:val="3AEA5DE4"/>
    <w:rsid w:val="3C051F20"/>
    <w:rsid w:val="3D231E16"/>
    <w:rsid w:val="3E2F6196"/>
    <w:rsid w:val="40732C38"/>
    <w:rsid w:val="42BA25C8"/>
    <w:rsid w:val="43EA294B"/>
    <w:rsid w:val="44DC49D5"/>
    <w:rsid w:val="455B5A6E"/>
    <w:rsid w:val="466F1C6B"/>
    <w:rsid w:val="475E4E61"/>
    <w:rsid w:val="47B921B5"/>
    <w:rsid w:val="4A043BDF"/>
    <w:rsid w:val="4B6F3542"/>
    <w:rsid w:val="4BA112B8"/>
    <w:rsid w:val="4BBC6C65"/>
    <w:rsid w:val="4BE82BCA"/>
    <w:rsid w:val="4CD10480"/>
    <w:rsid w:val="4D222C90"/>
    <w:rsid w:val="4D2640E7"/>
    <w:rsid w:val="512F4462"/>
    <w:rsid w:val="53301A4E"/>
    <w:rsid w:val="53D24839"/>
    <w:rsid w:val="576B26D6"/>
    <w:rsid w:val="5BF221ED"/>
    <w:rsid w:val="5C63360D"/>
    <w:rsid w:val="5C784350"/>
    <w:rsid w:val="5C7962C7"/>
    <w:rsid w:val="5D381FD6"/>
    <w:rsid w:val="5D406ECF"/>
    <w:rsid w:val="5DBF7A63"/>
    <w:rsid w:val="5E23395B"/>
    <w:rsid w:val="5ED03430"/>
    <w:rsid w:val="5EEC4B2F"/>
    <w:rsid w:val="60CA25EC"/>
    <w:rsid w:val="64B5146F"/>
    <w:rsid w:val="65807583"/>
    <w:rsid w:val="66633E9A"/>
    <w:rsid w:val="66E202C5"/>
    <w:rsid w:val="67C073FF"/>
    <w:rsid w:val="6C10146C"/>
    <w:rsid w:val="6FE80A26"/>
    <w:rsid w:val="70CF5362"/>
    <w:rsid w:val="713C32A5"/>
    <w:rsid w:val="715A56BA"/>
    <w:rsid w:val="73014916"/>
    <w:rsid w:val="73546F10"/>
    <w:rsid w:val="74943228"/>
    <w:rsid w:val="75E37BC3"/>
    <w:rsid w:val="768104BD"/>
    <w:rsid w:val="78D56073"/>
    <w:rsid w:val="7E6745CA"/>
    <w:rsid w:val="7EC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14-2"/>
    <w:basedOn w:val="1"/>
    <w:qFormat/>
    <w:uiPriority w:val="0"/>
    <w:pPr>
      <w:spacing w:line="456" w:lineRule="auto"/>
      <w:jc w:val="left"/>
    </w:pPr>
    <w:rPr>
      <w:kern w:val="0"/>
      <w:sz w:val="21"/>
      <w:szCs w:val="21"/>
      <w:lang w:val="en-US" w:eastAsia="zh-CN" w:bidi="ar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2927</Words>
  <Characters>3206</Characters>
  <Lines>0</Lines>
  <Paragraphs>0</Paragraphs>
  <TotalTime>3</TotalTime>
  <ScaleCrop>false</ScaleCrop>
  <LinksUpToDate>false</LinksUpToDate>
  <CharactersWithSpaces>3497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2021-06-04T00:53:00Z</dcterms:created>
  <dc:creator>Administrator</dc:creator>
  <cp:lastModifiedBy>烈酒</cp:lastModifiedBy>
  <cp:lastPrinted>2021-06-29T01:16:00Z</cp:lastPrinted>
  <dcterms:modified xsi:type="dcterms:W3CDTF">2022-09-14T01:49:29Z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ABA25DD7E93F4FFFB8E81D60BB453267</vt:lpwstr>
  </property>
</Properties>
</file>