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Lines="0" w:afterLines="0"/>
        <w:jc w:val="center"/>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《白沙黎族自治县七坊镇镇区控制性详细</w:t>
      </w:r>
      <w:r>
        <w:rPr>
          <w:rFonts w:hint="eastAsia" w:cs="宋体"/>
          <w:b/>
          <w:kern w:val="2"/>
          <w:sz w:val="32"/>
          <w:szCs w:val="32"/>
          <w:lang w:val="en-US" w:eastAsia="zh-CN" w:bidi="ar-SA"/>
        </w:rPr>
        <w:t>规划</w:t>
      </w:r>
      <w:r>
        <w:rPr>
          <w:rFonts w:hint="eastAsia" w:ascii="宋体" w:hAnsi="宋体" w:eastAsia="宋体" w:cs="宋体"/>
          <w:b/>
          <w:kern w:val="2"/>
          <w:sz w:val="32"/>
          <w:szCs w:val="32"/>
          <w:lang w:val="en-US" w:eastAsia="zh-CN" w:bidi="ar-SA"/>
        </w:rPr>
        <w:t>（2018-2030</w:t>
      </w:r>
      <w:r>
        <w:rPr>
          <w:rFonts w:hint="eastAsia" w:cs="宋体"/>
          <w:b/>
          <w:kern w:val="2"/>
          <w:sz w:val="32"/>
          <w:szCs w:val="32"/>
          <w:lang w:val="en-US" w:eastAsia="zh-CN" w:bidi="ar-SA"/>
        </w:rPr>
        <w:t>)</w:t>
      </w:r>
      <w:r>
        <w:rPr>
          <w:rFonts w:hint="eastAsia" w:ascii="宋体" w:hAnsi="宋体" w:eastAsia="宋体" w:cs="宋体"/>
          <w:b/>
          <w:kern w:val="2"/>
          <w:sz w:val="32"/>
          <w:szCs w:val="32"/>
          <w:lang w:val="en-US" w:eastAsia="zh-CN" w:bidi="ar-SA"/>
        </w:rPr>
        <w:t>（修编）</w:t>
      </w:r>
      <w:bookmarkStart w:id="0" w:name="_GoBack"/>
      <w:bookmarkEnd w:id="0"/>
      <w:r>
        <w:rPr>
          <w:rFonts w:hint="eastAsia" w:ascii="宋体" w:hAnsi="宋体" w:eastAsia="宋体" w:cs="宋体"/>
          <w:b/>
          <w:kern w:val="2"/>
          <w:sz w:val="32"/>
          <w:szCs w:val="32"/>
          <w:lang w:val="en-US" w:eastAsia="zh-CN" w:bidi="ar-SA"/>
        </w:rPr>
        <w:t>C-18地块用地规划调整论证报告》公示</w:t>
      </w:r>
    </w:p>
    <w:p>
      <w:pPr>
        <w:numPr>
          <w:ilvl w:val="0"/>
          <w:numId w:val="1"/>
        </w:numPr>
        <w:spacing w:line="480" w:lineRule="exact"/>
        <w:ind w:left="-420" w:leftChars="0" w:firstLine="420" w:firstLineChars="0"/>
        <w:rPr>
          <w:rFonts w:hint="eastAsia" w:ascii="宋体" w:hAnsi="宋体"/>
          <w:b/>
          <w:sz w:val="32"/>
          <w:szCs w:val="32"/>
        </w:rPr>
      </w:pPr>
      <w:r>
        <w:rPr>
          <w:rFonts w:hint="eastAsia" w:ascii="宋体" w:hAnsi="宋体"/>
          <w:b/>
          <w:sz w:val="32"/>
          <w:szCs w:val="32"/>
        </w:rPr>
        <w:t>项目区位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论证地块位于白沙黎族自治县七坊镇镇区北侧。邻近规划路，交通便利，地理位置相对优越。</w:t>
      </w:r>
    </w:p>
    <w:p>
      <w:pPr>
        <w:keepNext w:val="0"/>
        <w:keepLines w:val="0"/>
        <w:pageBreakBefore w:val="0"/>
        <w:widowControl w:val="0"/>
        <w:kinsoku/>
        <w:wordWrap/>
        <w:overflowPunct/>
        <w:topLinePunct w:val="0"/>
        <w:autoSpaceDE/>
        <w:autoSpaceDN/>
        <w:bidi w:val="0"/>
        <w:adjustRightInd/>
        <w:snapToGrid/>
        <w:spacing w:line="400" w:lineRule="exact"/>
        <w:ind w:left="141" w:leftChars="67" w:right="141" w:rightChars="67" w:firstLine="0" w:firstLineChars="0"/>
        <w:jc w:val="left"/>
        <w:textAlignment w:val="auto"/>
        <w:rPr>
          <w:rFonts w:hint="eastAsia" w:ascii="宋体" w:hAnsi="宋体" w:eastAsia="宋体" w:cs="宋体"/>
          <w:sz w:val="24"/>
        </w:rPr>
      </w:pPr>
    </w:p>
    <w:p>
      <w:pPr>
        <w:numPr>
          <w:ilvl w:val="0"/>
          <w:numId w:val="1"/>
        </w:numPr>
        <w:spacing w:line="480" w:lineRule="exact"/>
        <w:ind w:left="-420" w:leftChars="0" w:firstLine="420" w:firstLineChars="0"/>
        <w:rPr>
          <w:rFonts w:hint="eastAsia" w:ascii="宋体" w:hAnsi="宋体"/>
          <w:b/>
          <w:sz w:val="32"/>
          <w:szCs w:val="32"/>
          <w:lang w:val="en-US" w:eastAsia="zh-CN"/>
        </w:rPr>
      </w:pPr>
      <w:r>
        <w:rPr>
          <w:rFonts w:hint="eastAsia" w:ascii="宋体" w:hAnsi="宋体"/>
          <w:b/>
          <w:sz w:val="32"/>
          <w:szCs w:val="32"/>
          <w:lang w:val="en-US" w:eastAsia="zh-CN"/>
        </w:rPr>
        <w:t>论证范围</w:t>
      </w:r>
    </w:p>
    <w:p>
      <w:pPr>
        <w:pStyle w:val="11"/>
        <w:spacing w:beforeLines="0" w:afterLines="0"/>
        <w:ind w:firstLine="51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论证地块位于《白沙黎族自治县七坊镇镇区控制性详细规划（2018-2030）（修编）》中C-18地块，地块总用地面积为20226.45平方米，用地权属为白沙黎族自治县七坊镇高石村委会高石新经济社权属用地。</w:t>
      </w:r>
    </w:p>
    <w:p>
      <w:pPr>
        <w:keepNext w:val="0"/>
        <w:keepLines w:val="0"/>
        <w:pageBreakBefore w:val="0"/>
        <w:widowControl w:val="0"/>
        <w:kinsoku/>
        <w:wordWrap/>
        <w:overflowPunct/>
        <w:topLinePunct w:val="0"/>
        <w:autoSpaceDE/>
        <w:autoSpaceDN/>
        <w:bidi w:val="0"/>
        <w:adjustRightInd/>
        <w:snapToGrid/>
        <w:spacing w:line="360" w:lineRule="auto"/>
        <w:ind w:left="141" w:leftChars="67" w:right="141" w:rightChars="67" w:firstLine="480" w:firstLineChars="200"/>
        <w:jc w:val="left"/>
        <w:textAlignment w:val="auto"/>
        <w:rPr>
          <w:rFonts w:hint="eastAsia" w:ascii="宋体" w:hAnsi="宋体" w:eastAsia="宋体" w:cs="宋体"/>
          <w:sz w:val="24"/>
        </w:rPr>
      </w:pPr>
    </w:p>
    <w:p>
      <w:pPr>
        <w:numPr>
          <w:ilvl w:val="0"/>
          <w:numId w:val="1"/>
        </w:numPr>
        <w:spacing w:line="480" w:lineRule="exact"/>
        <w:ind w:left="-420" w:leftChars="0" w:firstLine="420" w:firstLineChars="0"/>
        <w:rPr>
          <w:rFonts w:hint="eastAsia" w:ascii="宋体" w:hAnsi="宋体"/>
          <w:b/>
          <w:sz w:val="32"/>
          <w:szCs w:val="32"/>
          <w:lang w:val="en-US" w:eastAsia="zh-CN"/>
        </w:rPr>
      </w:pPr>
      <w:r>
        <w:rPr>
          <w:rFonts w:hint="eastAsia" w:ascii="宋体" w:hAnsi="宋体"/>
          <w:b/>
          <w:sz w:val="32"/>
          <w:szCs w:val="32"/>
          <w:lang w:val="en-US" w:eastAsia="zh-CN"/>
        </w:rPr>
        <w:t>修改必要性</w:t>
      </w:r>
    </w:p>
    <w:p>
      <w:pPr>
        <w:pStyle w:val="11"/>
        <w:spacing w:beforeLines="0" w:afterLines="0"/>
        <w:ind w:firstLine="51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（1）屠宰场项目的建设是落实食品安全卫生，保证生猪产品质量，保障人民身体健康的需要</w:t>
      </w:r>
    </w:p>
    <w:p>
      <w:pPr>
        <w:pStyle w:val="11"/>
        <w:spacing w:beforeLines="0" w:afterLines="0"/>
        <w:ind w:firstLine="51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（2）屠宰场项目的建设是加强生猪屠宰管理，优化农业产业结构、引导肉类工业标准化的需要</w:t>
      </w:r>
    </w:p>
    <w:p>
      <w:pPr>
        <w:pStyle w:val="11"/>
        <w:spacing w:beforeLines="0" w:afterLines="0"/>
        <w:ind w:firstLine="51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（3）屠宰场项目的建设是统筹城乡经济社会发展，促使农民收入得到明显增加强化地方财政、解决就业问题的需要。</w:t>
      </w:r>
    </w:p>
    <w:p>
      <w:pPr>
        <w:pStyle w:val="11"/>
        <w:spacing w:beforeLines="0" w:afterLines="0"/>
        <w:ind w:firstLine="51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（4）屠宰场项目建设是培育大市场，提高农产品流通效率，实现生猪定点屠宰厂与现代流通方式有机结合的需要。</w:t>
      </w:r>
    </w:p>
    <w:p>
      <w:pPr>
        <w:pStyle w:val="11"/>
        <w:spacing w:beforeLines="0" w:afterLines="0"/>
        <w:ind w:firstLine="51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（5）新增公用设施用地有利于进一步完善七坊镇基础配套功能。</w:t>
      </w:r>
    </w:p>
    <w:p>
      <w:pPr>
        <w:numPr>
          <w:ilvl w:val="0"/>
          <w:numId w:val="0"/>
        </w:numPr>
        <w:spacing w:line="480" w:lineRule="exact"/>
        <w:ind w:leftChars="0"/>
        <w:rPr>
          <w:rFonts w:hint="eastAsia" w:ascii="宋体" w:hAnsi="宋体" w:eastAsia="宋体" w:cs="宋体"/>
          <w:sz w:val="24"/>
          <w:lang w:val="en-US" w:eastAsia="zh-CN"/>
        </w:rPr>
      </w:pPr>
    </w:p>
    <w:p>
      <w:pPr>
        <w:numPr>
          <w:ilvl w:val="0"/>
          <w:numId w:val="1"/>
        </w:numPr>
        <w:spacing w:line="480" w:lineRule="exact"/>
        <w:ind w:left="-420" w:leftChars="0" w:firstLine="420" w:firstLineChars="0"/>
        <w:rPr>
          <w:rFonts w:hint="eastAsia" w:ascii="宋体" w:hAnsi="宋体"/>
          <w:b/>
          <w:sz w:val="32"/>
          <w:szCs w:val="32"/>
          <w:lang w:val="en-US" w:eastAsia="zh-CN"/>
        </w:rPr>
      </w:pPr>
      <w:r>
        <w:rPr>
          <w:rFonts w:hint="eastAsia" w:ascii="宋体" w:hAnsi="宋体"/>
          <w:b/>
          <w:sz w:val="32"/>
          <w:szCs w:val="32"/>
          <w:lang w:val="en-US" w:eastAsia="zh-CN"/>
        </w:rPr>
        <w:t>论证内容</w:t>
      </w:r>
    </w:p>
    <w:p>
      <w:pPr>
        <w:pStyle w:val="11"/>
        <w:spacing w:beforeLines="0" w:afterLines="0"/>
        <w:ind w:firstLine="51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《白沙黎族自治县七坊镇镇区控制性详细规划（2018-2030）修编》C-18地块划分及地块用地性质及规划指标修改。</w:t>
      </w:r>
    </w:p>
    <w:p>
      <w:pPr>
        <w:pStyle w:val="11"/>
        <w:spacing w:beforeLines="0" w:afterLines="0"/>
        <w:ind w:firstLine="51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将原控规C-18地块中“图书展览用地（A21）”进行统筹整合开发建设七坊镇屠宰场项目，剩余用地用于公用设施用地进行开发建设，现需要将其用地性质修改为“二类工业用地（100102）和公用设施用地（13）”。论证地块规划指标确定为：二类工业用地：用地面积为11066.94平方米，容积率≥1.0、建筑限高≤20米、建筑系数≥40%、绿地率≤20%；公用设施用地：用地面积为9159.51平方米，容积率≤0.8、建筑限高≤16米、建筑密度≤30%、绿地率≥40%。</w:t>
      </w:r>
    </w:p>
    <w:p>
      <w:pPr>
        <w:numPr>
          <w:ilvl w:val="0"/>
          <w:numId w:val="0"/>
        </w:numPr>
        <w:spacing w:line="480" w:lineRule="exact"/>
        <w:ind w:leftChars="0" w:firstLine="480"/>
        <w:rPr>
          <w:rFonts w:hint="eastAsia" w:ascii="宋体" w:hAnsi="宋体" w:eastAsia="宋体" w:cs="宋体"/>
          <w:sz w:val="24"/>
          <w:lang w:val="en-US" w:eastAsia="zh-CN"/>
        </w:rPr>
      </w:pPr>
    </w:p>
    <w:p>
      <w:pPr>
        <w:numPr>
          <w:ilvl w:val="0"/>
          <w:numId w:val="0"/>
        </w:numPr>
        <w:spacing w:line="480" w:lineRule="exact"/>
        <w:ind w:leftChars="0" w:firstLine="480"/>
        <w:rPr>
          <w:rFonts w:hint="eastAsia" w:ascii="宋体" w:hAnsi="宋体" w:eastAsia="宋体" w:cs="宋体"/>
          <w:sz w:val="24"/>
          <w:lang w:val="en-US" w:eastAsia="zh-CN"/>
        </w:rPr>
      </w:pPr>
    </w:p>
    <w:p>
      <w:pPr>
        <w:numPr>
          <w:ilvl w:val="0"/>
          <w:numId w:val="1"/>
        </w:numPr>
        <w:spacing w:line="480" w:lineRule="exact"/>
        <w:ind w:left="-420" w:leftChars="0" w:firstLine="420" w:firstLineChars="0"/>
        <w:rPr>
          <w:rFonts w:hint="eastAsia" w:ascii="宋体" w:hAnsi="宋体"/>
          <w:b/>
          <w:sz w:val="32"/>
          <w:szCs w:val="32"/>
          <w:lang w:val="en-US" w:eastAsia="zh-CN"/>
        </w:rPr>
      </w:pPr>
      <w:r>
        <w:rPr>
          <w:rFonts w:hint="eastAsia" w:ascii="宋体" w:hAnsi="宋体"/>
          <w:b/>
          <w:sz w:val="32"/>
          <w:szCs w:val="32"/>
          <w:lang w:val="en-US" w:eastAsia="zh-CN"/>
        </w:rPr>
        <w:t>论证结论</w:t>
      </w:r>
    </w:p>
    <w:p>
      <w:pPr>
        <w:pStyle w:val="11"/>
        <w:spacing w:beforeLines="0" w:afterLines="0"/>
        <w:ind w:firstLine="51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本次论证将C-18地块进行划分，将C-18-1地块用地性质由原“图书展览用地（A21）”修改为 “公用设施用地（13）”。地块指标最终确定为：用地面积为9159.51平方米，容积率≤0.8、建筑密度≤30%、建筑限高≤16米、绿地率≥40%。将C-18-2地块用地性质由原“图书展览用地（A21）”修改为 “二类工业用地（100102）”。地块指标最终确定为：用地面积为11066.94平方米，容积率≥1.0、建筑系数≥40%、建筑限高≤20米、绿地率≤20%。政策上可行，技术上合理，符合控规修改要求。</w:t>
      </w:r>
    </w:p>
    <w:p>
      <w:pPr>
        <w:keepNext w:val="0"/>
        <w:keepLines w:val="0"/>
        <w:pageBreakBefore w:val="0"/>
        <w:widowControl w:val="0"/>
        <w:kinsoku/>
        <w:wordWrap/>
        <w:overflowPunct/>
        <w:topLinePunct w:val="0"/>
        <w:autoSpaceDE/>
        <w:autoSpaceDN/>
        <w:bidi w:val="0"/>
        <w:adjustRightInd/>
        <w:snapToGrid/>
        <w:spacing w:line="360" w:lineRule="auto"/>
        <w:ind w:left="141" w:leftChars="67" w:right="141" w:rightChars="67" w:firstLine="420" w:firstLineChars="200"/>
        <w:jc w:val="left"/>
        <w:textAlignment w:val="auto"/>
        <w:rPr>
          <w:rFonts w:hint="eastAsia" w:ascii="宋体" w:hAnsi="宋体"/>
          <w:b/>
          <w:sz w:val="32"/>
          <w:szCs w:val="32"/>
          <w:lang w:val="en-US" w:eastAsia="zh-CN"/>
        </w:rPr>
      </w:pPr>
      <w:r>
        <w:rPr>
          <w:rFonts w:hint="eastAsia"/>
          <w:lang w:val="en-US" w:eastAsia="zh-CN"/>
        </w:rPr>
        <w:t xml:space="preserve">    </w:t>
      </w:r>
    </w:p>
    <w:p>
      <w:pPr>
        <w:keepNext w:val="0"/>
        <w:keepLines w:val="0"/>
        <w:pageBreakBefore w:val="0"/>
        <w:widowControl w:val="0"/>
        <w:kinsoku/>
        <w:wordWrap/>
        <w:overflowPunct/>
        <w:topLinePunct w:val="0"/>
        <w:bidi w:val="0"/>
        <w:snapToGrid/>
        <w:spacing w:line="480" w:lineRule="exact"/>
        <w:ind w:firstLine="0" w:firstLineChars="0"/>
        <w:textAlignment w:val="auto"/>
        <w:rPr>
          <w:rFonts w:ascii="微软雅黑" w:hAnsi="微软雅黑" w:eastAsia="微软雅黑"/>
          <w:sz w:val="24"/>
        </w:rPr>
      </w:pPr>
      <w:r>
        <w:rPr>
          <w:rFonts w:hint="eastAsia" w:ascii="微软雅黑" w:hAnsi="微软雅黑" w:eastAsia="微软雅黑"/>
          <w:sz w:val="24"/>
        </w:rPr>
        <w:t>附：论证报告相关图纸</w:t>
      </w:r>
    </w:p>
    <w:p>
      <w:pPr>
        <w:keepNext w:val="0"/>
        <w:keepLines w:val="0"/>
        <w:pageBreakBefore w:val="0"/>
        <w:widowControl w:val="0"/>
        <w:kinsoku/>
        <w:wordWrap/>
        <w:overflowPunct/>
        <w:topLinePunct w:val="0"/>
        <w:autoSpaceDE w:val="0"/>
        <w:autoSpaceDN w:val="0"/>
        <w:bidi w:val="0"/>
        <w:adjustRightInd w:val="0"/>
        <w:snapToGrid/>
        <w:spacing w:line="480" w:lineRule="exact"/>
        <w:ind w:firstLine="0" w:firstLineChars="0"/>
        <w:jc w:val="left"/>
        <w:textAlignment w:val="auto"/>
        <w:rPr>
          <w:rFonts w:hint="eastAsia" w:ascii="微软雅黑" w:hAnsi="微软雅黑" w:eastAsia="微软雅黑"/>
          <w:sz w:val="24"/>
        </w:rPr>
      </w:pPr>
      <w:r>
        <w:rPr>
          <w:rFonts w:hint="eastAsia" w:ascii="微软雅黑" w:hAnsi="微软雅黑" w:eastAsia="微软雅黑"/>
          <w:sz w:val="24"/>
        </w:rPr>
        <w:t>01 区位图</w:t>
      </w:r>
    </w:p>
    <w:p>
      <w:pPr>
        <w:keepNext w:val="0"/>
        <w:keepLines w:val="0"/>
        <w:pageBreakBefore w:val="0"/>
        <w:widowControl w:val="0"/>
        <w:kinsoku/>
        <w:wordWrap/>
        <w:overflowPunct/>
        <w:topLinePunct w:val="0"/>
        <w:autoSpaceDE w:val="0"/>
        <w:autoSpaceDN w:val="0"/>
        <w:bidi w:val="0"/>
        <w:adjustRightInd w:val="0"/>
        <w:snapToGrid/>
        <w:spacing w:line="480" w:lineRule="exact"/>
        <w:ind w:firstLine="0" w:firstLineChars="0"/>
        <w:jc w:val="left"/>
        <w:textAlignment w:val="auto"/>
        <w:rPr>
          <w:rFonts w:hint="default" w:ascii="微软雅黑" w:hAnsi="微软雅黑" w:eastAsia="微软雅黑"/>
          <w:sz w:val="24"/>
          <w:lang w:val="en-US" w:eastAsia="zh-CN"/>
        </w:rPr>
      </w:pPr>
      <w:r>
        <w:rPr>
          <w:rFonts w:hint="eastAsia" w:ascii="微软雅黑" w:hAnsi="微软雅黑" w:eastAsia="微软雅黑"/>
          <w:sz w:val="24"/>
          <w:lang w:val="en-US" w:eastAsia="zh-CN"/>
        </w:rPr>
        <w:t>02 现行规划简介</w:t>
      </w:r>
    </w:p>
    <w:p>
      <w:pPr>
        <w:keepNext w:val="0"/>
        <w:keepLines w:val="0"/>
        <w:pageBreakBefore w:val="0"/>
        <w:widowControl w:val="0"/>
        <w:kinsoku/>
        <w:wordWrap/>
        <w:overflowPunct/>
        <w:topLinePunct w:val="0"/>
        <w:autoSpaceDE w:val="0"/>
        <w:autoSpaceDN w:val="0"/>
        <w:bidi w:val="0"/>
        <w:adjustRightInd w:val="0"/>
        <w:snapToGrid/>
        <w:spacing w:line="480" w:lineRule="exact"/>
        <w:ind w:firstLine="0" w:firstLineChars="0"/>
        <w:jc w:val="left"/>
        <w:textAlignment w:val="auto"/>
        <w:rPr>
          <w:rFonts w:hint="eastAsia"/>
          <w:lang w:val="en-US" w:eastAsia="zh-CN"/>
        </w:rPr>
      </w:pPr>
      <w:r>
        <w:rPr>
          <w:rFonts w:hint="eastAsia" w:ascii="微软雅黑" w:hAnsi="微软雅黑" w:eastAsia="微软雅黑"/>
          <w:sz w:val="24"/>
        </w:rPr>
        <w:t>0</w:t>
      </w:r>
      <w:r>
        <w:rPr>
          <w:rFonts w:hint="eastAsia" w:ascii="微软雅黑" w:hAnsi="微软雅黑" w:eastAsia="微软雅黑"/>
          <w:sz w:val="24"/>
          <w:lang w:val="en-US" w:eastAsia="zh-CN"/>
        </w:rPr>
        <w:t>3</w:t>
      </w:r>
      <w:r>
        <w:rPr>
          <w:rFonts w:hint="eastAsia" w:ascii="微软雅黑" w:hAnsi="微软雅黑" w:eastAsia="微软雅黑"/>
          <w:sz w:val="24"/>
        </w:rPr>
        <w:t xml:space="preserve"> 地块图则示意</w:t>
      </w:r>
    </w:p>
    <w:p/>
    <w:p>
      <w:pPr>
        <w:rPr>
          <w:rFonts w:hint="eastAsia" w:eastAsiaTheme="minorEastAsia"/>
          <w:lang w:eastAsia="zh-CN"/>
        </w:rPr>
      </w:pPr>
    </w:p>
    <w:p>
      <w:pPr>
        <w:rPr>
          <w:rFonts w:hint="eastAsia"/>
          <w:lang w:val="en-US" w:eastAsia="zh-CN"/>
        </w:rPr>
      </w:pPr>
    </w:p>
    <w:p>
      <w:pPr>
        <w:rPr>
          <w:rFonts w:hint="eastAsia"/>
          <w:lang w:val="en-US" w:eastAsia="zh-CN"/>
        </w:rPr>
      </w:pPr>
      <w:r>
        <w:rPr>
          <w:rFonts w:hint="eastAsia" w:eastAsiaTheme="minorEastAsia"/>
          <w:lang w:eastAsia="zh-CN"/>
        </w:rPr>
        <w:drawing>
          <wp:inline distT="0" distB="0" distL="114300" distR="114300">
            <wp:extent cx="5852795" cy="4138930"/>
            <wp:effectExtent l="0" t="0" r="14605" b="13970"/>
            <wp:docPr id="4" name="图片 4" descr="白沙黎族自治县七坊镇镇区控制性详细规划（2018-2030）（修编）C-18地块规划调整项目2023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白沙黎族自治县七坊镇镇区控制性详细规划（2018-2030）（修编）C-18地块规划调整项目2023 8"/>
                    <pic:cNvPicPr>
                      <a:picLocks noChangeAspect="1"/>
                    </pic:cNvPicPr>
                  </pic:nvPicPr>
                  <pic:blipFill>
                    <a:blip r:embed="rId4"/>
                    <a:stretch>
                      <a:fillRect/>
                    </a:stretch>
                  </pic:blipFill>
                  <pic:spPr>
                    <a:xfrm>
                      <a:off x="0" y="0"/>
                      <a:ext cx="5852795" cy="4138930"/>
                    </a:xfrm>
                    <a:prstGeom prst="rect">
                      <a:avLst/>
                    </a:prstGeom>
                  </pic:spPr>
                </pic:pic>
              </a:graphicData>
            </a:graphic>
          </wp:inline>
        </w:drawing>
      </w:r>
    </w:p>
    <w:p>
      <w:pPr>
        <w:rPr>
          <w:rFonts w:hint="eastAsia"/>
          <w:lang w:val="en-US" w:eastAsia="zh-CN"/>
        </w:rPr>
      </w:pPr>
    </w:p>
    <w:p>
      <w:pPr>
        <w:jc w:val="right"/>
      </w:pPr>
    </w:p>
    <w:p>
      <w:pPr>
        <w:jc w:val="right"/>
        <w:rPr>
          <w:rFonts w:hint="eastAsia" w:eastAsiaTheme="minorEastAsia"/>
          <w:lang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-19050</wp:posOffset>
            </wp:positionH>
            <wp:positionV relativeFrom="paragraph">
              <wp:posOffset>139065</wp:posOffset>
            </wp:positionV>
            <wp:extent cx="5262245" cy="3721100"/>
            <wp:effectExtent l="0" t="0" r="14605" b="12700"/>
            <wp:wrapTopAndBottom/>
            <wp:docPr id="5" name="图片 5" descr="白沙黎族自治县七坊镇镇区控制性详细规划（2018-2030）（修编）C-18地块规划调整项目2023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白沙黎族自治县七坊镇镇区控制性详细规划（2018-2030）（修编）C-18地块规划调整项目2023 15"/>
                    <pic:cNvPicPr>
                      <a:picLocks noChangeAspect="1"/>
                    </pic:cNvPicPr>
                  </pic:nvPicPr>
                  <pic:blipFill>
                    <a:blip r:embed="rId5"/>
                    <a:stretch>
                      <a:fillRect/>
                    </a:stretch>
                  </pic:blipFill>
                  <pic:spPr>
                    <a:xfrm>
                      <a:off x="0" y="0"/>
                      <a:ext cx="5262245" cy="3721100"/>
                    </a:xfrm>
                    <a:prstGeom prst="rect">
                      <a:avLst/>
                    </a:prstGeom>
                  </pic:spPr>
                </pic:pic>
              </a:graphicData>
            </a:graphic>
          </wp:anchor>
        </w:drawing>
      </w:r>
    </w:p>
    <w:p>
      <w:pPr>
        <w:jc w:val="right"/>
        <w:rPr>
          <w:rFonts w:hint="eastAsia" w:eastAsiaTheme="minorEastAsia"/>
          <w:lang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95250</wp:posOffset>
            </wp:positionH>
            <wp:positionV relativeFrom="paragraph">
              <wp:posOffset>382270</wp:posOffset>
            </wp:positionV>
            <wp:extent cx="5262245" cy="3721100"/>
            <wp:effectExtent l="0" t="0" r="14605" b="12700"/>
            <wp:wrapTopAndBottom/>
            <wp:docPr id="6" name="图片 6" descr="白沙黎族自治县七坊镇镇区控制性详细规划（2018-2030）（修编）C-18地块规划调整项目2023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白沙黎族自治县七坊镇镇区控制性详细规划（2018-2030）（修编）C-18地块规划调整项目2023 56"/>
                    <pic:cNvPicPr>
                      <a:picLocks noChangeAspect="1"/>
                    </pic:cNvPicPr>
                  </pic:nvPicPr>
                  <pic:blipFill>
                    <a:blip r:embed="rId6"/>
                    <a:stretch>
                      <a:fillRect/>
                    </a:stretch>
                  </pic:blipFill>
                  <pic:spPr>
                    <a:xfrm>
                      <a:off x="0" y="0"/>
                      <a:ext cx="5262245" cy="3721100"/>
                    </a:xfrm>
                    <a:prstGeom prst="rect">
                      <a:avLst/>
                    </a:prstGeom>
                  </pic:spPr>
                </pic:pic>
              </a:graphicData>
            </a:graphic>
          </wp:anchor>
        </w:drawing>
      </w:r>
    </w:p>
    <w:p>
      <w:pPr>
        <w:jc w:val="center"/>
        <w:rPr>
          <w:rFonts w:hint="eastAsia" w:eastAsiaTheme="minorEastAsia"/>
          <w:lang w:eastAsia="zh-CN"/>
        </w:rPr>
      </w:pPr>
    </w:p>
    <w:p>
      <w:pPr>
        <w:jc w:val="cente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56A"/>
    <w:multiLevelType w:val="singleLevel"/>
    <w:tmpl w:val="2340756A"/>
    <w:lvl w:ilvl="0" w:tentative="0">
      <w:start w:val="1"/>
      <w:numFmt w:val="chineseCounting"/>
      <w:suff w:val="nothing"/>
      <w:lvlText w:val="%1、"/>
      <w:lvlJc w:val="left"/>
      <w:pPr>
        <w:ind w:left="-42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Y2IwZTRhOTRmZjNhMzMxODlhMjZmZTlmOTAyZDYifQ=="/>
  </w:docVars>
  <w:rsids>
    <w:rsidRoot w:val="00172A27"/>
    <w:rsid w:val="01712B89"/>
    <w:rsid w:val="11CF470D"/>
    <w:rsid w:val="18447B06"/>
    <w:rsid w:val="1A170761"/>
    <w:rsid w:val="22E1719E"/>
    <w:rsid w:val="2DF0548D"/>
    <w:rsid w:val="326E5A93"/>
    <w:rsid w:val="349D0258"/>
    <w:rsid w:val="35DA4594"/>
    <w:rsid w:val="398F320D"/>
    <w:rsid w:val="3F1F1D92"/>
    <w:rsid w:val="51272148"/>
    <w:rsid w:val="54A84CA1"/>
    <w:rsid w:val="57E11972"/>
    <w:rsid w:val="592D4EFA"/>
    <w:rsid w:val="59B32B83"/>
    <w:rsid w:val="5A0711A3"/>
    <w:rsid w:val="608004B1"/>
    <w:rsid w:val="627B05F1"/>
    <w:rsid w:val="62804057"/>
    <w:rsid w:val="691F1D5F"/>
    <w:rsid w:val="6AB476A0"/>
    <w:rsid w:val="756E2BC7"/>
    <w:rsid w:val="79C60F13"/>
    <w:rsid w:val="7A991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character" w:styleId="9">
    <w:name w:val="Hyperlink"/>
    <w:qFormat/>
    <w:uiPriority w:val="0"/>
    <w:rPr>
      <w:color w:val="0000FF"/>
      <w:u w:val="single"/>
    </w:rPr>
  </w:style>
  <w:style w:type="paragraph" w:customStyle="1" w:styleId="10">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szCs w:val="24"/>
      <w:lang w:val="zh-CN"/>
    </w:rPr>
  </w:style>
  <w:style w:type="paragraph" w:customStyle="1" w:styleId="11">
    <w:name w:val="[基本段落]"/>
    <w:basedOn w:val="10"/>
    <w:unhideWhenUsed/>
    <w:qFormat/>
    <w:uiPriority w:val="99"/>
    <w:pPr>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524</Words>
  <Characters>603</Characters>
  <Lines>0</Lines>
  <Paragraphs>0</Paragraphs>
  <TotalTime>2</TotalTime>
  <ScaleCrop>false</ScaleCrop>
  <LinksUpToDate>false</LinksUpToDate>
  <CharactersWithSpaces>610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2020-07-01T01:46:00Z</dcterms:created>
  <dc:creator>柚釨味的凉茶</dc:creator>
  <cp:lastModifiedBy>吴英煌</cp:lastModifiedBy>
  <cp:lastPrinted>2023-04-17T12:17:00Z</cp:lastPrinted>
  <dcterms:modified xsi:type="dcterms:W3CDTF">2023-04-19T09:44:12Z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CF28BC90B4B64E41BA9E63C2E94CF722</vt:lpwstr>
  </property>
</Properties>
</file>