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黑体" w:hAnsi="ˎ̥" w:eastAsia="黑体"/>
          <w:sz w:val="44"/>
          <w:szCs w:val="44"/>
          <w:lang w:eastAsia="zh-CN"/>
        </w:rPr>
      </w:pPr>
      <w:r>
        <w:rPr>
          <w:rFonts w:hint="eastAsia" w:ascii="黑体" w:hAnsi="ˎ̥" w:eastAsia="黑体"/>
          <w:sz w:val="44"/>
          <w:szCs w:val="44"/>
        </w:rPr>
        <w:t>海南省</w:t>
      </w:r>
      <w:r>
        <w:rPr>
          <w:rFonts w:hint="eastAsia" w:ascii="黑体" w:hAnsi="ˎ̥" w:eastAsia="黑体"/>
          <w:sz w:val="44"/>
          <w:szCs w:val="44"/>
          <w:lang w:val="en-US" w:eastAsia="zh-CN"/>
        </w:rPr>
        <w:t>白沙黎族自治县青松乡中心学校</w:t>
      </w:r>
      <w:r>
        <w:rPr>
          <w:rFonts w:hint="eastAsia" w:ascii="黑体" w:hAnsi="ˎ̥" w:eastAsia="黑体"/>
          <w:sz w:val="44"/>
          <w:szCs w:val="44"/>
          <w:lang w:eastAsia="zh-CN"/>
        </w:rPr>
        <w:t>2020年度</w:t>
      </w:r>
      <w:r>
        <w:rPr>
          <w:rFonts w:hint="eastAsia" w:ascii="黑体" w:hAnsi="ˎ̥" w:eastAsia="黑体"/>
          <w:sz w:val="44"/>
          <w:szCs w:val="44"/>
        </w:rPr>
        <w:t>部门决算</w:t>
      </w:r>
      <w:r>
        <w:rPr>
          <w:rFonts w:hint="eastAsia" w:ascii="黑体" w:hAnsi="ˎ̥" w:eastAsia="黑体"/>
          <w:sz w:val="44"/>
          <w:szCs w:val="44"/>
          <w:lang w:eastAsia="zh-CN"/>
        </w:rPr>
        <w:t>公开文字说明</w:t>
      </w:r>
    </w:p>
    <w:p>
      <w:pPr>
        <w:jc w:val="center"/>
        <w:rPr>
          <w:rFonts w:hint="eastAsia" w:ascii="黑体" w:hAnsi="ˎ̥" w:eastAsia="黑体"/>
          <w:b/>
          <w:sz w:val="32"/>
          <w:szCs w:val="32"/>
        </w:rPr>
      </w:pPr>
    </w:p>
    <w:p>
      <w:pPr>
        <w:jc w:val="center"/>
        <w:rPr>
          <w:rFonts w:hint="eastAsia" w:ascii="黑体" w:hAnsi="ˎ̥" w:eastAsia="黑体"/>
          <w:b/>
          <w:sz w:val="32"/>
          <w:szCs w:val="32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Toc11440_WPSOffice_Type2"/>
      <w:r>
        <w:rPr>
          <w:rFonts w:hint="eastAsia" w:ascii="黑体" w:hAnsi="黑体" w:eastAsia="黑体" w:cs="黑体"/>
          <w:sz w:val="44"/>
          <w:szCs w:val="44"/>
        </w:rPr>
        <w:t>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录</w:t>
      </w:r>
    </w:p>
    <w:p>
      <w:pPr>
        <w:pStyle w:val="7"/>
        <w:tabs>
          <w:tab w:val="right" w:leader="dot" w:pos="8306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fldChar w:fldCharType="begin"/>
      </w:r>
      <w:r>
        <w:rPr>
          <w:b w:val="0"/>
          <w:bCs w:val="0"/>
          <w:sz w:val="32"/>
          <w:szCs w:val="32"/>
        </w:rPr>
        <w:instrText xml:space="preserve"> HYPERLINK \l _Toc1704_WPSOffice_Level1 </w:instrText>
      </w:r>
      <w:r>
        <w:rPr>
          <w:b w:val="0"/>
          <w:bCs w:val="0"/>
          <w:sz w:val="32"/>
          <w:szCs w:val="32"/>
        </w:rPr>
        <w:fldChar w:fldCharType="separate"/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第一部分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 xml:space="preserve"> 白沙黎族自治县青松乡中心学校部门概况</w:t>
      </w:r>
      <w:r>
        <w:rPr>
          <w:b w:val="0"/>
          <w:bCs w:val="0"/>
          <w:sz w:val="32"/>
          <w:szCs w:val="32"/>
        </w:rPr>
        <w:tab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b w:val="0"/>
          <w:bCs w:val="0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_Toc20274_WPSOffice_Level2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部门职责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_Toc4833_WPSOffice_Level2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机构设置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7"/>
        <w:tabs>
          <w:tab w:val="right" w:leader="dot" w:pos="8306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fldChar w:fldCharType="begin"/>
      </w:r>
      <w:r>
        <w:rPr>
          <w:b w:val="0"/>
          <w:bCs w:val="0"/>
          <w:sz w:val="32"/>
          <w:szCs w:val="32"/>
        </w:rPr>
        <w:instrText xml:space="preserve"> HYPERLINK \l _Toc28253_WPSOffice_Level1 </w:instrText>
      </w:r>
      <w:r>
        <w:rPr>
          <w:b w:val="0"/>
          <w:bCs w:val="0"/>
          <w:sz w:val="32"/>
          <w:szCs w:val="32"/>
        </w:rPr>
        <w:fldChar w:fldCharType="separate"/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第二部分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 xml:space="preserve"> 白沙黎族自治县青松乡中心学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2020年度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部门决算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公开表</w:t>
      </w:r>
      <w:r>
        <w:rPr>
          <w:b w:val="0"/>
          <w:bCs w:val="0"/>
          <w:sz w:val="32"/>
          <w:szCs w:val="32"/>
        </w:rPr>
        <w:tab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b w:val="0"/>
          <w:bCs w:val="0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_Toc11518_WPSOffice_Level2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收入支出决算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_Toc28622_WPSOffice_Level2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收入决算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_Toc5489_WPSOffice_Level2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_Toc23493_WPSOffice_Level2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财政拨款收入支出决算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_Toc7879_WPSOffice_Level2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一般公共预算财政拨款收入支出决算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_Toc8373_WPSOffice_Level2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一般公共预算财政拨款基本支出决算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_Toc1820_WPSOffice_Level2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政府性基金预算财政拨款收入支出决算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_Toc1820_WPSOffice_Level2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八、国有资本经营</w:t>
      </w:r>
      <w:r>
        <w:rPr>
          <w:rFonts w:hint="eastAsia" w:ascii="仿宋" w:hAnsi="仿宋" w:eastAsia="仿宋" w:cs="仿宋"/>
          <w:sz w:val="32"/>
          <w:szCs w:val="32"/>
        </w:rPr>
        <w:t>预算财政拨款收入支出决算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_Toc21310_WPSOffice_Level2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一般公共预算财政拨款“三公”经费支出决算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_Toc21310_WPSOffice_Level2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十、政府性基金</w:t>
      </w:r>
      <w:r>
        <w:rPr>
          <w:rFonts w:hint="eastAsia" w:ascii="仿宋" w:hAnsi="仿宋" w:eastAsia="仿宋" w:cs="仿宋"/>
          <w:sz w:val="32"/>
          <w:szCs w:val="32"/>
        </w:rPr>
        <w:t>预算财政拨款“三公”经费支出决算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_Toc21310_WPSOffice_Level2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十一、国有资本经营</w:t>
      </w:r>
      <w:r>
        <w:rPr>
          <w:rFonts w:hint="eastAsia" w:ascii="仿宋" w:hAnsi="仿宋" w:eastAsia="仿宋" w:cs="仿宋"/>
          <w:sz w:val="32"/>
          <w:szCs w:val="32"/>
        </w:rPr>
        <w:t>预算财政拨款“三公”经费支出决算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7"/>
        <w:tabs>
          <w:tab w:val="right" w:leader="dot" w:pos="8306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fldChar w:fldCharType="begin"/>
      </w:r>
      <w:r>
        <w:rPr>
          <w:b w:val="0"/>
          <w:bCs w:val="0"/>
          <w:sz w:val="32"/>
          <w:szCs w:val="32"/>
        </w:rPr>
        <w:instrText xml:space="preserve"> HYPERLINK \l _Toc27590_WPSOffice_Level1 </w:instrText>
      </w:r>
      <w:r>
        <w:rPr>
          <w:b w:val="0"/>
          <w:bCs w:val="0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第三部分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>白沙黎族自治县青松乡中心学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2020年度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部门决算情况说明</w:t>
      </w:r>
      <w:r>
        <w:rPr>
          <w:b w:val="0"/>
          <w:bCs w:val="0"/>
          <w:sz w:val="32"/>
          <w:szCs w:val="32"/>
        </w:rPr>
        <w:tab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4</w:t>
      </w:r>
      <w:r>
        <w:rPr>
          <w:b w:val="0"/>
          <w:bCs w:val="0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_Toc21737_WPSOffice_Level2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收入支出决算总体情况说明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收入决算情况说明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支出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财政拨款收入支出决算情况说明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一般公共预算财政拨款支出决算情况说明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六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一般公共预算财政拨款基本支出决算情况说明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pStyle w:val="8"/>
        <w:numPr>
          <w:ilvl w:val="0"/>
          <w:numId w:val="1"/>
        </w:numPr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政府性基金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预算财政拨款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支出决算情况说明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pStyle w:val="8"/>
        <w:numPr>
          <w:ilvl w:val="0"/>
          <w:numId w:val="1"/>
        </w:numPr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国有资本经营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预算财政拨款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支出决算情况说明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rPr>
          <w:rFonts w:hint="eastAsia" w:ascii="仿宋" w:hAnsi="仿宋" w:eastAsia="仿宋" w:cs="仿宋"/>
          <w:w w:val="9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_Toc5978_WPSOffice_Level2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 w:val="0"/>
          <w:bCs/>
          <w:w w:val="98"/>
          <w:sz w:val="32"/>
          <w:szCs w:val="32"/>
        </w:rPr>
        <w:t>一般公共预算财政拨款“三公”经费支出决算情况说明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rPr>
          <w:rFonts w:hint="eastAsia" w:ascii="仿宋" w:hAnsi="仿宋" w:eastAsia="仿宋" w:cs="仿宋"/>
          <w:w w:val="9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_Toc5978_WPSOffice_Level2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b w:val="0"/>
          <w:bCs/>
          <w:w w:val="98"/>
          <w:sz w:val="32"/>
          <w:szCs w:val="32"/>
          <w:lang w:eastAsia="zh-CN"/>
        </w:rPr>
        <w:t>政府性基金</w:t>
      </w:r>
      <w:r>
        <w:rPr>
          <w:rFonts w:hint="eastAsia" w:ascii="仿宋" w:hAnsi="仿宋" w:eastAsia="仿宋" w:cs="仿宋"/>
          <w:b w:val="0"/>
          <w:bCs/>
          <w:w w:val="98"/>
          <w:sz w:val="32"/>
          <w:szCs w:val="32"/>
        </w:rPr>
        <w:t>预算财政拨款“三公”经费支出决算情况说明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</w:p>
    <w:p>
      <w:pPr>
        <w:rPr>
          <w:rFonts w:hint="eastAsia" w:ascii="仿宋" w:hAnsi="仿宋" w:eastAsia="仿宋" w:cs="仿宋"/>
          <w:w w:val="9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_Toc5978_WPSOffice_Level2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w w:val="91"/>
          <w:sz w:val="32"/>
          <w:szCs w:val="32"/>
          <w:lang w:eastAsia="zh-CN"/>
        </w:rPr>
        <w:t>十一、国有资本经营</w:t>
      </w:r>
      <w:r>
        <w:rPr>
          <w:rFonts w:hint="eastAsia" w:ascii="仿宋" w:hAnsi="仿宋" w:eastAsia="仿宋" w:cs="仿宋"/>
          <w:b w:val="0"/>
          <w:bCs/>
          <w:w w:val="91"/>
          <w:sz w:val="32"/>
          <w:szCs w:val="32"/>
        </w:rPr>
        <w:t>预算财政拨款“三公”经费支出决算情况说明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\l _Toc19535_WPSOffice_Level2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预算绩效情况说明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十三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其他重要事项情况说明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11</w:t>
      </w:r>
    </w:p>
    <w:p>
      <w:pPr>
        <w:pStyle w:val="7"/>
        <w:tabs>
          <w:tab w:val="right" w:leader="dot" w:pos="8306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fldChar w:fldCharType="begin"/>
      </w:r>
      <w:r>
        <w:rPr>
          <w:b w:val="0"/>
          <w:bCs w:val="0"/>
          <w:sz w:val="32"/>
          <w:szCs w:val="32"/>
        </w:rPr>
        <w:instrText xml:space="preserve"> HYPERLINK \l _Toc15425_WPSOffice_Level1 </w:instrText>
      </w:r>
      <w:r>
        <w:rPr>
          <w:b w:val="0"/>
          <w:bCs w:val="0"/>
          <w:sz w:val="32"/>
          <w:szCs w:val="32"/>
        </w:rPr>
        <w:fldChar w:fldCharType="separate"/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第四部分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名词解释</w:t>
      </w:r>
      <w:r>
        <w:rPr>
          <w:b w:val="0"/>
          <w:bCs w:val="0"/>
          <w:sz w:val="32"/>
          <w:szCs w:val="32"/>
        </w:rPr>
        <w:tab/>
      </w:r>
      <w:bookmarkStart w:id="1" w:name="_Toc15425_WPSOffice_Level1Page"/>
      <w:r>
        <w:rPr>
          <w:b w:val="0"/>
          <w:bCs w:val="0"/>
          <w:sz w:val="32"/>
          <w:szCs w:val="32"/>
        </w:rPr>
        <w:t>1</w:t>
      </w:r>
      <w:bookmarkEnd w:id="1"/>
      <w:r>
        <w:rPr>
          <w:b w:val="0"/>
          <w:bCs w:val="0"/>
          <w:sz w:val="32"/>
          <w:szCs w:val="32"/>
        </w:rPr>
        <w:fldChar w:fldCharType="end"/>
      </w:r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ˎ̥" w:eastAsia="黑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ˎ̥" w:eastAsia="黑体"/>
          <w:sz w:val="32"/>
          <w:szCs w:val="32"/>
        </w:rPr>
      </w:pPr>
      <w:bookmarkStart w:id="2" w:name="_Toc10049_WPSOffice_Level1"/>
      <w:bookmarkStart w:id="3" w:name="_Toc23465_WPSOffice_Level1"/>
      <w:bookmarkStart w:id="4" w:name="_Toc1704_WPSOffice_Level1"/>
      <w:bookmarkStart w:id="5" w:name="_Toc10720_WPSOffice_Level1"/>
      <w:bookmarkStart w:id="6" w:name="_Toc32433_WPSOffice_Level1"/>
      <w:bookmarkStart w:id="7" w:name="_Toc22941_WPSOffice_Level1"/>
      <w:bookmarkStart w:id="8" w:name="_Toc24238_WPSOffice_Level2"/>
      <w:bookmarkStart w:id="9" w:name="_Toc26580_WPSOffice_Level2"/>
      <w:bookmarkStart w:id="10" w:name="_Toc20274_WPSOffice_Level2"/>
      <w:bookmarkStart w:id="11" w:name="_Toc32622_WPSOffice_Level2"/>
      <w:bookmarkStart w:id="12" w:name="_Toc14159_WPSOffice_Level2"/>
      <w:bookmarkStart w:id="13" w:name="_Toc20205_WPSOffice_Level2"/>
      <w:r>
        <w:rPr>
          <w:rFonts w:hint="eastAsia" w:ascii="黑体" w:hAnsi="ˎ̥" w:eastAsia="黑体"/>
          <w:sz w:val="32"/>
          <w:szCs w:val="32"/>
          <w:lang w:eastAsia="zh-CN"/>
        </w:rPr>
        <w:t>第一部分</w:t>
      </w:r>
      <w:r>
        <w:rPr>
          <w:rFonts w:hint="eastAsia" w:ascii="黑体" w:hAnsi="ˎ̥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>白沙黎族自治县青松乡中心学</w:t>
      </w:r>
      <w:r>
        <w:rPr>
          <w:rFonts w:hint="eastAsia" w:ascii="黑体" w:hAnsi="ˎ̥" w:eastAsia="黑体"/>
          <w:sz w:val="32"/>
          <w:szCs w:val="32"/>
        </w:rPr>
        <w:t>部门概况</w:t>
      </w:r>
      <w:bookmarkEnd w:id="2"/>
      <w:bookmarkEnd w:id="3"/>
      <w:bookmarkEnd w:id="4"/>
      <w:bookmarkEnd w:id="5"/>
      <w:bookmarkEnd w:id="6"/>
      <w:bookmarkEnd w:id="7"/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部门</w:t>
      </w:r>
      <w:bookmarkEnd w:id="8"/>
      <w:r>
        <w:rPr>
          <w:rFonts w:hint="eastAsia" w:ascii="黑体" w:hAnsi="黑体" w:eastAsia="黑体" w:cs="黑体"/>
          <w:sz w:val="32"/>
          <w:szCs w:val="32"/>
          <w:lang w:eastAsia="zh-CN"/>
        </w:rPr>
        <w:t>（单位）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职责</w:t>
      </w:r>
      <w:bookmarkEnd w:id="9"/>
      <w:bookmarkEnd w:id="10"/>
      <w:bookmarkEnd w:id="11"/>
      <w:bookmarkEnd w:id="12"/>
      <w:bookmarkEnd w:id="13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实施小学义务教育，促进基础教育发展，小学学历教育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4" w:name="_Toc17796_WPSOffice_Level2"/>
      <w:bookmarkStart w:id="15" w:name="_Toc24474_WPSOffice_Level2"/>
      <w:bookmarkStart w:id="16" w:name="_Toc4833_WPSOffice_Level2"/>
      <w:bookmarkStart w:id="17" w:name="_Toc24059_WPSOffice_Level2"/>
      <w:bookmarkStart w:id="18" w:name="_Toc6572_WPSOffice_Level2"/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机构设置</w:t>
      </w:r>
      <w:bookmarkEnd w:id="14"/>
      <w:bookmarkEnd w:id="15"/>
      <w:bookmarkEnd w:id="16"/>
      <w:bookmarkEnd w:id="17"/>
      <w:bookmarkEnd w:id="18"/>
    </w:p>
    <w:p>
      <w:pPr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bookmarkStart w:id="19" w:name="_Toc30690_WPSOffice_Level1"/>
      <w:bookmarkStart w:id="20" w:name="_Toc8164_WPSOffice_Level1"/>
      <w:bookmarkStart w:id="21" w:name="_Toc28253_WPSOffice_Level1"/>
      <w:bookmarkStart w:id="22" w:name="_Toc15521_WPSOffice_Level1"/>
      <w:bookmarkStart w:id="23" w:name="_Toc30451_WPSOffice_Level1"/>
      <w:bookmarkStart w:id="24" w:name="_Toc6234_WPSOffice_Level1"/>
      <w:bookmarkStart w:id="25" w:name="_Toc8867_WPSOffice_Level2"/>
      <w:bookmarkStart w:id="26" w:name="_Toc32695_WPSOffice_Level2"/>
      <w:bookmarkStart w:id="27" w:name="_Toc6211_WPSOffice_Level2"/>
      <w:bookmarkStart w:id="28" w:name="_Toc4029_WPSOffice_Level2"/>
      <w:bookmarkStart w:id="29" w:name="_Toc32472_WPSOffice_Level2"/>
      <w:bookmarkStart w:id="30" w:name="_Toc11518_WPSOffice_Level2"/>
      <w:r>
        <w:rPr>
          <w:rFonts w:hint="eastAsia" w:ascii="楷体" w:hAnsi="楷体" w:eastAsia="楷体" w:cs="楷体"/>
          <w:sz w:val="32"/>
          <w:szCs w:val="32"/>
        </w:rPr>
        <w:t>青松乡中心学校部门本级。本部门编制人数28人，现在编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在岗</w:t>
      </w:r>
      <w:r>
        <w:rPr>
          <w:rFonts w:hint="eastAsia" w:ascii="楷体" w:hAnsi="楷体" w:eastAsia="楷体" w:cs="楷体"/>
          <w:sz w:val="32"/>
          <w:szCs w:val="32"/>
        </w:rPr>
        <w:t>人数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30</w:t>
      </w:r>
      <w:r>
        <w:rPr>
          <w:rFonts w:hint="eastAsia" w:ascii="楷体" w:hAnsi="楷体" w:eastAsia="楷体" w:cs="楷体"/>
          <w:sz w:val="32"/>
          <w:szCs w:val="32"/>
        </w:rPr>
        <w:t>人。</w:t>
      </w:r>
    </w:p>
    <w:p>
      <w:pPr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内部机构设置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校长办公、办公室、教导室、教研室、总务室、财务室。</w:t>
      </w:r>
    </w:p>
    <w:p>
      <w:pPr>
        <w:jc w:val="center"/>
        <w:rPr>
          <w:rFonts w:hint="eastAsia" w:ascii="黑体" w:hAnsi="ˎ̥" w:eastAsia="黑体"/>
          <w:b w:val="0"/>
          <w:bCs w:val="0"/>
          <w:sz w:val="32"/>
          <w:szCs w:val="32"/>
        </w:rPr>
      </w:pP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第二部分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 xml:space="preserve"> 白沙黎族自治县青松乡中心学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2020年度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部门决算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报表</w:t>
      </w:r>
      <w:bookmarkEnd w:id="19"/>
      <w:bookmarkEnd w:id="20"/>
      <w:bookmarkEnd w:id="21"/>
      <w:bookmarkEnd w:id="22"/>
      <w:bookmarkEnd w:id="23"/>
      <w:bookmarkEnd w:id="24"/>
    </w:p>
    <w:p>
      <w:pPr>
        <w:ind w:firstLine="645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收入支出决算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公开表（见正文附件）</w:t>
      </w:r>
      <w:bookmarkEnd w:id="25"/>
      <w:bookmarkEnd w:id="26"/>
      <w:bookmarkEnd w:id="27"/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bookmarkEnd w:id="28"/>
      <w:bookmarkEnd w:id="29"/>
      <w:bookmarkEnd w:id="30"/>
    </w:p>
    <w:p>
      <w:pPr>
        <w:ind w:firstLine="645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31" w:name="_Toc25608_WPSOffice_Level2"/>
      <w:bookmarkStart w:id="32" w:name="_Toc23139_WPSOffice_Level2"/>
      <w:bookmarkStart w:id="33" w:name="_Toc26621_WPSOffice_Level2"/>
      <w:bookmarkStart w:id="34" w:name="_Toc30334_WPSOffice_Level2"/>
      <w:bookmarkStart w:id="35" w:name="_Toc28622_WPSOffice_Level2"/>
      <w:bookmarkStart w:id="36" w:name="_Toc14349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收入决算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公开表（见正文附件）</w:t>
      </w:r>
      <w:bookmarkEnd w:id="31"/>
      <w:bookmarkEnd w:id="32"/>
      <w:bookmarkEnd w:id="33"/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bookmarkEnd w:id="34"/>
      <w:bookmarkEnd w:id="35"/>
      <w:bookmarkEnd w:id="36"/>
    </w:p>
    <w:p>
      <w:pPr>
        <w:ind w:firstLine="645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37" w:name="_Toc17626_WPSOffice_Level2"/>
      <w:bookmarkStart w:id="38" w:name="_Toc17858_WPSOffice_Level2"/>
      <w:bookmarkStart w:id="39" w:name="_Toc3262_WPSOffice_Level2"/>
      <w:bookmarkStart w:id="40" w:name="_Toc14658_WPSOffice_Level2"/>
      <w:bookmarkStart w:id="41" w:name="_Toc5489_WPSOffice_Level2"/>
      <w:bookmarkStart w:id="42" w:name="_Toc13854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支出决算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公开表（见正文附件）</w:t>
      </w:r>
      <w:bookmarkEnd w:id="37"/>
      <w:bookmarkEnd w:id="38"/>
      <w:bookmarkEnd w:id="39"/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bookmarkEnd w:id="40"/>
      <w:bookmarkEnd w:id="41"/>
      <w:bookmarkEnd w:id="42"/>
    </w:p>
    <w:p>
      <w:pPr>
        <w:ind w:firstLine="645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43" w:name="_Toc23591_WPSOffice_Level2"/>
      <w:bookmarkStart w:id="44" w:name="_Toc13701_WPSOffice_Level2"/>
      <w:bookmarkStart w:id="45" w:name="_Toc21415_WPSOffice_Level2"/>
      <w:bookmarkStart w:id="46" w:name="_Toc7988_WPSOffice_Level2"/>
      <w:bookmarkStart w:id="47" w:name="_Toc4265_WPSOffice_Level2"/>
      <w:bookmarkStart w:id="48" w:name="_Toc23493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财政拨款收入支出决算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公开表（见正文附件）</w:t>
      </w:r>
      <w:bookmarkEnd w:id="43"/>
      <w:bookmarkEnd w:id="44"/>
      <w:bookmarkEnd w:id="45"/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bookmarkEnd w:id="46"/>
      <w:bookmarkEnd w:id="47"/>
      <w:bookmarkEnd w:id="48"/>
    </w:p>
    <w:p>
      <w:pPr>
        <w:ind w:firstLine="645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49" w:name="_Toc23829_WPSOffice_Level2"/>
      <w:bookmarkStart w:id="50" w:name="_Toc7879_WPSOffice_Level2"/>
      <w:bookmarkStart w:id="51" w:name="_Toc22783_WPSOffice_Level2"/>
      <w:bookmarkStart w:id="52" w:name="_Toc25166_WPSOffice_Level2"/>
      <w:bookmarkStart w:id="53" w:name="_Toc2158_WPSOffice_Level2"/>
      <w:bookmarkStart w:id="54" w:name="_Toc13516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一般公共预算财政拨款收入支出决算</w:t>
      </w:r>
      <w:bookmarkEnd w:id="49"/>
      <w:bookmarkEnd w:id="50"/>
      <w:bookmarkEnd w:id="51"/>
      <w:bookmarkEnd w:id="52"/>
      <w:r>
        <w:rPr>
          <w:rFonts w:hint="eastAsia" w:ascii="黑体" w:hAnsi="黑体" w:eastAsia="黑体" w:cs="黑体"/>
          <w:sz w:val="32"/>
          <w:szCs w:val="32"/>
          <w:lang w:eastAsia="zh-CN"/>
        </w:rPr>
        <w:t>公开表</w:t>
      </w:r>
    </w:p>
    <w:p>
      <w:pPr>
        <w:ind w:firstLine="1302" w:firstLineChars="407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</w:t>
      </w:r>
      <w:bookmarkEnd w:id="53"/>
      <w:bookmarkEnd w:id="54"/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黑体" w:hAnsi="黑体" w:eastAsia="黑体" w:cs="黑体"/>
          <w:sz w:val="32"/>
          <w:szCs w:val="32"/>
        </w:rPr>
      </w:pPr>
      <w:bookmarkStart w:id="55" w:name="_Toc5343_WPSOffice_Level2"/>
      <w:bookmarkStart w:id="56" w:name="_Toc17283_WPSOffice_Level2"/>
      <w:bookmarkStart w:id="57" w:name="_Toc25362_WPSOffice_Level2"/>
      <w:bookmarkStart w:id="58" w:name="_Toc2632_WPSOffice_Level2"/>
      <w:bookmarkStart w:id="59" w:name="_Toc17833_WPSOffice_Level2"/>
      <w:bookmarkStart w:id="60" w:name="_Toc8373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一般公共预算财政拨款基本支出决算</w:t>
      </w:r>
      <w:bookmarkEnd w:id="55"/>
      <w:bookmarkEnd w:id="56"/>
      <w:bookmarkEnd w:id="57"/>
      <w:bookmarkEnd w:id="58"/>
      <w:bookmarkEnd w:id="59"/>
      <w:bookmarkEnd w:id="60"/>
      <w:r>
        <w:rPr>
          <w:rFonts w:hint="eastAsia" w:ascii="黑体" w:hAnsi="黑体" w:eastAsia="黑体" w:cs="黑体"/>
          <w:sz w:val="32"/>
          <w:szCs w:val="32"/>
          <w:lang w:eastAsia="zh-CN"/>
        </w:rPr>
        <w:t>公开表</w:t>
      </w:r>
    </w:p>
    <w:p>
      <w:pPr>
        <w:ind w:firstLine="1280" w:firstLineChars="4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ind w:left="1118" w:leftChars="304" w:hanging="480" w:hangingChars="150"/>
        <w:rPr>
          <w:rFonts w:hint="eastAsia" w:ascii="黑体" w:hAnsi="黑体" w:eastAsia="黑体" w:cs="黑体"/>
          <w:sz w:val="32"/>
          <w:szCs w:val="32"/>
        </w:rPr>
      </w:pPr>
      <w:bookmarkStart w:id="61" w:name="_Toc21310_WPSOffice_Level2"/>
      <w:bookmarkStart w:id="62" w:name="_Toc1533_WPSOffice_Level2"/>
      <w:bookmarkStart w:id="63" w:name="_Toc11799_WPSOffice_Level2"/>
      <w:bookmarkStart w:id="64" w:name="_Toc5594_WPSOffice_Level2"/>
      <w:bookmarkStart w:id="65" w:name="_Toc13345_WPSOffice_Level2"/>
      <w:bookmarkStart w:id="66" w:name="_Toc6020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政府性基金预算财政拨款收入支出决算</w:t>
      </w:r>
      <w:bookmarkEnd w:id="61"/>
      <w:bookmarkEnd w:id="62"/>
      <w:bookmarkEnd w:id="63"/>
      <w:bookmarkEnd w:id="64"/>
      <w:bookmarkEnd w:id="65"/>
      <w:bookmarkEnd w:id="66"/>
      <w:r>
        <w:rPr>
          <w:rFonts w:hint="eastAsia" w:ascii="黑体" w:hAnsi="黑体" w:eastAsia="黑体" w:cs="黑体"/>
          <w:sz w:val="32"/>
          <w:szCs w:val="32"/>
          <w:lang w:eastAsia="zh-CN"/>
        </w:rPr>
        <w:t>公开表</w:t>
      </w:r>
    </w:p>
    <w:p>
      <w:pPr>
        <w:ind w:left="1277" w:leftChars="608" w:firstLine="160" w:firstLine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ind w:left="1118" w:leftChars="304" w:hanging="480" w:hangingChars="1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国有资本经营</w:t>
      </w:r>
      <w:r>
        <w:rPr>
          <w:rFonts w:hint="eastAsia" w:ascii="黑体" w:hAnsi="黑体" w:eastAsia="黑体" w:cs="黑体"/>
          <w:sz w:val="32"/>
          <w:szCs w:val="32"/>
        </w:rPr>
        <w:t>预算财政拨款收入支出决算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公开表</w:t>
      </w:r>
    </w:p>
    <w:p>
      <w:pPr>
        <w:ind w:left="1277" w:leftChars="608" w:firstLine="160" w:firstLine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bookmarkStart w:id="67" w:name="_Toc1820_WPSOffice_Level2"/>
      <w:bookmarkStart w:id="68" w:name="_Toc29886_WPSOffice_Level2"/>
      <w:bookmarkStart w:id="69" w:name="_Toc19961_WPSOffice_Level2"/>
      <w:bookmarkStart w:id="70" w:name="_Toc9377_WPSOffice_Level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九、</w:t>
      </w:r>
      <w:r>
        <w:rPr>
          <w:rFonts w:hint="eastAsia" w:ascii="黑体" w:hAnsi="黑体" w:eastAsia="黑体" w:cs="黑体"/>
          <w:sz w:val="32"/>
          <w:szCs w:val="32"/>
        </w:rPr>
        <w:t>一般公共预算财政拨款“三公”经费支出决算</w:t>
      </w:r>
    </w:p>
    <w:p>
      <w:pPr>
        <w:numPr>
          <w:ilvl w:val="0"/>
          <w:numId w:val="0"/>
        </w:numPr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</w:t>
      </w:r>
      <w:bookmarkEnd w:id="67"/>
      <w:bookmarkEnd w:id="68"/>
      <w:bookmarkEnd w:id="69"/>
      <w:bookmarkEnd w:id="7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w w:val="96"/>
          <w:sz w:val="32"/>
          <w:szCs w:val="32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 xml:space="preserve">    十、</w:t>
      </w: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政府性基金</w:t>
      </w:r>
      <w:r>
        <w:rPr>
          <w:rFonts w:hint="eastAsia" w:ascii="黑体" w:hAnsi="黑体" w:eastAsia="黑体" w:cs="黑体"/>
          <w:w w:val="96"/>
          <w:sz w:val="32"/>
          <w:szCs w:val="32"/>
        </w:rPr>
        <w:t>预算财政拨款“三公”经费支出决算</w:t>
      </w:r>
    </w:p>
    <w:p>
      <w:pPr>
        <w:numPr>
          <w:ilvl w:val="0"/>
          <w:numId w:val="0"/>
        </w:numPr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公开表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w w:val="96"/>
          <w:sz w:val="32"/>
          <w:szCs w:val="32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 xml:space="preserve">    十一、</w:t>
      </w: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国有资本经营</w:t>
      </w:r>
      <w:r>
        <w:rPr>
          <w:rFonts w:hint="eastAsia" w:ascii="黑体" w:hAnsi="黑体" w:eastAsia="黑体" w:cs="黑体"/>
          <w:w w:val="96"/>
          <w:sz w:val="32"/>
          <w:szCs w:val="32"/>
        </w:rPr>
        <w:t>预算财政拨款“三公”经费支出决算</w:t>
      </w:r>
    </w:p>
    <w:p>
      <w:pPr>
        <w:numPr>
          <w:ilvl w:val="0"/>
          <w:numId w:val="0"/>
        </w:numPr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公开表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（见正文附件）。</w:t>
      </w:r>
    </w:p>
    <w:p>
      <w:pPr>
        <w:numPr>
          <w:ilvl w:val="0"/>
          <w:numId w:val="0"/>
        </w:numPr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ˎ̥" w:eastAsia="黑体"/>
          <w:b w:val="0"/>
          <w:bCs w:val="0"/>
          <w:sz w:val="32"/>
          <w:szCs w:val="32"/>
        </w:rPr>
      </w:pPr>
      <w:bookmarkStart w:id="71" w:name="_Toc31264_WPSOffice_Level1"/>
      <w:bookmarkStart w:id="72" w:name="_Toc29683_WPSOffice_Level1"/>
      <w:bookmarkStart w:id="73" w:name="_Toc16686_WPSOffice_Level1"/>
      <w:bookmarkStart w:id="74" w:name="_Toc4402_WPSOffice_Level1"/>
      <w:bookmarkStart w:id="75" w:name="_Toc27590_WPSOffice_Level1"/>
      <w:bookmarkStart w:id="76" w:name="_Toc28629_WPSOffice_Level1"/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第三部分</w:t>
      </w:r>
      <w:r>
        <w:rPr>
          <w:rFonts w:hint="eastAsia" w:ascii="黑体" w:hAnsi="ˎ̥" w:eastAsia="黑体"/>
          <w:b w:val="0"/>
          <w:bCs w:val="0"/>
          <w:sz w:val="32"/>
          <w:szCs w:val="32"/>
          <w:lang w:val="en-US" w:eastAsia="zh-CN"/>
        </w:rPr>
        <w:t xml:space="preserve"> 白沙黎族自治县青松乡中心学</w:t>
      </w:r>
      <w:r>
        <w:rPr>
          <w:rFonts w:hint="eastAsia" w:ascii="黑体" w:hAnsi="ˎ̥" w:eastAsia="黑体"/>
          <w:b w:val="0"/>
          <w:bCs w:val="0"/>
          <w:sz w:val="32"/>
          <w:szCs w:val="32"/>
          <w:lang w:eastAsia="zh-CN"/>
        </w:rPr>
        <w:t>2020年度</w:t>
      </w:r>
      <w:r>
        <w:rPr>
          <w:rFonts w:hint="eastAsia" w:ascii="黑体" w:hAnsi="ˎ̥" w:eastAsia="黑体"/>
          <w:b w:val="0"/>
          <w:bCs w:val="0"/>
          <w:sz w:val="32"/>
          <w:szCs w:val="32"/>
        </w:rPr>
        <w:t>部门决算情况说明</w:t>
      </w:r>
      <w:bookmarkEnd w:id="71"/>
      <w:bookmarkEnd w:id="72"/>
      <w:bookmarkEnd w:id="73"/>
      <w:bookmarkEnd w:id="74"/>
      <w:bookmarkEnd w:id="75"/>
      <w:bookmarkEnd w:id="76"/>
    </w:p>
    <w:p>
      <w:pPr>
        <w:jc w:val="center"/>
        <w:rPr>
          <w:rFonts w:hint="eastAsia" w:ascii="黑体" w:hAnsi="ˎ̥" w:eastAsia="黑体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收入支出决算总体情况说明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textWrapping"/>
      </w:r>
      <w:r>
        <w:rPr>
          <w:rFonts w:hint="eastAsia" w:ascii="楷体_GB2312" w:hAnsi="ˎ̥" w:eastAsia="楷体_GB2312"/>
          <w:sz w:val="32"/>
          <w:szCs w:val="32"/>
        </w:rPr>
        <w:t xml:space="preserve"> 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收、支总计691.67</w:t>
      </w:r>
      <w:r>
        <w:rPr>
          <w:rFonts w:hint="eastAsia" w:ascii="仿宋_GB2312" w:hAnsi="ˎ̥" w:eastAsia="仿宋_GB2312"/>
          <w:sz w:val="32"/>
          <w:szCs w:val="32"/>
        </w:rPr>
        <w:t>万元，与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2019年度</w:t>
      </w:r>
      <w:r>
        <w:rPr>
          <w:rFonts w:hint="eastAsia" w:ascii="仿宋_GB2312" w:hAnsi="ˎ̥" w:eastAsia="仿宋_GB2312"/>
          <w:sz w:val="32"/>
          <w:szCs w:val="32"/>
        </w:rPr>
        <w:t>相比，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收入、支出总计各</w:t>
      </w:r>
      <w:r>
        <w:rPr>
          <w:rFonts w:hint="eastAsia" w:ascii="仿宋_GB2312" w:hAnsi="ˎ̥" w:eastAsia="仿宋_GB2312"/>
          <w:sz w:val="32"/>
          <w:szCs w:val="32"/>
        </w:rPr>
        <w:t>增加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10.28</w:t>
      </w:r>
      <w:r>
        <w:rPr>
          <w:rFonts w:hint="eastAsia" w:ascii="仿宋_GB2312" w:hAnsi="ˎ̥" w:eastAsia="仿宋_GB2312"/>
          <w:sz w:val="32"/>
          <w:szCs w:val="32"/>
        </w:rPr>
        <w:t>万元，增长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1.48</w:t>
      </w:r>
      <w:r>
        <w:rPr>
          <w:rFonts w:hint="eastAsia" w:ascii="仿宋_GB2312" w:hAnsi="ˎ̥" w:eastAsia="仿宋_GB2312"/>
          <w:sz w:val="32"/>
          <w:szCs w:val="32"/>
        </w:rPr>
        <w:t>%。主要原因：一是一般公共服务收入增加，二是项目支出增加</w:t>
      </w:r>
      <w:r>
        <w:rPr>
          <w:rFonts w:hint="eastAsia" w:ascii="黑体" w:hAnsi="ˎ̥" w:eastAsia="黑体"/>
          <w:sz w:val="32"/>
          <w:szCs w:val="32"/>
        </w:rPr>
        <w:t xml:space="preserve"> </w:t>
      </w:r>
      <w:r>
        <w:rPr>
          <w:rFonts w:hint="eastAsia" w:ascii="仿宋_GB2312" w:hAnsi="ˎ̥" w:eastAsia="仿宋_GB2312"/>
          <w:sz w:val="32"/>
          <w:szCs w:val="32"/>
        </w:rPr>
        <w:t>。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使用非财政拨款结余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</w:t>
      </w:r>
      <w:r>
        <w:rPr>
          <w:rFonts w:hint="eastAsia" w:ascii="仿宋_GB2312" w:hAnsi="ˎ̥" w:eastAsia="仿宋_GB2312"/>
          <w:sz w:val="32"/>
          <w:szCs w:val="32"/>
        </w:rPr>
        <w:t>无此项资金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。年初结转结余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完成预算项目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，较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2019年度决算数减少2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ˎ̥" w:eastAsia="仿宋_GB2312"/>
          <w:sz w:val="32"/>
          <w:szCs w:val="32"/>
        </w:rPr>
        <w:t>下降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社保完成缴费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。结余分配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，主要是</w:t>
      </w:r>
      <w:r>
        <w:rPr>
          <w:rFonts w:hint="eastAsia" w:ascii="仿宋_GB2312" w:hAnsi="ˎ̥" w:eastAsia="仿宋_GB2312"/>
          <w:sz w:val="32"/>
          <w:szCs w:val="32"/>
        </w:rPr>
        <w:t>无此项资金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。年末结转结余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21.18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社保还未完成缴费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，较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2019年度决算数增加21.18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ˎ̥" w:eastAsia="仿宋_GB2312"/>
          <w:sz w:val="32"/>
          <w:szCs w:val="32"/>
        </w:rPr>
        <w:t>增长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社保还未</w:t>
      </w:r>
      <w:bookmarkStart w:id="113" w:name="_GoBack"/>
      <w:bookmarkEnd w:id="113"/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完成缴费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收入决算情况说明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textWrapping"/>
      </w:r>
      <w:r>
        <w:rPr>
          <w:rFonts w:hint="eastAsia" w:ascii="仿宋_GB2312" w:hAnsi="ˎ̥" w:eastAsia="仿宋_GB2312"/>
          <w:sz w:val="32"/>
          <w:szCs w:val="32"/>
        </w:rPr>
        <w:t xml:space="preserve">    本年收入合计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665.51</w:t>
      </w:r>
      <w:r>
        <w:rPr>
          <w:rFonts w:hint="eastAsia" w:ascii="仿宋_GB2312" w:hAnsi="ˎ̥" w:eastAsia="仿宋_GB2312"/>
          <w:sz w:val="32"/>
          <w:szCs w:val="32"/>
        </w:rPr>
        <w:t>万元，其中：财政拨款收入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589.21</w:t>
      </w:r>
    </w:p>
    <w:p>
      <w:pPr>
        <w:numPr>
          <w:ilvl w:val="0"/>
          <w:numId w:val="0"/>
        </w:numPr>
        <w:rPr>
          <w:rFonts w:hint="default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88.53</w:t>
      </w:r>
      <w:r>
        <w:rPr>
          <w:rFonts w:hint="eastAsia" w:ascii="仿宋_GB2312" w:hAnsi="ˎ̥" w:eastAsia="仿宋_GB2312"/>
          <w:sz w:val="32"/>
          <w:szCs w:val="32"/>
        </w:rPr>
        <w:t>%；上级补助收入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%；事业收入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536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其他收入76.30万，占11.46%。</w:t>
      </w:r>
    </w:p>
    <w:p>
      <w:pPr>
        <w:numPr>
          <w:ilvl w:val="0"/>
          <w:numId w:val="0"/>
        </w:numPr>
        <w:ind w:leftChars="196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支出决算情况说明</w:t>
      </w:r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本年支出合计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670.49</w:t>
      </w:r>
      <w:r>
        <w:rPr>
          <w:rFonts w:hint="eastAsia" w:ascii="仿宋_GB2312" w:hAnsi="ˎ̥" w:eastAsia="仿宋_GB2312"/>
          <w:sz w:val="32"/>
          <w:szCs w:val="32"/>
        </w:rPr>
        <w:t>万元，其中：基本支出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555.99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82。92</w:t>
      </w:r>
      <w:r>
        <w:rPr>
          <w:rFonts w:hint="eastAsia" w:ascii="仿宋_GB2312" w:hAnsi="ˎ̥" w:eastAsia="仿宋_GB2312"/>
          <w:sz w:val="32"/>
          <w:szCs w:val="32"/>
        </w:rPr>
        <w:t>%；项目支出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114.49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17.07</w:t>
      </w:r>
      <w:r>
        <w:rPr>
          <w:rFonts w:hint="eastAsia" w:ascii="仿宋_GB2312" w:hAnsi="ˎ̥" w:eastAsia="仿宋_GB2312"/>
          <w:sz w:val="32"/>
          <w:szCs w:val="32"/>
        </w:rPr>
        <w:t>%。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财政拨款收入支出决算总体情况说明</w:t>
      </w:r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</w:rPr>
        <w:t>财政拨款收入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支出总计691.67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ˎ̥" w:eastAsia="仿宋_GB2312"/>
          <w:sz w:val="32"/>
          <w:szCs w:val="32"/>
        </w:rPr>
        <w:t>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2019年度</w:t>
      </w:r>
      <w:r>
        <w:rPr>
          <w:rFonts w:hint="eastAsia" w:ascii="仿宋_GB2312" w:hAnsi="ˎ̥" w:eastAsia="仿宋_GB2312"/>
          <w:sz w:val="32"/>
          <w:szCs w:val="32"/>
        </w:rPr>
        <w:t>相比，财政拨款收入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支出总计各</w:t>
      </w:r>
      <w:r>
        <w:rPr>
          <w:rFonts w:hint="eastAsia" w:ascii="仿宋_GB2312" w:hAnsi="ˎ̥" w:eastAsia="仿宋_GB2312"/>
          <w:sz w:val="32"/>
          <w:szCs w:val="32"/>
        </w:rPr>
        <w:t>增加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10.28</w:t>
      </w:r>
      <w:r>
        <w:rPr>
          <w:rFonts w:hint="eastAsia" w:ascii="仿宋_GB2312" w:hAnsi="ˎ̥" w:eastAsia="仿宋_GB2312"/>
          <w:sz w:val="32"/>
          <w:szCs w:val="32"/>
        </w:rPr>
        <w:t>万元，增长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1.48</w:t>
      </w:r>
      <w:r>
        <w:rPr>
          <w:rFonts w:hint="eastAsia" w:ascii="仿宋_GB2312" w:hAnsi="ˎ̥" w:eastAsia="仿宋_GB2312"/>
          <w:sz w:val="32"/>
          <w:szCs w:val="32"/>
        </w:rPr>
        <w:t>%。主要原因：一是财政拨款收入增加；二是一般公共预算增加。</w:t>
      </w:r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财政拨款年初结转结余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无资金结余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，较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2019年度决算数减少2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ˎ̥" w:eastAsia="仿宋_GB2312"/>
          <w:sz w:val="32"/>
          <w:szCs w:val="32"/>
        </w:rPr>
        <w:t>下降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，主要原因是基本支出结转。</w:t>
      </w:r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财政拨款年末结转结余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0.25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基本支出结转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，较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2019年度年末决算数增加0</w:t>
      </w:r>
      <w:r>
        <w:rPr>
          <w:rFonts w:hint="eastAsia" w:ascii="仿宋_GB2312" w:hAnsi="ˎ̥" w:eastAsia="仿宋_GB2312"/>
          <w:sz w:val="32"/>
          <w:szCs w:val="32"/>
        </w:rPr>
        <w:t>万元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ˎ̥" w:eastAsia="仿宋_GB2312"/>
          <w:sz w:val="32"/>
          <w:szCs w:val="32"/>
        </w:rPr>
        <w:t>增长（下降）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，主要原因是基本支出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无结余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一般公共预算财政拨款支出决算情况说明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77" w:name="_Toc13694_WPSOffice_Level2"/>
      <w:bookmarkStart w:id="78" w:name="_Toc17398_WPSOffice_Level2"/>
      <w:bookmarkStart w:id="79" w:name="_Toc9989_WPSOffice_Level2"/>
      <w:bookmarkStart w:id="80" w:name="_Toc19665_WPSOffice_Level2"/>
      <w:bookmarkStart w:id="81" w:name="_Toc23005_WPSOffice_Level2"/>
      <w:bookmarkStart w:id="82" w:name="_Toc21737_WPSOffice_Level2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一般公共预算财政拨款支出决算总体情况</w:t>
      </w:r>
      <w:bookmarkEnd w:id="77"/>
      <w:bookmarkEnd w:id="78"/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bookmarkEnd w:id="79"/>
      <w:bookmarkEnd w:id="80"/>
      <w:bookmarkEnd w:id="81"/>
      <w:bookmarkEnd w:id="82"/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</w:rPr>
        <w:t>一般公共预算财政拨款支出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589.21</w:t>
      </w:r>
      <w:r>
        <w:rPr>
          <w:rFonts w:hint="eastAsia" w:ascii="仿宋_GB2312" w:hAnsi="ˎ̥" w:eastAsia="仿宋_GB2312"/>
          <w:sz w:val="32"/>
          <w:szCs w:val="32"/>
        </w:rPr>
        <w:t>万元，占本年支出合计的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77.47</w:t>
      </w:r>
      <w:r>
        <w:rPr>
          <w:rFonts w:hint="eastAsia" w:ascii="仿宋_GB2312" w:hAnsi="ˎ̥" w:eastAsia="仿宋_GB2312"/>
          <w:sz w:val="32"/>
          <w:szCs w:val="32"/>
        </w:rPr>
        <w:t>%。与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2019年度</w:t>
      </w:r>
      <w:r>
        <w:rPr>
          <w:rFonts w:hint="eastAsia" w:ascii="仿宋_GB2312" w:hAnsi="ˎ̥" w:eastAsia="仿宋_GB2312"/>
          <w:sz w:val="32"/>
          <w:szCs w:val="32"/>
        </w:rPr>
        <w:t>相比，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一般公共预算</w:t>
      </w:r>
      <w:r>
        <w:rPr>
          <w:rFonts w:hint="eastAsia" w:ascii="仿宋_GB2312" w:hAnsi="ˎ̥" w:eastAsia="仿宋_GB2312"/>
          <w:sz w:val="32"/>
          <w:szCs w:val="32"/>
        </w:rPr>
        <w:t>财政拨款支出减少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73.62</w:t>
      </w:r>
      <w:r>
        <w:rPr>
          <w:rFonts w:hint="eastAsia" w:ascii="仿宋_GB2312" w:hAnsi="ˎ̥" w:eastAsia="仿宋_GB2312"/>
          <w:sz w:val="32"/>
          <w:szCs w:val="32"/>
        </w:rPr>
        <w:t>万元，下降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12.49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，主要原因是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人员减少</w:t>
      </w:r>
      <w:r>
        <w:rPr>
          <w:rFonts w:hint="eastAsia" w:ascii="仿宋_GB2312" w:hAnsi="ˎ̥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83" w:name="_Toc2711_WPSOffice_Level2"/>
      <w:bookmarkStart w:id="84" w:name="_Toc18793_WPSOffice_Level2"/>
      <w:bookmarkStart w:id="85" w:name="_Toc27767_WPSOffice_Level2"/>
      <w:bookmarkStart w:id="86" w:name="_Toc19535_WPSOffice_Level2"/>
      <w:bookmarkStart w:id="87" w:name="_Toc23864_WPSOffice_Level2"/>
      <w:bookmarkStart w:id="88" w:name="_Toc19075_WPSOffice_Level2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（二）一般公共预算</w:t>
      </w:r>
      <w:r>
        <w:rPr>
          <w:rFonts w:hint="eastAsia" w:ascii="楷体" w:hAnsi="楷体" w:eastAsia="楷体" w:cs="楷体"/>
          <w:sz w:val="32"/>
          <w:szCs w:val="32"/>
        </w:rPr>
        <w:t>财政拨款支出决算结构情况</w:t>
      </w:r>
      <w:bookmarkEnd w:id="83"/>
      <w:bookmarkEnd w:id="84"/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bookmarkEnd w:id="85"/>
      <w:bookmarkEnd w:id="86"/>
      <w:bookmarkEnd w:id="87"/>
      <w:bookmarkEnd w:id="88"/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</w:rPr>
        <w:t>一般公共预算财政拨款支出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588.96</w:t>
      </w:r>
      <w:r>
        <w:rPr>
          <w:rFonts w:hint="eastAsia" w:ascii="仿宋_GB2312" w:hAnsi="ˎ̥" w:eastAsia="仿宋_GB2312"/>
          <w:sz w:val="32"/>
          <w:szCs w:val="32"/>
        </w:rPr>
        <w:t>万元，主要用于以下方面：</w:t>
      </w:r>
      <w:r>
        <w:rPr>
          <w:rFonts w:hint="eastAsia" w:ascii="仿宋_GB2312" w:hAnsi="ˎ̥" w:eastAsia="仿宋_GB2312"/>
          <w:b/>
          <w:sz w:val="32"/>
          <w:szCs w:val="32"/>
        </w:rPr>
        <w:t>一般公共服务（类）</w:t>
      </w:r>
      <w:r>
        <w:rPr>
          <w:rFonts w:hint="eastAsia" w:ascii="仿宋_GB2312" w:hAnsi="ˎ̥" w:eastAsia="仿宋_GB2312"/>
          <w:sz w:val="32"/>
          <w:szCs w:val="32"/>
        </w:rPr>
        <w:t>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万元，占0%；教育支出（类）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459.44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ˎ̥" w:eastAsia="仿宋_GB2312"/>
          <w:sz w:val="32"/>
          <w:szCs w:val="32"/>
        </w:rPr>
        <w:t>%；</w:t>
      </w:r>
      <w:r>
        <w:rPr>
          <w:rFonts w:hint="eastAsia" w:ascii="仿宋_GB2312" w:hAnsi="ˎ̥" w:eastAsia="仿宋_GB2312"/>
          <w:b/>
          <w:sz w:val="32"/>
          <w:szCs w:val="32"/>
        </w:rPr>
        <w:t>社会保障和就业（类）</w:t>
      </w:r>
      <w:r>
        <w:rPr>
          <w:rFonts w:hint="eastAsia" w:ascii="仿宋_GB2312" w:hAnsi="ˎ̥" w:eastAsia="仿宋_GB2312"/>
          <w:sz w:val="32"/>
          <w:szCs w:val="32"/>
        </w:rPr>
        <w:t>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6.79</w:t>
      </w:r>
      <w:r>
        <w:rPr>
          <w:rFonts w:hint="eastAsia" w:ascii="仿宋_GB2312" w:hAnsi="ˎ̥" w:eastAsia="仿宋_GB2312"/>
          <w:sz w:val="32"/>
          <w:szCs w:val="32"/>
        </w:rPr>
        <w:t>%；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住房保障（类）</w:t>
      </w:r>
      <w:r>
        <w:rPr>
          <w:rFonts w:hint="eastAsia" w:ascii="仿宋_GB2312" w:hAnsi="ˎ̥" w:eastAsia="仿宋_GB2312"/>
          <w:sz w:val="32"/>
          <w:szCs w:val="32"/>
        </w:rPr>
        <w:t>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62.34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10.58</w:t>
      </w:r>
      <w:r>
        <w:rPr>
          <w:rFonts w:hint="eastAsia" w:ascii="仿宋_GB2312" w:hAnsi="ˎ̥" w:eastAsia="仿宋_GB2312"/>
          <w:sz w:val="32"/>
          <w:szCs w:val="32"/>
        </w:rPr>
        <w:t>%；卫生健康支出（类）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27.17</w:t>
      </w:r>
      <w:r>
        <w:rPr>
          <w:rFonts w:hint="eastAsia" w:ascii="仿宋_GB2312" w:hAnsi="ˎ̥" w:eastAsia="仿宋_GB2312"/>
          <w:sz w:val="32"/>
          <w:szCs w:val="32"/>
        </w:rPr>
        <w:t>万元，占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4.61</w:t>
      </w:r>
      <w:r>
        <w:rPr>
          <w:rFonts w:hint="eastAsia" w:ascii="仿宋_GB2312" w:hAnsi="ˎ̥" w:eastAsia="仿宋_GB2312"/>
          <w:sz w:val="32"/>
          <w:szCs w:val="32"/>
        </w:rPr>
        <w:t>%。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bookmarkStart w:id="89" w:name="_Toc29364_WPSOffice_Level2"/>
      <w:bookmarkStart w:id="90" w:name="_Toc22318_WPSOffice_Level2"/>
      <w:bookmarkStart w:id="91" w:name="_Toc9502_WPSOffice_Level2"/>
      <w:bookmarkStart w:id="92" w:name="_Toc21701_WPSOffice_Level2"/>
      <w:bookmarkStart w:id="93" w:name="_Toc25136_WPSOffice_Level2"/>
      <w:bookmarkStart w:id="94" w:name="_Toc15415_WPSOffice_Level2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（三）一般公共预算</w:t>
      </w:r>
      <w:r>
        <w:rPr>
          <w:rFonts w:hint="eastAsia" w:ascii="楷体" w:hAnsi="楷体" w:eastAsia="楷体" w:cs="楷体"/>
          <w:sz w:val="32"/>
          <w:szCs w:val="32"/>
        </w:rPr>
        <w:t>财政拨款支出决算具体情况。</w:t>
      </w:r>
      <w:bookmarkEnd w:id="89"/>
      <w:bookmarkEnd w:id="90"/>
      <w:bookmarkEnd w:id="91"/>
      <w:bookmarkEnd w:id="92"/>
      <w:bookmarkEnd w:id="93"/>
      <w:bookmarkEnd w:id="94"/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2020年度一般公共预算</w:t>
      </w:r>
      <w:r>
        <w:rPr>
          <w:rFonts w:hint="eastAsia" w:ascii="仿宋_GB2312" w:hAnsi="ˎ̥" w:eastAsia="仿宋_GB2312"/>
          <w:sz w:val="32"/>
          <w:szCs w:val="32"/>
        </w:rPr>
        <w:t>财政拨款支出年初预算为589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ˎ̥" w:eastAsia="仿宋_GB2312"/>
          <w:sz w:val="32"/>
          <w:szCs w:val="32"/>
        </w:rPr>
        <w:t>20万元，支出决算为555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ˎ̥" w:eastAsia="仿宋_GB2312"/>
          <w:sz w:val="32"/>
          <w:szCs w:val="32"/>
        </w:rPr>
        <w:t>99万元，完成年初预算的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94.36</w:t>
      </w:r>
      <w:r>
        <w:rPr>
          <w:rFonts w:hint="eastAsia" w:ascii="仿宋_GB2312" w:hAnsi="ˎ̥" w:eastAsia="仿宋_GB2312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ˎ̥" w:eastAsia="仿宋_GB2312"/>
          <w:b/>
          <w:sz w:val="32"/>
          <w:szCs w:val="32"/>
        </w:rPr>
        <w:t>一般公共服务（类）人大事务（款）行政运行（项）。</w:t>
      </w:r>
    </w:p>
    <w:p>
      <w:pPr>
        <w:ind w:firstLine="800" w:firstLineChars="25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主要原因是：无此项预算和支出。</w:t>
      </w:r>
    </w:p>
    <w:p>
      <w:pPr>
        <w:ind w:firstLine="627" w:firstLineChars="196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一般公共预算财政拨款基本支出决算情况说明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。</w:t>
      </w:r>
    </w:p>
    <w:p>
      <w:pPr>
        <w:tabs>
          <w:tab w:val="center" w:pos="4473"/>
        </w:tabs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</w:rPr>
        <w:t>财政拨款基本支出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529.73</w:t>
      </w:r>
      <w:r>
        <w:rPr>
          <w:rFonts w:hint="eastAsia" w:ascii="仿宋_GB2312" w:hAnsi="ˎ̥" w:eastAsia="仿宋_GB2312"/>
          <w:sz w:val="32"/>
          <w:szCs w:val="32"/>
        </w:rPr>
        <w:t>万元，其中：人员经费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515.85</w:t>
      </w:r>
      <w:r>
        <w:rPr>
          <w:rFonts w:hint="eastAsia" w:ascii="仿宋_GB2312" w:hAnsi="ˎ̥" w:eastAsia="仿宋_GB2312"/>
          <w:sz w:val="32"/>
          <w:szCs w:val="32"/>
        </w:rPr>
        <w:t>万元，主要包括：基本工资、津贴补贴、奖金、社会保障缴费、伙食费、伙食补助费、绩效工资、其他工资福利支出等、离休费、退休费、退职（役）费、抚恤金、生活补助、救济费、医疗费、助学金、奖励金、生产补贴、住房公积金、提租补贴、购房补贴、其他对个人和家庭的补助支出等。公用经费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13.88</w:t>
      </w:r>
      <w:r>
        <w:rPr>
          <w:rFonts w:hint="eastAsia" w:ascii="仿宋_GB2312" w:hAnsi="ˎ̥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用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。</w:t>
      </w:r>
    </w:p>
    <w:p>
      <w:pPr>
        <w:tabs>
          <w:tab w:val="center" w:pos="4473"/>
        </w:tabs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（上述数字可取自财决公开06表，</w:t>
      </w:r>
      <w:r>
        <w:rPr>
          <w:rFonts w:hint="eastAsia" w:ascii="仿宋_GB2312" w:hAnsi="ˎ̥" w:eastAsia="仿宋_GB2312"/>
          <w:sz w:val="32"/>
          <w:szCs w:val="32"/>
        </w:rPr>
        <w:t>各部门（单位）根据实际支出情况，选列相应支出经济分类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ˎ̥" w:eastAsia="仿宋_GB2312"/>
          <w:sz w:val="32"/>
          <w:szCs w:val="32"/>
        </w:rPr>
        <w:t>）</w:t>
      </w:r>
    </w:p>
    <w:p>
      <w:pPr>
        <w:tabs>
          <w:tab w:val="center" w:pos="4473"/>
        </w:tabs>
        <w:ind w:firstLine="627" w:firstLineChars="196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七、政府性基金预算财政拨款支出决算情况说明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政府性基金</w:t>
      </w:r>
      <w:r>
        <w:rPr>
          <w:rFonts w:hint="eastAsia" w:ascii="楷体" w:hAnsi="楷体" w:eastAsia="楷体" w:cs="楷体"/>
          <w:sz w:val="32"/>
          <w:szCs w:val="32"/>
        </w:rPr>
        <w:t>预算财政拨款支出决算总体情况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ind w:firstLine="947" w:firstLineChars="296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主要：一是无此项预算和支出。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（二）政府性基金预算</w:t>
      </w:r>
      <w:r>
        <w:rPr>
          <w:rFonts w:hint="eastAsia" w:ascii="楷体" w:hAnsi="楷体" w:eastAsia="楷体" w:cs="楷体"/>
          <w:sz w:val="32"/>
          <w:szCs w:val="32"/>
        </w:rPr>
        <w:t>财政拨款支出决算结构情况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ind w:firstLine="947" w:firstLineChars="296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主要：一是无此项预算和支出。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（三）政府性基金预算</w:t>
      </w:r>
      <w:r>
        <w:rPr>
          <w:rFonts w:hint="eastAsia" w:ascii="楷体" w:hAnsi="楷体" w:eastAsia="楷体" w:cs="楷体"/>
          <w:sz w:val="32"/>
          <w:szCs w:val="32"/>
        </w:rPr>
        <w:t>财政拨款支出决算具体情况。</w:t>
      </w:r>
    </w:p>
    <w:p>
      <w:pPr>
        <w:ind w:firstLine="947" w:firstLineChars="296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主要：一是无此项预算和支出。</w:t>
      </w:r>
    </w:p>
    <w:p>
      <w:pPr>
        <w:tabs>
          <w:tab w:val="center" w:pos="4473"/>
        </w:tabs>
        <w:ind w:firstLine="627" w:firstLineChars="196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八、国有资本经营预算财政拨款支出决算情况说明</w:t>
      </w:r>
    </w:p>
    <w:p>
      <w:pPr>
        <w:ind w:firstLine="947" w:firstLineChars="296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</w:rPr>
        <w:t>主要原因：一是无此项预算和支出。</w:t>
      </w:r>
    </w:p>
    <w:p>
      <w:pPr>
        <w:tabs>
          <w:tab w:val="center" w:pos="4473"/>
        </w:tabs>
        <w:ind w:firstLine="627" w:firstLineChars="196"/>
        <w:rPr>
          <w:rFonts w:hint="eastAsia" w:ascii="仿宋_GB2312" w:hAnsi="ˎ̥" w:eastAsia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一般公共预算财政拨款“三公”经费支出决算情况说明</w:t>
      </w:r>
    </w:p>
    <w:p>
      <w:pPr>
        <w:ind w:firstLine="643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一般公共预算</w:t>
      </w:r>
      <w:r>
        <w:rPr>
          <w:rFonts w:hint="eastAsia" w:ascii="楷体" w:hAnsi="楷体" w:eastAsia="楷体" w:cs="楷体"/>
          <w:b/>
          <w:sz w:val="32"/>
          <w:szCs w:val="32"/>
        </w:rPr>
        <w:t>财政拨款“三公”经费支出决算总体情况说明。</w:t>
      </w:r>
    </w:p>
    <w:p>
      <w:pPr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一般公共预算财政拨款</w:t>
      </w:r>
      <w:r>
        <w:rPr>
          <w:rFonts w:hint="eastAsia" w:ascii="仿宋_GB2312" w:hAnsi="ˎ̥" w:eastAsia="仿宋_GB2312"/>
          <w:sz w:val="32"/>
          <w:szCs w:val="32"/>
        </w:rPr>
        <w:t>“三公”经费支出预算为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万元，支出决算为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万元，完成预算的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%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ˎ̥" w:eastAsia="仿宋_GB2312" w:cs="仿宋_GB2312"/>
          <w:sz w:val="32"/>
          <w:szCs w:val="32"/>
        </w:rPr>
        <w:t>主要原因是贯彻落实中央八项规定,省委省政府二十条规定和县委县政府二十一条规定,厉行节约，制止奢侈浪费，严格执行公款报销接待费规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（二）一般公共预算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财政拨款“三公”经费支出决算具体情况说明。</w:t>
      </w:r>
    </w:p>
    <w:p>
      <w:pPr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2020年度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一般公共预算财政拨款</w:t>
      </w:r>
      <w:r>
        <w:rPr>
          <w:rFonts w:hint="eastAsia" w:ascii="仿宋_GB2312" w:hAnsi="ˎ̥" w:eastAsia="仿宋_GB2312"/>
          <w:sz w:val="32"/>
          <w:szCs w:val="32"/>
        </w:rPr>
        <w:t>“三公”经费支出决算中，因公出国（境）费支出决算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万元；公务用车购置及运行费支出决算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万元；公务接待费支出决算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</w:rPr>
        <w:t>万元。具体情况如下：</w:t>
      </w:r>
      <w:r>
        <w:rPr>
          <w:rFonts w:hint="eastAsia" w:ascii="仿宋_GB2312" w:hAnsi="ˎ̥" w:eastAsia="仿宋_GB2312"/>
          <w:b/>
          <w:sz w:val="32"/>
          <w:szCs w:val="32"/>
        </w:rPr>
        <w:t>1.因公出国（境）费</w:t>
      </w:r>
      <w:r>
        <w:rPr>
          <w:rFonts w:hint="eastAsia" w:ascii="仿宋_GB2312" w:hAnsi="ˎ̥" w:eastAsia="仿宋_GB2312"/>
          <w:sz w:val="32"/>
          <w:szCs w:val="32"/>
        </w:rPr>
        <w:t>支出0万元。</w:t>
      </w:r>
      <w:r>
        <w:rPr>
          <w:rFonts w:hint="eastAsia" w:ascii="仿宋_GB2312" w:hAnsi="ˎ̥" w:eastAsia="仿宋_GB2312" w:cs="仿宋_GB2312"/>
          <w:sz w:val="32"/>
          <w:szCs w:val="32"/>
        </w:rPr>
        <w:t>主要原因:20</w:t>
      </w:r>
      <w:r>
        <w:rPr>
          <w:rFonts w:hint="eastAsia" w:ascii="仿宋_GB2312" w:hAnsi="ˎ̥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ˎ̥" w:eastAsia="仿宋_GB2312" w:cs="仿宋_GB2312"/>
          <w:sz w:val="32"/>
          <w:szCs w:val="32"/>
        </w:rPr>
        <w:t>年因公出国（境）费没有发生数.</w:t>
      </w:r>
    </w:p>
    <w:p>
      <w:pPr>
        <w:ind w:firstLine="643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 xml:space="preserve">    2.公务用车购置及运行费支出</w:t>
      </w:r>
      <w:r>
        <w:rPr>
          <w:rFonts w:hint="eastAsia" w:ascii="仿宋_GB2312" w:hAnsi="ˎ̥" w:eastAsia="仿宋_GB2312"/>
          <w:sz w:val="32"/>
          <w:szCs w:val="32"/>
        </w:rPr>
        <w:t>0万元。</w:t>
      </w:r>
      <w:r>
        <w:rPr>
          <w:rFonts w:hint="eastAsia" w:ascii="仿宋_GB2312" w:hAnsi="ˎ̥" w:eastAsia="仿宋_GB2312" w:cs="仿宋_GB2312"/>
          <w:bCs/>
          <w:sz w:val="32"/>
          <w:szCs w:val="32"/>
        </w:rPr>
        <w:t>主要原因：</w:t>
      </w:r>
      <w:r>
        <w:rPr>
          <w:rFonts w:hint="eastAsia" w:ascii="仿宋_GB2312" w:hAnsi="ˎ̥" w:eastAsia="仿宋_GB2312"/>
          <w:sz w:val="32"/>
          <w:szCs w:val="32"/>
        </w:rPr>
        <w:t>年末公务用车保有量0辆，</w:t>
      </w:r>
      <w:r>
        <w:rPr>
          <w:rFonts w:hint="eastAsia" w:ascii="仿宋_GB2312" w:hAnsi="ˎ̥" w:eastAsia="仿宋_GB2312" w:cs="仿宋_GB2312"/>
          <w:bCs/>
          <w:sz w:val="32"/>
          <w:szCs w:val="32"/>
        </w:rPr>
        <w:t>没有公务用车购置及运行费支出。</w:t>
      </w:r>
    </w:p>
    <w:p>
      <w:pPr>
        <w:ind w:firstLine="643" w:firstLineChars="200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b/>
          <w:sz w:val="32"/>
          <w:szCs w:val="32"/>
        </w:rPr>
        <w:t xml:space="preserve">    3.公务接待费支出</w:t>
      </w:r>
      <w:r>
        <w:rPr>
          <w:rFonts w:hint="eastAsia" w:ascii="仿宋_GB2312" w:hAnsi="ˎ̥" w:eastAsia="仿宋_GB2312"/>
          <w:sz w:val="32"/>
          <w:szCs w:val="32"/>
        </w:rPr>
        <w:t>0万元，</w:t>
      </w:r>
      <w:r>
        <w:rPr>
          <w:rFonts w:hint="eastAsia" w:ascii="仿宋_GB2312" w:hAnsi="ˎ̥" w:eastAsia="仿宋_GB2312" w:cs="仿宋_GB2312"/>
          <w:bCs/>
          <w:sz w:val="32"/>
          <w:szCs w:val="32"/>
        </w:rPr>
        <w:t>主要原因：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无公务接待。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ˎ̥" w:eastAsia="仿宋_GB2312"/>
          <w:sz w:val="32"/>
          <w:szCs w:val="32"/>
          <w:lang w:val="en-US" w:eastAsia="zh-CN"/>
        </w:rPr>
      </w:pPr>
    </w:p>
    <w:p>
      <w:pPr>
        <w:ind w:firstLine="627" w:firstLineChars="196"/>
        <w:rPr>
          <w:rFonts w:hint="eastAsia" w:ascii="仿宋_GB2312" w:hAnsi="ˎ̥" w:eastAsia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政府性基金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预算财政拨款“三公”经费支出决算情况说明</w:t>
      </w:r>
    </w:p>
    <w:p>
      <w:pPr>
        <w:ind w:firstLine="947" w:firstLineChars="296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主要原因：一是无此项预算和支出</w:t>
      </w:r>
    </w:p>
    <w:p>
      <w:pPr>
        <w:ind w:firstLine="627" w:firstLineChars="196"/>
        <w:rPr>
          <w:rFonts w:hint="eastAsia" w:ascii="仿宋_GB2312" w:hAnsi="ˎ̥" w:eastAsia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国有资本经营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预算财政拨款“三公”经费支出决算情况说明</w:t>
      </w:r>
    </w:p>
    <w:p>
      <w:pPr>
        <w:ind w:firstLine="960" w:firstLineChars="3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主要原因：一是无此项预算和支出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预算绩效情况说明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。</w:t>
      </w:r>
    </w:p>
    <w:p>
      <w:pPr>
        <w:spacing w:line="578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绩效管理工作开展情况。</w:t>
      </w:r>
    </w:p>
    <w:p>
      <w:pPr>
        <w:spacing w:line="578" w:lineRule="exact"/>
        <w:ind w:firstLine="1120" w:firstLineChars="35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ˎ̥" w:eastAsia="仿宋_GB2312" w:cs="仿宋_GB2312"/>
          <w:sz w:val="32"/>
          <w:szCs w:val="32"/>
        </w:rPr>
        <w:t>白沙县青松乡中心学校无绩效项目</w:t>
      </w:r>
    </w:p>
    <w:p>
      <w:pPr>
        <w:spacing w:line="578" w:lineRule="exact"/>
        <w:ind w:firstLine="643" w:firstLineChars="200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部门决算中项目绩效自评结果。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（如有）</w:t>
      </w:r>
    </w:p>
    <w:p>
      <w:pPr>
        <w:spacing w:line="578" w:lineRule="exact"/>
        <w:ind w:firstLine="1120" w:firstLineChars="35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ˎ̥" w:eastAsia="仿宋_GB2312" w:cs="仿宋_GB2312"/>
          <w:sz w:val="32"/>
          <w:szCs w:val="32"/>
        </w:rPr>
        <w:t>白沙县青松乡中心学校无绩效项目</w:t>
      </w:r>
    </w:p>
    <w:p>
      <w:pPr>
        <w:numPr>
          <w:ilvl w:val="0"/>
          <w:numId w:val="3"/>
        </w:numPr>
        <w:spacing w:line="578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财政评价项目绩效评价结果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（如有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则公开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78" w:lineRule="exac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ˎ̥" w:eastAsia="仿宋_GB2312" w:cs="仿宋_GB2312"/>
          <w:sz w:val="32"/>
          <w:szCs w:val="32"/>
        </w:rPr>
        <w:t>白沙县青松乡中心学校无绩效项目</w:t>
      </w:r>
    </w:p>
    <w:p>
      <w:pPr>
        <w:numPr>
          <w:ilvl w:val="0"/>
          <w:numId w:val="3"/>
        </w:numPr>
        <w:spacing w:line="578" w:lineRule="exact"/>
        <w:ind w:left="0" w:leftChars="0" w:firstLine="643" w:firstLineChars="200"/>
        <w:rPr>
          <w:rFonts w:hint="eastAsia" w:ascii="楷体" w:hAnsi="楷体" w:eastAsia="楷体" w:cs="楷体"/>
          <w:b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/>
        </w:rPr>
        <w:t>部门评价项目绩效评价结果</w:t>
      </w:r>
      <w:r>
        <w:rPr>
          <w:rFonts w:hint="eastAsia" w:ascii="楷体" w:hAnsi="楷体" w:eastAsia="楷体" w:cs="楷体"/>
          <w:b/>
          <w:sz w:val="32"/>
          <w:szCs w:val="32"/>
          <w:u w:val="none"/>
        </w:rPr>
        <w:t>。</w:t>
      </w:r>
      <w:r>
        <w:rPr>
          <w:rFonts w:hint="eastAsia" w:ascii="楷体" w:hAnsi="楷体" w:eastAsia="楷体" w:cs="楷体"/>
          <w:b/>
          <w:sz w:val="32"/>
          <w:szCs w:val="32"/>
          <w:u w:val="none"/>
          <w:lang w:eastAsia="zh-CN"/>
        </w:rPr>
        <w:t>（如有则公开）</w:t>
      </w:r>
    </w:p>
    <w:p>
      <w:pPr>
        <w:numPr>
          <w:numId w:val="0"/>
        </w:numPr>
        <w:spacing w:line="578" w:lineRule="exac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ˎ̥" w:eastAsia="仿宋_GB2312" w:cs="仿宋_GB2312"/>
          <w:sz w:val="32"/>
          <w:szCs w:val="32"/>
        </w:rPr>
        <w:t>白沙县青松乡中心学校无绩效项目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其他重要事项情况说明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bookmarkStart w:id="95" w:name="_Toc32639_WPSOffice_Level2"/>
      <w:bookmarkStart w:id="96" w:name="_Toc15262_WPSOffice_Level2"/>
      <w:bookmarkStart w:id="97" w:name="_Toc18325_WPSOffice_Level2"/>
      <w:bookmarkStart w:id="98" w:name="_Toc5978_WPSOffice_Level2"/>
      <w:bookmarkStart w:id="99" w:name="_Toc15565_WPSOffice_Level2"/>
      <w:bookmarkStart w:id="100" w:name="_Toc23598_WPSOffice_Level2"/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机关运行经费支出情况。</w:t>
      </w:r>
      <w:bookmarkEnd w:id="95"/>
      <w:bookmarkEnd w:id="96"/>
      <w:bookmarkEnd w:id="97"/>
      <w:bookmarkEnd w:id="98"/>
      <w:bookmarkEnd w:id="99"/>
      <w:bookmarkEnd w:id="100"/>
    </w:p>
    <w:p>
      <w:pPr>
        <w:ind w:firstLine="960" w:firstLineChars="300"/>
        <w:rPr>
          <w:rFonts w:hint="eastAsia" w:ascii="仿宋_GB2312" w:hAnsi="ˎ̥" w:eastAsia="仿宋_GB2312"/>
          <w:sz w:val="32"/>
          <w:szCs w:val="32"/>
        </w:rPr>
      </w:pPr>
      <w:bookmarkStart w:id="101" w:name="_Toc32689_WPSOffice_Level2"/>
      <w:bookmarkStart w:id="102" w:name="_Toc3131_WPSOffice_Level2"/>
      <w:bookmarkStart w:id="103" w:name="_Toc13084_WPSOffice_Level2"/>
      <w:bookmarkStart w:id="104" w:name="_Toc30383_WPSOffice_Level2"/>
      <w:bookmarkStart w:id="105" w:name="_Toc23966_WPSOffice_Level2"/>
      <w:bookmarkStart w:id="106" w:name="_Toc25333_WPSOffice_Level2"/>
      <w:r>
        <w:rPr>
          <w:rFonts w:hint="eastAsia" w:ascii="仿宋_GB2312" w:hAnsi="ˎ̥" w:eastAsia="仿宋_GB2312"/>
          <w:sz w:val="32"/>
          <w:szCs w:val="32"/>
        </w:rPr>
        <w:t>主要原因：一是无此项预算和支出。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政府采购支出情况。</w:t>
      </w:r>
      <w:bookmarkEnd w:id="101"/>
      <w:bookmarkEnd w:id="102"/>
      <w:bookmarkEnd w:id="103"/>
      <w:bookmarkEnd w:id="104"/>
      <w:bookmarkEnd w:id="105"/>
      <w:bookmarkEnd w:id="106"/>
    </w:p>
    <w:p>
      <w:pPr>
        <w:ind w:firstLine="960" w:firstLineChars="300"/>
        <w:rPr>
          <w:rFonts w:hint="eastAsia" w:ascii="仿宋_GB2312" w:hAnsi="ˎ̥" w:eastAsia="仿宋_GB2312"/>
          <w:sz w:val="32"/>
          <w:szCs w:val="32"/>
        </w:rPr>
      </w:pPr>
      <w:bookmarkStart w:id="107" w:name="_Toc527_WPSOffice_Level2"/>
      <w:bookmarkStart w:id="108" w:name="_Toc15129_WPSOffice_Level2"/>
      <w:bookmarkStart w:id="109" w:name="_Toc6016_WPSOffice_Level2"/>
      <w:bookmarkStart w:id="110" w:name="_Toc10902_WPSOffice_Level2"/>
      <w:bookmarkStart w:id="111" w:name="_Toc29584_WPSOffice_Level2"/>
      <w:bookmarkStart w:id="112" w:name="_Toc19989_WPSOffice_Level2"/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ˎ̥" w:eastAsia="仿宋_GB2312"/>
          <w:sz w:val="32"/>
          <w:szCs w:val="32"/>
        </w:rPr>
        <w:t xml:space="preserve">年度白沙黎族自治县青松乡中心学校（单位）政府采购支出总额0万元。 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sz w:val="32"/>
          <w:szCs w:val="32"/>
        </w:rPr>
        <w:t>国有资产占用情况。</w:t>
      </w:r>
      <w:bookmarkEnd w:id="107"/>
      <w:bookmarkEnd w:id="108"/>
      <w:bookmarkEnd w:id="109"/>
      <w:bookmarkEnd w:id="110"/>
      <w:bookmarkEnd w:id="111"/>
      <w:bookmarkEnd w:id="112"/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截至20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ˎ̥" w:eastAsia="仿宋_GB2312"/>
          <w:sz w:val="32"/>
          <w:szCs w:val="32"/>
        </w:rPr>
        <w:t>年度12月31日，本部门占用房屋面积</w:t>
      </w:r>
      <w:r>
        <w:rPr>
          <w:rFonts w:ascii="仿宋_GB2312" w:hAnsi="ˎ̥" w:eastAsia="仿宋_GB2312"/>
          <w:sz w:val="32"/>
          <w:szCs w:val="32"/>
        </w:rPr>
        <w:t>6256.3</w:t>
      </w:r>
      <w:r>
        <w:rPr>
          <w:rFonts w:hint="eastAsia" w:ascii="仿宋_GB2312" w:hAnsi="ˎ̥" w:eastAsia="仿宋_GB2312"/>
          <w:sz w:val="32"/>
          <w:szCs w:val="32"/>
        </w:rPr>
        <w:t>平方米，其中：办公用房180平方米，业务用房</w:t>
      </w:r>
      <w:r>
        <w:rPr>
          <w:rFonts w:ascii="仿宋_GB2312" w:hAnsi="ˎ̥" w:eastAsia="仿宋_GB2312"/>
          <w:sz w:val="32"/>
          <w:szCs w:val="32"/>
        </w:rPr>
        <w:t>1</w:t>
      </w:r>
      <w:r>
        <w:rPr>
          <w:rFonts w:hint="eastAsia" w:ascii="仿宋_GB2312" w:hAnsi="ˎ̥" w:eastAsia="仿宋_GB2312"/>
          <w:sz w:val="32"/>
          <w:szCs w:val="32"/>
        </w:rPr>
        <w:t>600平方米，其他（不含构筑物）</w:t>
      </w:r>
      <w:r>
        <w:rPr>
          <w:rFonts w:ascii="仿宋_GB2312" w:hAnsi="ˎ̥" w:eastAsia="仿宋_GB2312"/>
          <w:sz w:val="32"/>
          <w:szCs w:val="32"/>
        </w:rPr>
        <w:t>3796.3</w:t>
      </w:r>
      <w:r>
        <w:rPr>
          <w:rFonts w:hint="eastAsia" w:ascii="仿宋_GB2312" w:hAnsi="ˎ̥" w:eastAsia="仿宋_GB2312"/>
          <w:sz w:val="32"/>
          <w:szCs w:val="32"/>
        </w:rPr>
        <w:t>平方米。</w:t>
      </w:r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本部门共有车辆0辆 。</w:t>
      </w:r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单位价值50万元（含）以上通用设备0台（套），单价100万元（含）以上专用设备0台（套）。</w:t>
      </w:r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D3E8F"/>
    <w:multiLevelType w:val="singleLevel"/>
    <w:tmpl w:val="945D3E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3B5384"/>
    <w:multiLevelType w:val="singleLevel"/>
    <w:tmpl w:val="2A3B538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109F8D"/>
    <w:multiLevelType w:val="singleLevel"/>
    <w:tmpl w:val="72109F8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1649"/>
    <w:rsid w:val="04935F04"/>
    <w:rsid w:val="0F9E1A5D"/>
    <w:rsid w:val="1298194D"/>
    <w:rsid w:val="19470ADF"/>
    <w:rsid w:val="206159F5"/>
    <w:rsid w:val="21383207"/>
    <w:rsid w:val="24252DBA"/>
    <w:rsid w:val="25BF4790"/>
    <w:rsid w:val="281E1649"/>
    <w:rsid w:val="294C74AC"/>
    <w:rsid w:val="2D8B6AB2"/>
    <w:rsid w:val="2F2E69F3"/>
    <w:rsid w:val="2F8426EA"/>
    <w:rsid w:val="312F4BBD"/>
    <w:rsid w:val="33485DF9"/>
    <w:rsid w:val="40DE3C68"/>
    <w:rsid w:val="41564FD0"/>
    <w:rsid w:val="42792D16"/>
    <w:rsid w:val="46DD1A0E"/>
    <w:rsid w:val="49800641"/>
    <w:rsid w:val="4AF668D0"/>
    <w:rsid w:val="4BCC1A82"/>
    <w:rsid w:val="4EE56489"/>
    <w:rsid w:val="50C72411"/>
    <w:rsid w:val="527D36F1"/>
    <w:rsid w:val="59BD02B6"/>
    <w:rsid w:val="59F9226D"/>
    <w:rsid w:val="63DE234C"/>
    <w:rsid w:val="64230C55"/>
    <w:rsid w:val="6ABE1F1B"/>
    <w:rsid w:val="6E3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1 Char Char Char"/>
    <w:basedOn w:val="1"/>
    <w:link w:val="4"/>
    <w:qFormat/>
    <w:uiPriority w:val="0"/>
    <w:pPr>
      <w:spacing w:line="360" w:lineRule="auto"/>
      <w:ind w:firstLine="200" w:firstLineChars="200"/>
    </w:pPr>
  </w:style>
  <w:style w:type="character" w:styleId="6">
    <w:name w:val="page number"/>
    <w:basedOn w:val="4"/>
    <w:qFormat/>
    <w:uiPriority w:val="0"/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8">
    <w:name w:val="WPSOffice手动目录 2"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p0"/>
    <w:basedOn w:val="1"/>
    <w:qFormat/>
    <w:uiPriority w:val="0"/>
    <w:pPr>
      <w:widowControl/>
    </w:pPr>
    <w:rPr>
      <w:rFonts w:hAnsi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2021-09-11T01:42:00Z</dcterms:created>
  <dc:creator>lenovo</dc:creator>
  <cp:lastModifiedBy>lenovo</cp:lastModifiedBy>
  <dcterms:modified xsi:type="dcterms:W3CDTF">2021-09-12T10:09:21Z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