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color w:val="auto"/>
          <w:sz w:val="84"/>
          <w:szCs w:val="84"/>
          <w:u w:val="singl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auto"/>
          <w:sz w:val="84"/>
          <w:szCs w:val="84"/>
          <w:u w:val="singl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auto"/>
          <w:sz w:val="84"/>
          <w:szCs w:val="84"/>
          <w:u w:val="singl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color w:val="auto"/>
          <w:sz w:val="52"/>
          <w:szCs w:val="52"/>
        </w:rPr>
      </w:pPr>
      <w:r>
        <w:rPr>
          <w:rFonts w:hint="eastAsia" w:ascii="宋体" w:hAnsi="宋体" w:eastAsia="宋体" w:cs="宋体"/>
          <w:b w:val="0"/>
          <w:bCs w:val="0"/>
          <w:color w:val="auto"/>
          <w:sz w:val="52"/>
          <w:szCs w:val="52"/>
        </w:rPr>
        <w:t>202</w:t>
      </w:r>
      <w:r>
        <w:rPr>
          <w:rFonts w:hint="eastAsia" w:ascii="宋体" w:hAnsi="宋体" w:cs="宋体"/>
          <w:b w:val="0"/>
          <w:bCs w:val="0"/>
          <w:color w:val="auto"/>
          <w:sz w:val="52"/>
          <w:szCs w:val="52"/>
          <w:lang w:val="en-US" w:eastAsia="zh-CN"/>
        </w:rPr>
        <w:t>4</w:t>
      </w:r>
      <w:r>
        <w:rPr>
          <w:rFonts w:hint="eastAsia" w:ascii="宋体" w:hAnsi="宋体" w:eastAsia="宋体" w:cs="宋体"/>
          <w:b w:val="0"/>
          <w:bCs w:val="0"/>
          <w:color w:val="auto"/>
          <w:sz w:val="52"/>
          <w:szCs w:val="52"/>
        </w:rPr>
        <w:t>年白沙黎族自治县爱国卫生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52"/>
          <w:szCs w:val="52"/>
        </w:rPr>
      </w:pPr>
      <w:r>
        <w:rPr>
          <w:rFonts w:hint="eastAsia" w:ascii="宋体" w:hAnsi="宋体" w:eastAsia="宋体" w:cs="宋体"/>
          <w:b w:val="0"/>
          <w:bCs w:val="0"/>
          <w:color w:val="auto"/>
          <w:sz w:val="52"/>
          <w:szCs w:val="52"/>
        </w:rPr>
        <w:t>运动服务中心预算</w:t>
      </w: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color w:val="auto"/>
          <w:sz w:val="84"/>
          <w:szCs w:val="84"/>
        </w:rPr>
      </w:pP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color w:val="auto"/>
          <w:sz w:val="84"/>
          <w:szCs w:val="84"/>
        </w:rPr>
      </w:pP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color w:val="auto"/>
          <w:sz w:val="84"/>
          <w:szCs w:val="84"/>
        </w:rPr>
      </w:pP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color w:val="auto"/>
          <w:sz w:val="84"/>
          <w:szCs w:val="84"/>
        </w:rPr>
      </w:pP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color w:val="auto"/>
          <w:sz w:val="84"/>
          <w:szCs w:val="84"/>
        </w:rPr>
      </w:pP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color w:val="auto"/>
          <w:sz w:val="84"/>
          <w:szCs w:val="84"/>
        </w:rPr>
      </w:pP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color w:val="auto"/>
          <w:sz w:val="84"/>
          <w:szCs w:val="84"/>
        </w:rPr>
      </w:pP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color w:val="auto"/>
          <w:sz w:val="84"/>
          <w:szCs w:val="84"/>
        </w:rPr>
      </w:pP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color w:val="auto"/>
          <w:sz w:val="84"/>
          <w:szCs w:val="8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color w:val="auto"/>
          <w:sz w:val="52"/>
          <w:szCs w:val="52"/>
          <w:lang w:val="en-US" w:eastAsia="zh-CN"/>
        </w:rPr>
      </w:pPr>
      <w:r>
        <w:rPr>
          <w:rFonts w:hint="eastAsia" w:ascii="宋体" w:hAnsi="宋体" w:eastAsia="宋体" w:cs="宋体"/>
          <w:b w:val="0"/>
          <w:bCs w:val="0"/>
          <w:color w:val="auto"/>
          <w:sz w:val="52"/>
          <w:szCs w:val="52"/>
          <w:lang w:val="en-US" w:eastAsia="zh-CN"/>
        </w:rPr>
        <w:t>202</w:t>
      </w:r>
      <w:r>
        <w:rPr>
          <w:rFonts w:hint="eastAsia" w:ascii="宋体" w:hAnsi="宋体" w:cs="宋体"/>
          <w:b w:val="0"/>
          <w:bCs w:val="0"/>
          <w:color w:val="auto"/>
          <w:sz w:val="52"/>
          <w:szCs w:val="52"/>
          <w:lang w:val="en-US" w:eastAsia="zh-CN"/>
        </w:rPr>
        <w:t>4</w:t>
      </w:r>
      <w:r>
        <w:rPr>
          <w:rFonts w:hint="eastAsia" w:ascii="宋体" w:hAnsi="宋体" w:eastAsia="宋体" w:cs="宋体"/>
          <w:b w:val="0"/>
          <w:bCs w:val="0"/>
          <w:color w:val="auto"/>
          <w:sz w:val="52"/>
          <w:szCs w:val="52"/>
          <w:lang w:val="en-US" w:eastAsia="zh-CN"/>
        </w:rPr>
        <w:t>年</w:t>
      </w:r>
      <w:r>
        <w:rPr>
          <w:rFonts w:hint="eastAsia" w:ascii="宋体" w:hAnsi="宋体" w:cs="宋体"/>
          <w:b w:val="0"/>
          <w:bCs w:val="0"/>
          <w:color w:val="auto"/>
          <w:sz w:val="52"/>
          <w:szCs w:val="52"/>
          <w:lang w:val="en-US" w:eastAsia="zh-CN"/>
        </w:rPr>
        <w:t>3</w:t>
      </w:r>
      <w:r>
        <w:rPr>
          <w:rFonts w:hint="eastAsia" w:ascii="宋体" w:hAnsi="宋体" w:eastAsia="宋体" w:cs="宋体"/>
          <w:b w:val="0"/>
          <w:bCs w:val="0"/>
          <w:color w:val="auto"/>
          <w:sz w:val="52"/>
          <w:szCs w:val="52"/>
          <w:lang w:val="en-US" w:eastAsia="zh-CN"/>
        </w:rPr>
        <w:t>月</w:t>
      </w:r>
      <w:r>
        <w:rPr>
          <w:rFonts w:hint="eastAsia" w:ascii="宋体" w:hAnsi="宋体" w:cs="宋体"/>
          <w:b w:val="0"/>
          <w:bCs w:val="0"/>
          <w:color w:val="auto"/>
          <w:sz w:val="52"/>
          <w:szCs w:val="52"/>
          <w:lang w:val="en-US" w:eastAsia="zh-CN"/>
        </w:rPr>
        <w:t>6</w:t>
      </w:r>
      <w:r>
        <w:rPr>
          <w:rFonts w:hint="eastAsia" w:ascii="宋体" w:hAnsi="宋体" w:eastAsia="宋体" w:cs="宋体"/>
          <w:b w:val="0"/>
          <w:bCs w:val="0"/>
          <w:color w:val="auto"/>
          <w:sz w:val="52"/>
          <w:szCs w:val="5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80"/>
        <w:jc w:val="both"/>
        <w:textAlignment w:val="auto"/>
        <w:rPr>
          <w:color w:val="auto"/>
          <w:sz w:val="84"/>
          <w:szCs w:val="84"/>
        </w:rPr>
      </w:pPr>
    </w:p>
    <w:p>
      <w:pPr>
        <w:keepNext w:val="0"/>
        <w:keepLines w:val="0"/>
        <w:pageBreakBefore w:val="0"/>
        <w:widowControl w:val="0"/>
        <w:kinsoku/>
        <w:wordWrap/>
        <w:overflowPunct/>
        <w:topLinePunct w:val="0"/>
        <w:autoSpaceDE/>
        <w:autoSpaceDN/>
        <w:bidi w:val="0"/>
        <w:adjustRightInd/>
        <w:snapToGrid/>
        <w:spacing w:line="560" w:lineRule="exact"/>
        <w:ind w:firstLine="1680"/>
        <w:jc w:val="center"/>
        <w:textAlignment w:val="auto"/>
        <w:rPr>
          <w:color w:val="auto"/>
          <w:sz w:val="84"/>
          <w:szCs w:val="8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olor w:val="auto"/>
          <w:sz w:val="52"/>
          <w:szCs w:val="52"/>
        </w:rPr>
        <w:sectPr>
          <w:pgSz w:w="11906" w:h="16838"/>
          <w:pgMar w:top="1440" w:right="1800" w:bottom="1440" w:left="1800" w:header="851" w:footer="992" w:gutter="0"/>
          <w:pgNumType w:fmt="decimal" w:start="1"/>
          <w:cols w:space="720" w:num="1"/>
          <w:docGrid w:type="lines" w:linePitch="312"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olor w:val="auto"/>
          <w:sz w:val="52"/>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olor w:val="auto"/>
          <w:sz w:val="52"/>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目</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olor w:val="auto"/>
          <w:sz w:val="52"/>
          <w:szCs w:val="52"/>
        </w:rPr>
      </w:pP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rPr>
          <w:rFonts w:hint="eastAsia" w:ascii="黑体" w:hAnsi="黑体" w:eastAsia="黑体"/>
          <w:color w:val="auto"/>
          <w:sz w:val="32"/>
          <w:szCs w:val="32"/>
        </w:rPr>
      </w:pPr>
      <w:r>
        <w:rPr>
          <w:rFonts w:hint="eastAsia" w:ascii="黑体" w:hAnsi="黑体" w:eastAsia="黑体"/>
          <w:color w:val="auto"/>
          <w:sz w:val="32"/>
          <w:szCs w:val="32"/>
        </w:rPr>
        <w:t xml:space="preserve">  </w:t>
      </w:r>
      <w:r>
        <w:rPr>
          <w:rFonts w:hint="eastAsia" w:ascii="仿宋_GB2312" w:hAnsi="黑体" w:eastAsia="仿宋_GB2312" w:cs="仿宋_GB2312"/>
          <w:color w:val="auto"/>
          <w:sz w:val="32"/>
          <w:szCs w:val="32"/>
        </w:rPr>
        <w:t xml:space="preserve"> </w:t>
      </w:r>
      <w:r>
        <w:rPr>
          <w:rFonts w:hint="eastAsia" w:ascii="黑体" w:hAnsi="黑体" w:eastAsia="黑体"/>
          <w:color w:val="auto"/>
          <w:sz w:val="32"/>
          <w:szCs w:val="32"/>
          <w:lang w:eastAsia="zh-CN"/>
        </w:rPr>
        <w:t>白沙黎族自治县爱国卫生运动服务中心</w:t>
      </w:r>
      <w:r>
        <w:rPr>
          <w:rFonts w:hint="eastAsia" w:ascii="黑体" w:hAnsi="黑体" w:eastAsia="黑体"/>
          <w:color w:val="auto"/>
          <w:sz w:val="32"/>
          <w:szCs w:val="32"/>
        </w:rPr>
        <w:t>概况</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color w:val="auto"/>
          <w:sz w:val="32"/>
          <w:szCs w:val="32"/>
        </w:rPr>
      </w:pPr>
      <w:r>
        <w:rPr>
          <w:rFonts w:hint="eastAsia" w:ascii="黑体" w:hAnsi="黑体" w:eastAsia="黑体"/>
          <w:color w:val="auto"/>
          <w:sz w:val="32"/>
          <w:szCs w:val="32"/>
        </w:rPr>
        <w:t>主要职能</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color w:val="auto"/>
          <w:sz w:val="32"/>
          <w:szCs w:val="32"/>
        </w:rPr>
      </w:pPr>
      <w:r>
        <w:rPr>
          <w:rFonts w:hint="eastAsia" w:ascii="黑体" w:hAnsi="黑体" w:eastAsia="黑体"/>
          <w:color w:val="auto"/>
          <w:sz w:val="32"/>
          <w:szCs w:val="32"/>
        </w:rPr>
        <w:t>部门预算单位构成</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hint="eastAsia" w:ascii="黑体" w:hAnsi="黑体" w:eastAsia="黑体"/>
          <w:color w:val="auto"/>
          <w:sz w:val="32"/>
          <w:szCs w:val="32"/>
          <w:lang w:eastAsia="zh-CN"/>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白沙黎族自治县爱国卫生运动服务中心</w:t>
      </w:r>
      <w:r>
        <w:rPr>
          <w:rFonts w:hint="eastAsia" w:ascii="黑体" w:hAnsi="黑体" w:eastAsia="黑体"/>
          <w:color w:val="auto"/>
          <w:sz w:val="32"/>
          <w:szCs w:val="32"/>
          <w:lang w:val="en-US" w:eastAsia="zh-CN"/>
        </w:rPr>
        <w:t>2024年</w:t>
      </w:r>
      <w:r>
        <w:rPr>
          <w:rFonts w:hint="eastAsia" w:ascii="黑体" w:hAnsi="黑体" w:eastAsia="黑体"/>
          <w:color w:val="auto"/>
          <w:sz w:val="32"/>
          <w:szCs w:val="32"/>
          <w:lang w:eastAsia="zh-CN"/>
        </w:rPr>
        <w:t>预算表</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jc w:val="left"/>
        <w:textAlignment w:val="auto"/>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白沙黎族自治县爱国卫生运动服务中心</w:t>
      </w:r>
      <w:r>
        <w:rPr>
          <w:rFonts w:hint="eastAsia" w:ascii="仿宋_GB2312" w:hAnsi="仿宋_GB2312" w:eastAsia="仿宋_GB2312" w:cs="仿宋_GB2312"/>
          <w:color w:val="auto"/>
          <w:sz w:val="32"/>
          <w:szCs w:val="32"/>
        </w:rPr>
        <w:t>收支总表</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jc w:val="left"/>
        <w:textAlignment w:val="auto"/>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白沙黎族自治县爱国卫生运动服务中心</w:t>
      </w:r>
      <w:r>
        <w:rPr>
          <w:rFonts w:hint="eastAsia" w:ascii="仿宋_GB2312" w:hAnsi="仿宋_GB2312" w:eastAsia="仿宋_GB2312" w:cs="仿宋_GB2312"/>
          <w:color w:val="auto"/>
          <w:sz w:val="32"/>
          <w:szCs w:val="32"/>
        </w:rPr>
        <w:t>收入总表</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jc w:val="left"/>
        <w:textAlignment w:val="auto"/>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白沙黎族自治县爱国卫生运动服务中心</w:t>
      </w:r>
      <w:r>
        <w:rPr>
          <w:rFonts w:hint="eastAsia" w:ascii="仿宋_GB2312" w:hAnsi="仿宋_GB2312" w:eastAsia="仿宋_GB2312" w:cs="仿宋_GB2312"/>
          <w:color w:val="auto"/>
          <w:sz w:val="32"/>
          <w:szCs w:val="32"/>
        </w:rPr>
        <w:t>支出总表</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jc w:val="left"/>
        <w:textAlignment w:val="auto"/>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rPr>
          <w:rFonts w:hint="eastAsia" w:ascii="黑体" w:hAnsi="黑体" w:eastAsia="黑体"/>
          <w:color w:val="auto"/>
          <w:sz w:val="32"/>
          <w:szCs w:val="32"/>
          <w:lang w:eastAsia="zh-CN"/>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白沙黎族自治县爱国卫生运动服务中心</w:t>
      </w:r>
      <w:r>
        <w:rPr>
          <w:rFonts w:hint="eastAsia" w:ascii="黑体" w:hAnsi="黑体" w:eastAsia="黑体"/>
          <w:color w:val="auto"/>
          <w:sz w:val="32"/>
          <w:szCs w:val="32"/>
          <w:lang w:val="en-US" w:eastAsia="zh-CN"/>
        </w:rPr>
        <w:t>2024年</w:t>
      </w:r>
      <w:r>
        <w:rPr>
          <w:rFonts w:hint="eastAsia" w:ascii="黑体" w:hAnsi="黑体" w:eastAsia="黑体"/>
          <w:color w:val="auto"/>
          <w:sz w:val="32"/>
          <w:szCs w:val="32"/>
          <w:lang w:eastAsia="zh-CN"/>
        </w:rPr>
        <w:t>预算情况说明</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黑体" w:hAnsi="黑体" w:eastAsia="黑体"/>
          <w:color w:val="auto"/>
          <w:sz w:val="32"/>
          <w:szCs w:val="32"/>
        </w:rPr>
      </w:pPr>
    </w:p>
    <w:p>
      <w:pPr>
        <w:pStyle w:val="6"/>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Chars="0"/>
        <w:jc w:val="center"/>
        <w:textAlignment w:val="auto"/>
        <w:rPr>
          <w:rFonts w:ascii="仿宋_GB2312" w:hAnsi="仿宋_GB2312" w:eastAsia="仿宋_GB2312" w:cs="仿宋_GB2312"/>
          <w:color w:val="auto"/>
          <w:sz w:val="32"/>
          <w:szCs w:val="32"/>
        </w:rPr>
        <w:sectPr>
          <w:footerReference r:id="rId3" w:type="default"/>
          <w:pgSz w:w="11906" w:h="16838"/>
          <w:pgMar w:top="1440" w:right="1800" w:bottom="1440" w:left="1800" w:header="851" w:footer="992" w:gutter="0"/>
          <w:pgNumType w:fmt="decimal" w:start="1"/>
          <w:cols w:space="720" w:num="1"/>
          <w:docGrid w:type="lines" w:linePitch="312" w:charSpace="0"/>
        </w:sectPr>
      </w:pPr>
    </w:p>
    <w:p>
      <w:pPr>
        <w:pStyle w:val="6"/>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Chars="0"/>
        <w:jc w:val="center"/>
        <w:textAlignment w:val="auto"/>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白沙黎族自治县爱国卫生运动服务中心</w:t>
      </w:r>
      <w:r>
        <w:rPr>
          <w:rFonts w:hint="eastAsia" w:ascii="黑体" w:hAnsi="黑体" w:eastAsia="黑体"/>
          <w:color w:val="auto"/>
          <w:sz w:val="32"/>
          <w:szCs w:val="32"/>
        </w:rPr>
        <w:t>概况</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color w:val="auto"/>
          <w:sz w:val="32"/>
          <w:szCs w:val="32"/>
        </w:rPr>
      </w:pPr>
    </w:p>
    <w:p>
      <w:pPr>
        <w:pStyle w:val="6"/>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Chars="0"/>
        <w:jc w:val="left"/>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主要职能</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305" w:firstLine="640" w:firstLineChars="200"/>
        <w:jc w:val="left"/>
        <w:textAlignment w:val="auto"/>
        <w:rPr>
          <w:rFonts w:ascii="仿宋_GB2312" w:hAnsi="黑体" w:eastAsia="仿宋_GB2312" w:cs="仿宋_GB2312"/>
          <w:color w:val="auto"/>
          <w:sz w:val="32"/>
          <w:szCs w:val="32"/>
        </w:rPr>
      </w:pPr>
      <w:r>
        <w:rPr>
          <w:rFonts w:hint="eastAsia" w:ascii="仿宋_GB2312" w:hAnsi="仿宋_GB2312" w:eastAsia="仿宋_GB2312" w:cs="仿宋_GB2312"/>
          <w:color w:val="auto"/>
          <w:kern w:val="2"/>
          <w:sz w:val="32"/>
          <w:szCs w:val="32"/>
          <w:lang w:val="en-US" w:eastAsia="zh-CN" w:bidi="ar-SA"/>
        </w:rPr>
        <w:t>爱卫中心隶属卫生健康委员会，主要为本县巩固国家卫生县城、全域卫生（健康）创建工作标准、制度落实提供服务，发动群众参与爱国卫生、病媒生物防制活动。组织开展创建国家、省级卫生乡镇、健康城市健康村镇建设工作，广泛开展全民健康教育，督查环境卫生综合整治工作。</w:t>
      </w:r>
    </w:p>
    <w:p>
      <w:pPr>
        <w:pStyle w:val="6"/>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Chars="0"/>
        <w:jc w:val="left"/>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部门预算单位构成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⒈纳入白沙黎族自治县爱国卫生运动服务中心2024年度预算编制范围的二级预算单位包括：白沙黎族自治县爱国卫生运动服务中心。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2.爱卫中心属于财政拨款的参依照公务员行政事业单位。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3.单位编制3人，在编人数3人。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设：环境卫生管理岗和卫生教育宣传岗。</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160" w:hanging="4160" w:hangingChars="1300"/>
        <w:jc w:val="both"/>
        <w:textAlignment w:val="auto"/>
        <w:rPr>
          <w:rFonts w:ascii="黑体" w:hAnsi="黑体" w:eastAsia="黑体"/>
          <w:color w:val="auto"/>
          <w:sz w:val="32"/>
          <w:szCs w:val="32"/>
        </w:rPr>
      </w:pPr>
      <w:r>
        <w:rPr>
          <w:rFonts w:hint="eastAsia" w:ascii="黑体" w:hAnsi="黑体" w:eastAsia="黑体"/>
          <w:color w:val="auto"/>
          <w:sz w:val="32"/>
          <w:szCs w:val="32"/>
        </w:rPr>
        <w:t xml:space="preserve">第二部分 </w:t>
      </w:r>
      <w:r>
        <w:rPr>
          <w:rFonts w:hint="eastAsia" w:ascii="黑体" w:hAnsi="黑体" w:eastAsia="黑体"/>
          <w:color w:val="auto"/>
          <w:sz w:val="32"/>
          <w:szCs w:val="32"/>
          <w:lang w:eastAsia="zh-CN"/>
        </w:rPr>
        <w:t>白沙黎族自治县爱国卫生运动服务中心</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年预算表</w:t>
      </w:r>
    </w:p>
    <w:p>
      <w:pPr>
        <w:keepNext w:val="0"/>
        <w:keepLines w:val="0"/>
        <w:pageBreakBefore w:val="0"/>
        <w:widowControl w:val="0"/>
        <w:kinsoku/>
        <w:wordWrap/>
        <w:overflowPunct/>
        <w:topLinePunct w:val="0"/>
        <w:autoSpaceDE/>
        <w:autoSpaceDN/>
        <w:bidi w:val="0"/>
        <w:adjustRightInd/>
        <w:snapToGrid/>
        <w:spacing w:line="560" w:lineRule="exact"/>
        <w:ind w:left="800"/>
        <w:jc w:val="left"/>
        <w:textAlignment w:val="auto"/>
        <w:rPr>
          <w:rFonts w:ascii="黑体" w:hAnsi="黑体" w:eastAsia="黑体"/>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三</w:t>
      </w:r>
      <w:r>
        <w:rPr>
          <w:rFonts w:hint="eastAsia" w:ascii="黑体" w:hAnsi="黑体" w:eastAsia="黑体"/>
          <w:color w:val="auto"/>
          <w:sz w:val="32"/>
          <w:szCs w:val="32"/>
        </w:rPr>
        <w:t xml:space="preserve">部分  </w:t>
      </w:r>
      <w:r>
        <w:rPr>
          <w:rFonts w:hint="eastAsia" w:ascii="黑体" w:hAnsi="黑体" w:eastAsia="黑体"/>
          <w:color w:val="auto"/>
          <w:sz w:val="32"/>
          <w:szCs w:val="32"/>
          <w:lang w:eastAsia="zh-CN"/>
        </w:rPr>
        <w:t>白沙黎族自治县爱国卫生运动服务中心</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840" w:firstLineChars="1200"/>
        <w:jc w:val="both"/>
        <w:textAlignment w:val="auto"/>
        <w:rPr>
          <w:rFonts w:ascii="黑体" w:hAnsi="黑体" w:eastAsia="黑体"/>
          <w:color w:val="auto"/>
          <w:sz w:val="32"/>
          <w:szCs w:val="32"/>
        </w:rPr>
      </w:pPr>
      <w:r>
        <w:rPr>
          <w:rFonts w:hint="eastAsia" w:ascii="黑体" w:hAnsi="黑体" w:eastAsia="黑体"/>
          <w:color w:val="auto"/>
          <w:sz w:val="32"/>
          <w:szCs w:val="32"/>
        </w:rPr>
        <w:t>预算情况说明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olor w:val="auto"/>
          <w:sz w:val="32"/>
          <w:szCs w:val="32"/>
        </w:rPr>
      </w:pP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olor w:val="auto"/>
          <w:sz w:val="32"/>
          <w:szCs w:val="32"/>
        </w:rPr>
      </w:pPr>
      <w:r>
        <w:rPr>
          <w:rFonts w:hint="eastAsia" w:ascii="黑体" w:hAnsi="黑体" w:eastAsia="黑体"/>
          <w:color w:val="auto"/>
          <w:sz w:val="32"/>
          <w:szCs w:val="32"/>
        </w:rPr>
        <w:t>关于</w:t>
      </w:r>
      <w:r>
        <w:rPr>
          <w:rFonts w:hint="eastAsia" w:ascii="黑体" w:hAnsi="黑体" w:eastAsia="黑体"/>
          <w:color w:val="auto"/>
          <w:sz w:val="32"/>
          <w:szCs w:val="32"/>
          <w:lang w:eastAsia="zh-CN"/>
        </w:rPr>
        <w:t>白沙黎族自治县爱国卫生运动服务中心</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年财政拨款收支预算情况的总体说明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color w:val="auto"/>
          <w:sz w:val="32"/>
          <w:szCs w:val="32"/>
        </w:rPr>
      </w:pPr>
      <w:r>
        <w:rPr>
          <w:rFonts w:hint="eastAsia" w:ascii="仿宋_GB2312" w:hAnsi="黑体" w:eastAsia="仿宋_GB2312" w:cs="仿宋_GB2312"/>
          <w:color w:val="auto"/>
          <w:sz w:val="32"/>
          <w:szCs w:val="32"/>
          <w:lang w:eastAsia="zh-CN"/>
        </w:rPr>
        <w:t>白沙黎族自治县爱国卫生运动服务中心</w:t>
      </w:r>
      <w:r>
        <w:rPr>
          <w:rFonts w:hint="eastAsia" w:ascii="仿宋_GB2312" w:hAnsi="仿宋_GB2312" w:eastAsia="仿宋_GB2312" w:cs="仿宋_GB2312"/>
          <w:color w:val="auto"/>
          <w:kern w:val="2"/>
          <w:sz w:val="32"/>
          <w:szCs w:val="32"/>
          <w:lang w:val="en-US" w:eastAsia="zh-CN" w:bidi="ar-SA"/>
        </w:rPr>
        <w:t>2024年财政拨款收支总预算136.33万元。其中，收入总计136.33万元，包括一般公共预算本年收入136.33万元、上年结转0万元，政府性基金预算本年收入0万元、上年结转0万元；支出总计136.33万元，包括：社会保障和就业支出6.79万元、卫生健康支出125.63万元、住房保障支出3.91万元，结转下年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olor w:val="auto"/>
          <w:sz w:val="32"/>
          <w:szCs w:val="32"/>
        </w:rPr>
      </w:pPr>
      <w:r>
        <w:rPr>
          <w:rFonts w:hint="eastAsia" w:ascii="黑体" w:hAnsi="黑体" w:eastAsia="黑体"/>
          <w:color w:val="auto"/>
          <w:sz w:val="32"/>
          <w:szCs w:val="32"/>
        </w:rPr>
        <w:t>二、关于</w:t>
      </w:r>
      <w:r>
        <w:rPr>
          <w:rFonts w:hint="eastAsia" w:ascii="黑体" w:hAnsi="黑体" w:eastAsia="黑体"/>
          <w:color w:val="auto"/>
          <w:sz w:val="32"/>
          <w:szCs w:val="32"/>
          <w:lang w:eastAsia="zh-CN"/>
        </w:rPr>
        <w:t>白沙黎族自治县爱国卫生运动服务中心</w:t>
      </w:r>
      <w:r>
        <w:rPr>
          <w:rFonts w:hint="eastAsia" w:ascii="黑体" w:hAnsi="黑体" w:eastAsia="黑体"/>
          <w:color w:val="auto"/>
          <w:sz w:val="32"/>
          <w:szCs w:val="32"/>
          <w:lang w:val="en-US" w:eastAsia="zh-CN"/>
        </w:rPr>
        <w:t>2024</w:t>
      </w:r>
      <w:r>
        <w:rPr>
          <w:rFonts w:hint="eastAsia" w:ascii="黑体" w:hAnsi="黑体" w:eastAsia="黑体"/>
          <w:color w:val="auto"/>
          <w:sz w:val="32"/>
          <w:szCs w:val="32"/>
          <w:lang w:eastAsia="zh-CN"/>
        </w:rPr>
        <w:t>年</w:t>
      </w:r>
      <w:r>
        <w:rPr>
          <w:rFonts w:hint="eastAsia" w:ascii="黑体" w:hAnsi="黑体" w:eastAsia="黑体"/>
          <w:color w:val="auto"/>
          <w:sz w:val="32"/>
          <w:szCs w:val="32"/>
        </w:rPr>
        <w:t>一般公共预算当年拨款情况说明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楷体" w:hAnsi="楷体" w:eastAsia="楷体"/>
          <w:color w:val="auto"/>
          <w:sz w:val="32"/>
          <w:szCs w:val="32"/>
        </w:rPr>
      </w:pPr>
      <w:r>
        <w:rPr>
          <w:rFonts w:hint="eastAsia" w:ascii="楷体" w:hAnsi="楷体" w:eastAsia="楷体"/>
          <w:color w:val="auto"/>
          <w:sz w:val="32"/>
          <w:szCs w:val="32"/>
        </w:rPr>
        <w:t>（一）一般公共预算当年规模变化情况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黑体" w:eastAsia="仿宋_GB2312" w:cs="仿宋_GB2312"/>
          <w:color w:val="auto"/>
          <w:sz w:val="32"/>
          <w:szCs w:val="32"/>
          <w:lang w:eastAsia="zh-CN"/>
        </w:rPr>
        <w:t>白沙黎族自治县爱国卫生运动服务中心</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s="仿宋_GB2312"/>
          <w:color w:val="auto"/>
          <w:sz w:val="32"/>
          <w:szCs w:val="32"/>
          <w:lang w:eastAsia="zh-CN"/>
        </w:rPr>
        <w:t>年</w:t>
      </w:r>
      <w:r>
        <w:rPr>
          <w:rFonts w:hint="eastAsia" w:ascii="仿宋_GB2312" w:hAnsi="黑体" w:eastAsia="仿宋_GB2312" w:cs="仿宋_GB2312"/>
          <w:color w:val="auto"/>
          <w:sz w:val="32"/>
          <w:szCs w:val="32"/>
          <w:lang w:val="en-US" w:eastAsia="zh-CN"/>
        </w:rPr>
        <w:t>一般</w:t>
      </w:r>
      <w:r>
        <w:rPr>
          <w:rFonts w:hint="eastAsia" w:ascii="仿宋_GB2312" w:hAnsi="仿宋_GB2312" w:eastAsia="仿宋_GB2312" w:cs="仿宋_GB2312"/>
          <w:color w:val="auto"/>
          <w:kern w:val="2"/>
          <w:sz w:val="32"/>
          <w:szCs w:val="32"/>
          <w:lang w:val="en-US" w:eastAsia="zh-CN" w:bidi="ar-SA"/>
        </w:rPr>
        <w:t>公共预算当年拨款136.33万元，比上年预算数增加29.15万元，主要是人员增加卫生健康支出有所增长。</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olor w:val="auto"/>
          <w:sz w:val="32"/>
          <w:szCs w:val="32"/>
        </w:rPr>
      </w:pPr>
      <w:r>
        <w:rPr>
          <w:rFonts w:hint="eastAsia" w:ascii="楷体" w:hAnsi="楷体" w:eastAsia="楷体"/>
          <w:color w:val="auto"/>
          <w:sz w:val="32"/>
          <w:szCs w:val="32"/>
        </w:rPr>
        <w:t>一般公共预算当年拨款结构情况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社会保障和就业支出6.79万元，占4.98%；卫生健康支出125.63万元，占92.15%；住房保障支出3.91万元，占2.87%。</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olor w:val="auto"/>
          <w:sz w:val="32"/>
          <w:szCs w:val="32"/>
        </w:rPr>
      </w:pPr>
      <w:r>
        <w:rPr>
          <w:rFonts w:hint="eastAsia" w:ascii="楷体" w:hAnsi="楷体" w:eastAsia="楷体"/>
          <w:color w:val="auto"/>
          <w:sz w:val="32"/>
          <w:szCs w:val="32"/>
        </w:rPr>
        <w:t>一般公共预算当年拨款具体使用情况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1.社会保障和就业（类）行政事业单位养老支出（款）、机关事业单位基本养老保险缴费支出(项)2024年预算数为4.53万元。比上年增加2.62万元，主要是人员有所增加。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2.社会保障和就业（类）行政事业单位养老支出（款）、机关事业单位职业年金缴费支出(项)2024年预算数为2.26万元。比上年增加1.31万元，主要是人员有所增加。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3.卫生健康支出（类）公共卫生（款）其他公共卫生服务（项）2024年预算数为119.22万元，比上年减少43.21万元，主要是人员经费和项目支出有所增长。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4.卫生健康支出（类）行政事业单位医疗（款）事业单位医疗（项）2024年预算数为2.16万元，比上年增加1.15万元，主要是人员有所增加。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5.卫生健康支出（类）行政事业单位医疗（款）公务员医疗补助（项）2024年预算数为4.25万元，比上年增加2.17万元，主要是人员有所增加。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6.住房保障支出（类）住房改革支出（款）住房公积金（项）2024年预算数为3.91万元，比上年预算数增加2.48万元，主要是人员有所增加。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rPr>
      </w:pPr>
      <w:r>
        <w:rPr>
          <w:rFonts w:hint="eastAsia" w:ascii="黑体" w:hAnsi="黑体" w:eastAsia="黑体" w:cs="黑体"/>
          <w:color w:val="auto"/>
          <w:kern w:val="2"/>
          <w:sz w:val="32"/>
          <w:szCs w:val="32"/>
          <w:lang w:val="en-US" w:eastAsia="zh-CN" w:bidi="ar-SA"/>
        </w:rPr>
        <w:t>三、</w:t>
      </w:r>
      <w:r>
        <w:rPr>
          <w:rFonts w:hint="eastAsia" w:ascii="黑体" w:hAnsi="黑体" w:eastAsia="黑体"/>
          <w:color w:val="auto"/>
          <w:sz w:val="32"/>
          <w:szCs w:val="32"/>
        </w:rPr>
        <w:t>关于</w:t>
      </w:r>
      <w:r>
        <w:rPr>
          <w:rFonts w:hint="eastAsia" w:ascii="黑体" w:hAnsi="黑体" w:eastAsia="黑体"/>
          <w:color w:val="auto"/>
          <w:sz w:val="32"/>
          <w:szCs w:val="32"/>
          <w:lang w:eastAsia="zh-CN"/>
        </w:rPr>
        <w:t>白沙黎族自治县爱国卫生运动服务中心</w:t>
      </w:r>
      <w:r>
        <w:rPr>
          <w:rFonts w:hint="eastAsia" w:ascii="黑体" w:hAnsi="黑体" w:eastAsia="黑体"/>
          <w:color w:val="auto"/>
          <w:sz w:val="32"/>
          <w:szCs w:val="32"/>
          <w:lang w:val="en-US" w:eastAsia="zh-CN"/>
        </w:rPr>
        <w:t>2024</w:t>
      </w:r>
      <w:r>
        <w:rPr>
          <w:rFonts w:hint="eastAsia" w:ascii="黑体" w:hAnsi="黑体" w:eastAsia="黑体"/>
          <w:color w:val="auto"/>
          <w:sz w:val="32"/>
          <w:szCs w:val="32"/>
          <w:lang w:eastAsia="zh-CN"/>
        </w:rPr>
        <w:t>年</w:t>
      </w:r>
      <w:r>
        <w:rPr>
          <w:rFonts w:hint="eastAsia" w:ascii="黑体" w:hAnsi="黑体" w:eastAsia="黑体"/>
          <w:color w:val="auto"/>
          <w:sz w:val="32"/>
          <w:szCs w:val="32"/>
        </w:rPr>
        <w:t>一般公共预算基本支出情况说明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黑体" w:eastAsia="仿宋_GB2312" w:cs="仿宋_GB2312"/>
          <w:color w:val="auto"/>
          <w:sz w:val="32"/>
          <w:szCs w:val="32"/>
          <w:lang w:eastAsia="zh-CN"/>
        </w:rPr>
        <w:t>白沙黎族自治县爱国卫生运动服务中心</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s="仿宋_GB2312"/>
          <w:color w:val="auto"/>
          <w:sz w:val="32"/>
          <w:szCs w:val="32"/>
          <w:lang w:eastAsia="zh-CN"/>
        </w:rPr>
        <w:t>年</w:t>
      </w:r>
      <w:r>
        <w:rPr>
          <w:rFonts w:hint="eastAsia" w:ascii="仿宋_GB2312" w:hAnsi="黑体" w:eastAsia="仿宋_GB2312" w:cs="仿宋_GB2312"/>
          <w:color w:val="auto"/>
          <w:sz w:val="32"/>
          <w:szCs w:val="32"/>
          <w:lang w:val="en-US" w:eastAsia="zh-CN"/>
        </w:rPr>
        <w:t>一</w:t>
      </w:r>
      <w:r>
        <w:rPr>
          <w:rFonts w:hint="eastAsia" w:ascii="仿宋_GB2312" w:hAnsi="仿宋_GB2312" w:eastAsia="仿宋_GB2312" w:cs="仿宋_GB2312"/>
          <w:color w:val="auto"/>
          <w:kern w:val="2"/>
          <w:sz w:val="32"/>
          <w:szCs w:val="32"/>
          <w:lang w:val="en-US" w:eastAsia="zh-CN" w:bidi="ar-SA"/>
        </w:rPr>
        <w:t>般公共预算基本支出为54.73万元，其中：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人员经费48.74万元，主要包括：基本工资、津贴补贴、奖金、机关事业单位基本养老保险缴费、职业年金缴费、职工基本医疗保险缴费、公务员医疗补助缴费、其他社会保障缴费、住房公积金、医疗费、其他交通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公用经费5.99万元，主要包括：办公费、邮电费、培训费、公务接待费、劳务费、工会经费、公务用车运行维护费、其他商品和服务支出。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color w:val="auto"/>
          <w:sz w:val="32"/>
          <w:shd w:val="clear" w:color="auto" w:fill="FFFFFF"/>
        </w:rPr>
      </w:pPr>
      <w:r>
        <w:rPr>
          <w:rFonts w:hint="eastAsia" w:ascii="黑体" w:hAnsi="黑体" w:eastAsia="黑体" w:cs="黑体"/>
          <w:color w:val="auto"/>
          <w:kern w:val="2"/>
          <w:sz w:val="32"/>
          <w:szCs w:val="32"/>
          <w:lang w:val="en-US" w:eastAsia="zh-CN" w:bidi="ar-SA"/>
        </w:rPr>
        <w:t>四、</w:t>
      </w:r>
      <w:r>
        <w:rPr>
          <w:rFonts w:hint="eastAsia" w:ascii="黑体" w:hAnsi="黑体" w:eastAsia="黑体" w:cs="Times New Roman"/>
          <w:color w:val="auto"/>
          <w:sz w:val="32"/>
          <w:shd w:val="clear" w:color="auto" w:fill="FFFFFF"/>
          <w:lang w:eastAsia="zh-CN"/>
        </w:rPr>
        <w:t>白沙黎族自治县爱国卫生运动服务中心</w:t>
      </w:r>
      <w:r>
        <w:rPr>
          <w:rFonts w:hint="eastAsia" w:ascii="黑体" w:hAnsi="黑体" w:eastAsia="黑体" w:cs="Times New Roman"/>
          <w:color w:val="auto"/>
          <w:sz w:val="32"/>
          <w:shd w:val="clear" w:color="auto" w:fill="FFFFFF"/>
          <w:lang w:val="en-US" w:eastAsia="zh-CN"/>
        </w:rPr>
        <w:t>2024</w:t>
      </w:r>
      <w:r>
        <w:rPr>
          <w:rFonts w:hint="eastAsia" w:ascii="黑体" w:hAnsi="黑体" w:eastAsia="黑体" w:cs="Times New Roman"/>
          <w:color w:val="auto"/>
          <w:sz w:val="32"/>
          <w:shd w:val="clear" w:color="auto" w:fill="FFFFFF"/>
          <w:lang w:eastAsia="zh-CN"/>
        </w:rPr>
        <w:t>年</w:t>
      </w:r>
      <w:r>
        <w:rPr>
          <w:rFonts w:ascii="黑体" w:hAnsi="黑体" w:eastAsia="黑体" w:cs="Times New Roman"/>
          <w:color w:val="auto"/>
          <w:sz w:val="32"/>
          <w:shd w:val="clear" w:color="auto" w:fill="FFFFFF"/>
        </w:rPr>
        <w:t>“三公”经费预算情况</w:t>
      </w:r>
      <w:r>
        <w:rPr>
          <w:rFonts w:hint="eastAsia" w:ascii="黑体" w:hAnsi="黑体" w:eastAsia="黑体" w:cs="Times New Roman"/>
          <w:color w:val="auto"/>
          <w:sz w:val="32"/>
          <w:shd w:val="clear" w:color="auto" w:fill="FFFFFF"/>
        </w:rPr>
        <w:t>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w:t>
      </w:r>
      <w:r>
        <w:rPr>
          <w:rFonts w:hint="eastAsia" w:ascii="仿宋_GB2312" w:hAnsi="黑体" w:eastAsia="仿宋_GB2312" w:cs="仿宋_GB2312"/>
          <w:color w:val="auto"/>
          <w:sz w:val="32"/>
          <w:szCs w:val="32"/>
          <w:lang w:eastAsia="zh-CN"/>
        </w:rPr>
        <w:t>白沙黎族自治县爱国卫生运动服务中心</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s="仿宋_GB2312"/>
          <w:color w:val="auto"/>
          <w:sz w:val="32"/>
          <w:szCs w:val="32"/>
          <w:lang w:eastAsia="zh-CN"/>
        </w:rPr>
        <w:t>年</w:t>
      </w:r>
      <w:r>
        <w:rPr>
          <w:rFonts w:hint="eastAsia" w:ascii="仿宋_GB2312" w:hAnsi="黑体" w:eastAsia="仿宋_GB2312" w:cs="仿宋_GB2312"/>
          <w:color w:val="auto"/>
          <w:sz w:val="32"/>
          <w:szCs w:val="32"/>
          <w:lang w:val="en-US" w:eastAsia="zh-CN"/>
        </w:rPr>
        <w:t>一</w:t>
      </w:r>
      <w:r>
        <w:rPr>
          <w:rFonts w:hint="eastAsia" w:ascii="仿宋_GB2312" w:hAnsi="仿宋_GB2312" w:eastAsia="仿宋_GB2312" w:cs="仿宋_GB2312"/>
          <w:color w:val="auto"/>
          <w:kern w:val="2"/>
          <w:sz w:val="32"/>
          <w:szCs w:val="32"/>
          <w:lang w:val="en-US" w:eastAsia="zh-CN" w:bidi="ar-SA"/>
        </w:rPr>
        <w:t>般公共预算“三公”经费预算数为2.82万元，其中：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因公出国（境）经费0万元，2024年没有安排因公出国（境），所以没有出国（境）经费的预算。公务用车购置及运行费2.3万元（其中，公务用车购置费0万元，公务用车运行费2.3万元），与上年预算持平，公务车保有量1辆。公务接待费0.52万元，较上年预算持平。2024年本部门公务接待费计划主要用于接待上级部门检查工作等，计划国内公务接待8批次共48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（二）</w:t>
      </w:r>
      <w:r>
        <w:rPr>
          <w:rFonts w:hint="eastAsia" w:ascii="仿宋_GB2312" w:hAnsi="黑体" w:eastAsia="仿宋_GB2312" w:cs="仿宋_GB2312"/>
          <w:color w:val="auto"/>
          <w:sz w:val="32"/>
          <w:szCs w:val="32"/>
          <w:lang w:eastAsia="zh-CN"/>
        </w:rPr>
        <w:t>白沙黎族自治县爱国卫生运动服务中心</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s="仿宋_GB2312"/>
          <w:color w:val="auto"/>
          <w:sz w:val="32"/>
          <w:szCs w:val="32"/>
          <w:lang w:eastAsia="zh-CN"/>
        </w:rPr>
        <w:t>年</w:t>
      </w:r>
      <w:r>
        <w:rPr>
          <w:rFonts w:hint="eastAsia" w:ascii="仿宋_GB2312" w:hAnsi="黑体" w:eastAsia="仿宋_GB2312" w:cs="仿宋_GB2312"/>
          <w:color w:val="auto"/>
          <w:sz w:val="32"/>
          <w:szCs w:val="32"/>
          <w:lang w:val="en-US" w:eastAsia="zh-CN"/>
        </w:rPr>
        <w:t>政府性基金预算“三公”经费预算数为0万元，其中：</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因公出国（境）经费0万元。公务用车购置及运行费0万元。公务接待费0万元。</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关于</w:t>
      </w:r>
      <w:r>
        <w:rPr>
          <w:rFonts w:hint="eastAsia" w:ascii="黑体" w:hAnsi="黑体" w:eastAsia="黑体" w:cs="Times New Roman"/>
          <w:color w:val="auto"/>
          <w:sz w:val="32"/>
          <w:shd w:val="clear" w:color="auto" w:fill="FFFFFF"/>
          <w:lang w:eastAsia="zh-CN"/>
        </w:rPr>
        <w:t>白沙黎族自治县爱国卫生运动服务中心</w:t>
      </w:r>
      <w:r>
        <w:rPr>
          <w:rFonts w:hint="eastAsia" w:ascii="黑体" w:hAnsi="黑体" w:eastAsia="黑体" w:cs="Times New Roman"/>
          <w:color w:val="auto"/>
          <w:sz w:val="32"/>
          <w:shd w:val="clear" w:color="auto" w:fill="FFFFFF"/>
          <w:lang w:val="en-US" w:eastAsia="zh-CN"/>
        </w:rPr>
        <w:t>2024</w:t>
      </w:r>
      <w:r>
        <w:rPr>
          <w:rFonts w:hint="eastAsia" w:ascii="黑体" w:hAnsi="黑体" w:eastAsia="黑体" w:cs="Times New Roman"/>
          <w:color w:val="auto"/>
          <w:sz w:val="32"/>
          <w:shd w:val="clear" w:color="auto" w:fill="FFFFFF"/>
          <w:lang w:eastAsia="zh-CN"/>
        </w:rPr>
        <w:t>年</w:t>
      </w:r>
      <w:r>
        <w:rPr>
          <w:rFonts w:hint="eastAsia" w:ascii="黑体" w:hAnsi="黑体" w:eastAsia="黑体" w:cs="Times New Roman"/>
          <w:color w:val="auto"/>
          <w:sz w:val="32"/>
          <w:shd w:val="clear" w:color="auto" w:fill="FFFFFF"/>
        </w:rPr>
        <w:t>政府性基金预算当年拨款情况说明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color w:val="auto"/>
          <w:sz w:val="32"/>
          <w:shd w:val="clear" w:color="auto" w:fill="FFFFFF"/>
        </w:rPr>
      </w:pPr>
      <w:r>
        <w:rPr>
          <w:rFonts w:hint="eastAsia" w:ascii="仿宋_GB2312" w:hAnsi="黑体" w:eastAsia="仿宋_GB2312" w:cs="仿宋_GB2312"/>
          <w:color w:val="auto"/>
          <w:sz w:val="32"/>
          <w:szCs w:val="32"/>
          <w:lang w:eastAsia="zh-CN"/>
        </w:rPr>
        <w:t>白沙黎族自治县爱国卫生运动服务中心</w:t>
      </w:r>
      <w:r>
        <w:rPr>
          <w:rFonts w:hint="eastAsia" w:ascii="仿宋_GB2312" w:hAnsi="仿宋_GB2312" w:eastAsia="仿宋_GB2312" w:cs="仿宋_GB2312"/>
          <w:color w:val="auto"/>
          <w:kern w:val="2"/>
          <w:sz w:val="32"/>
          <w:szCs w:val="32"/>
          <w:lang w:val="en-US" w:eastAsia="zh-CN" w:bidi="ar-SA"/>
        </w:rPr>
        <w:t>本单位无政府性基金预算当年拨款情况。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黑体" w:hAnsi="黑体" w:eastAsia="黑体" w:cs="Times New Roman"/>
          <w:color w:val="auto"/>
          <w:sz w:val="32"/>
          <w:shd w:val="clear" w:color="auto" w:fill="FFFFFF"/>
          <w:lang w:eastAsia="zh-CN"/>
        </w:rPr>
        <w:t>白沙黎族自治县爱国卫生运动服务中心</w:t>
      </w:r>
      <w:r>
        <w:rPr>
          <w:rFonts w:hint="eastAsia" w:ascii="黑体" w:hAnsi="黑体" w:eastAsia="黑体" w:cs="Times New Roman"/>
          <w:color w:val="auto"/>
          <w:sz w:val="32"/>
          <w:shd w:val="clear" w:color="auto" w:fill="FFFFFF"/>
          <w:lang w:val="en-US" w:eastAsia="zh-CN"/>
        </w:rPr>
        <w:t>2024</w:t>
      </w:r>
      <w:r>
        <w:rPr>
          <w:rFonts w:hint="eastAsia" w:ascii="黑体" w:hAnsi="黑体" w:eastAsia="黑体" w:cs="Times New Roman"/>
          <w:color w:val="auto"/>
          <w:sz w:val="32"/>
          <w:shd w:val="clear" w:color="auto" w:fill="FFFFFF"/>
          <w:lang w:eastAsia="zh-CN"/>
        </w:rPr>
        <w:t>年</w:t>
      </w:r>
      <w:r>
        <w:rPr>
          <w:rFonts w:hint="eastAsia" w:ascii="黑体" w:hAnsi="黑体" w:eastAsia="黑体" w:cs="Times New Roman"/>
          <w:color w:val="auto"/>
          <w:sz w:val="32"/>
          <w:shd w:val="clear" w:color="auto" w:fill="FFFFFF"/>
        </w:rPr>
        <w:t>收支预算情况的总体说明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按</w:t>
      </w:r>
      <w:r>
        <w:rPr>
          <w:rFonts w:hint="eastAsia" w:ascii="仿宋_GB2312" w:hAnsi="仿宋_GB2312" w:eastAsia="仿宋_GB2312" w:cs="仿宋_GB2312"/>
          <w:color w:val="auto"/>
          <w:kern w:val="2"/>
          <w:sz w:val="32"/>
          <w:szCs w:val="32"/>
          <w:lang w:val="en-US" w:eastAsia="zh-CN" w:bidi="ar-SA"/>
        </w:rPr>
        <w:t>照综合预算原则，</w:t>
      </w:r>
      <w:r>
        <w:rPr>
          <w:rFonts w:hint="eastAsia" w:ascii="仿宋_GB2312" w:hAnsi="黑体" w:eastAsia="仿宋_GB2312" w:cs="仿宋_GB2312"/>
          <w:color w:val="auto"/>
          <w:sz w:val="32"/>
          <w:szCs w:val="32"/>
          <w:lang w:eastAsia="zh-CN"/>
        </w:rPr>
        <w:t>白沙黎族自治县爱国卫生运动服务中心</w:t>
      </w:r>
      <w:r>
        <w:rPr>
          <w:rFonts w:hint="eastAsia" w:ascii="仿宋_GB2312" w:hAnsi="仿宋_GB2312" w:eastAsia="仿宋_GB2312" w:cs="仿宋_GB2312"/>
          <w:color w:val="auto"/>
          <w:kern w:val="2"/>
          <w:sz w:val="32"/>
          <w:szCs w:val="32"/>
          <w:lang w:val="en-US" w:eastAsia="zh-CN" w:bidi="ar-SA"/>
        </w:rPr>
        <w:t>所有收入和支出均纳入部门预算管理。收入包括：一般公共预算收入、政府性基金收入、其他财政资金收入、事业收入；支出包括：一般公共服务支出、外交支出、国防支出、公共安全支出、教育支出、社会保障和就业支出、卫生健康支出、住房保障支出。</w:t>
      </w:r>
      <w:r>
        <w:rPr>
          <w:rFonts w:hint="eastAsia" w:ascii="仿宋_GB2312" w:hAnsi="黑体" w:eastAsia="仿宋_GB2312" w:cs="仿宋_GB2312"/>
          <w:color w:val="auto"/>
          <w:sz w:val="32"/>
          <w:szCs w:val="32"/>
          <w:lang w:eastAsia="zh-CN"/>
        </w:rPr>
        <w:t>白沙黎族自治县爱国卫生运动服务中心</w:t>
      </w:r>
      <w:r>
        <w:rPr>
          <w:rFonts w:hint="eastAsia" w:ascii="仿宋_GB2312" w:hAnsi="仿宋_GB2312" w:eastAsia="仿宋_GB2312" w:cs="仿宋_GB2312"/>
          <w:color w:val="auto"/>
          <w:kern w:val="2"/>
          <w:sz w:val="32"/>
          <w:szCs w:val="32"/>
          <w:lang w:val="en-US" w:eastAsia="zh-CN" w:bidi="ar-SA"/>
        </w:rPr>
        <w:t>2024年收支总预算136.33万元。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hAnsi="黑体" w:eastAsia="黑体" w:cs="Times New Roman"/>
          <w:color w:val="auto"/>
          <w:sz w:val="32"/>
          <w:shd w:val="clear" w:color="auto" w:fill="FFFFFF"/>
          <w:lang w:eastAsia="zh-CN"/>
        </w:rPr>
        <w:t>白沙黎族自治县爱国卫生运动服务中心</w:t>
      </w:r>
      <w:r>
        <w:rPr>
          <w:rFonts w:hint="eastAsia" w:ascii="黑体" w:hAnsi="黑体" w:eastAsia="黑体" w:cs="Times New Roman"/>
          <w:color w:val="auto"/>
          <w:sz w:val="32"/>
          <w:shd w:val="clear" w:color="auto" w:fill="FFFFFF"/>
          <w:lang w:val="en-US" w:eastAsia="zh-CN"/>
        </w:rPr>
        <w:t>2024</w:t>
      </w:r>
      <w:r>
        <w:rPr>
          <w:rFonts w:hint="eastAsia" w:ascii="黑体" w:hAnsi="黑体" w:eastAsia="黑体" w:cs="Times New Roman"/>
          <w:color w:val="auto"/>
          <w:sz w:val="32"/>
          <w:shd w:val="clear" w:color="auto" w:fill="FFFFFF"/>
          <w:lang w:eastAsia="zh-CN"/>
        </w:rPr>
        <w:t>年</w:t>
      </w:r>
      <w:r>
        <w:rPr>
          <w:rFonts w:hint="eastAsia" w:ascii="黑体" w:hAnsi="黑体" w:eastAsia="黑体" w:cs="Times New Roman"/>
          <w:color w:val="auto"/>
          <w:sz w:val="32"/>
          <w:shd w:val="clear" w:color="auto" w:fill="FFFFFF"/>
        </w:rPr>
        <w:t>收入预算情况说明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黑体" w:eastAsia="仿宋_GB2312" w:cs="仿宋_GB2312"/>
          <w:color w:val="auto"/>
          <w:sz w:val="32"/>
          <w:szCs w:val="32"/>
          <w:lang w:eastAsia="zh-CN"/>
        </w:rPr>
        <w:t>白沙黎族自治县爱国卫生运动服务中心</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s="仿宋_GB2312"/>
          <w:color w:val="auto"/>
          <w:sz w:val="32"/>
          <w:szCs w:val="32"/>
          <w:lang w:eastAsia="zh-CN"/>
        </w:rPr>
        <w:t>年</w:t>
      </w:r>
      <w:r>
        <w:rPr>
          <w:rFonts w:hint="eastAsia" w:ascii="仿宋_GB2312" w:hAnsi="黑体" w:eastAsia="仿宋_GB2312" w:cs="仿宋_GB2312"/>
          <w:color w:val="auto"/>
          <w:sz w:val="32"/>
          <w:szCs w:val="32"/>
          <w:lang w:val="en-US" w:eastAsia="zh-CN"/>
        </w:rPr>
        <w:t>收</w:t>
      </w:r>
      <w:r>
        <w:rPr>
          <w:rFonts w:hint="eastAsia" w:ascii="仿宋_GB2312" w:hAnsi="仿宋_GB2312" w:eastAsia="仿宋_GB2312" w:cs="仿宋_GB2312"/>
          <w:color w:val="auto"/>
          <w:kern w:val="2"/>
          <w:sz w:val="32"/>
          <w:szCs w:val="32"/>
          <w:lang w:val="en-US" w:eastAsia="zh-CN" w:bidi="ar-SA"/>
        </w:rPr>
        <w:t>入预算136.33万元，其中：上年结转0万元，经费拨款收入136.33万元，占100%；政府性基金收入0万元；专项收入0万元。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hAnsi="黑体" w:eastAsia="黑体" w:cs="Times New Roman"/>
          <w:color w:val="auto"/>
          <w:sz w:val="32"/>
          <w:shd w:val="clear" w:color="auto" w:fill="FFFFFF"/>
          <w:lang w:eastAsia="zh-CN"/>
        </w:rPr>
        <w:t>白沙黎族自治县爱国卫生运动服务中心</w:t>
      </w:r>
      <w:r>
        <w:rPr>
          <w:rFonts w:hint="eastAsia" w:ascii="黑体" w:hAnsi="黑体" w:eastAsia="黑体" w:cs="Times New Roman"/>
          <w:color w:val="auto"/>
          <w:sz w:val="32"/>
          <w:shd w:val="clear" w:color="auto" w:fill="FFFFFF"/>
          <w:lang w:val="en-US" w:eastAsia="zh-CN"/>
        </w:rPr>
        <w:t>2024</w:t>
      </w:r>
      <w:r>
        <w:rPr>
          <w:rFonts w:hint="eastAsia" w:ascii="黑体" w:hAnsi="黑体" w:eastAsia="黑体" w:cs="Times New Roman"/>
          <w:color w:val="auto"/>
          <w:sz w:val="32"/>
          <w:shd w:val="clear" w:color="auto" w:fill="FFFFFF"/>
          <w:lang w:eastAsia="zh-CN"/>
        </w:rPr>
        <w:t>年</w:t>
      </w:r>
      <w:r>
        <w:rPr>
          <w:rFonts w:hint="eastAsia" w:ascii="黑体" w:hAnsi="黑体" w:eastAsia="黑体" w:cs="Times New Roman"/>
          <w:color w:val="auto"/>
          <w:sz w:val="32"/>
          <w:shd w:val="clear" w:color="auto" w:fill="FFFFFF"/>
        </w:rPr>
        <w:t>支出预算情况说明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color w:val="auto"/>
          <w:sz w:val="32"/>
          <w:szCs w:val="32"/>
        </w:rPr>
      </w:pPr>
      <w:r>
        <w:rPr>
          <w:rFonts w:hint="eastAsia" w:ascii="仿宋_GB2312" w:hAnsi="黑体" w:eastAsia="仿宋_GB2312" w:cs="仿宋_GB2312"/>
          <w:color w:val="auto"/>
          <w:sz w:val="32"/>
          <w:szCs w:val="32"/>
          <w:lang w:eastAsia="zh-CN"/>
        </w:rPr>
        <w:t>白沙黎族自治县爱国卫生运动服务中心</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s="仿宋_GB2312"/>
          <w:color w:val="auto"/>
          <w:sz w:val="32"/>
          <w:szCs w:val="32"/>
          <w:lang w:eastAsia="zh-CN"/>
        </w:rPr>
        <w:t>年</w:t>
      </w:r>
      <w:r>
        <w:rPr>
          <w:rFonts w:hint="eastAsia" w:ascii="仿宋_GB2312" w:hAnsi="黑体" w:eastAsia="仿宋_GB2312" w:cs="仿宋_GB2312"/>
          <w:color w:val="auto"/>
          <w:sz w:val="32"/>
          <w:szCs w:val="32"/>
          <w:lang w:val="en-US" w:eastAsia="zh-CN"/>
        </w:rPr>
        <w:t>支</w:t>
      </w:r>
      <w:r>
        <w:rPr>
          <w:rFonts w:hint="eastAsia" w:ascii="仿宋_GB2312" w:hAnsi="仿宋_GB2312" w:eastAsia="仿宋_GB2312" w:cs="仿宋_GB2312"/>
          <w:color w:val="auto"/>
          <w:kern w:val="2"/>
          <w:sz w:val="32"/>
          <w:szCs w:val="32"/>
          <w:lang w:val="en-US" w:eastAsia="zh-CN" w:bidi="ar-SA"/>
        </w:rPr>
        <w:t>出预算136.33万元，其中：基本支出54.73万元，占40.15%；项目支出81.6万元，占59.85%。比上年预算数增长29.15万元，主要是人员增加卫生健康支出有所增长。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olor w:val="auto"/>
          <w:sz w:val="32"/>
          <w:szCs w:val="32"/>
          <w:lang w:val="en-US" w:eastAsia="zh-CN"/>
        </w:rPr>
      </w:pPr>
      <w:r>
        <w:rPr>
          <w:rFonts w:hint="eastAsia" w:ascii="楷体" w:hAnsi="楷体" w:eastAsia="楷体"/>
          <w:color w:val="auto"/>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黑体" w:eastAsia="仿宋_GB2312" w:cs="仿宋_GB2312"/>
          <w:color w:val="auto"/>
          <w:sz w:val="32"/>
          <w:szCs w:val="32"/>
          <w:lang w:eastAsia="zh-CN"/>
        </w:rPr>
        <w:t>白沙黎族自治县爱国卫生运动服务中心</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s="仿宋_GB2312"/>
          <w:color w:val="auto"/>
          <w:sz w:val="32"/>
          <w:szCs w:val="32"/>
          <w:lang w:eastAsia="zh-CN"/>
        </w:rPr>
        <w:t>年</w:t>
      </w:r>
      <w:r>
        <w:rPr>
          <w:rFonts w:hint="eastAsia" w:ascii="仿宋_GB2312" w:hAnsi="仿宋_GB2312" w:eastAsia="仿宋_GB2312" w:cs="仿宋_GB2312"/>
          <w:color w:val="auto"/>
          <w:kern w:val="2"/>
          <w:sz w:val="32"/>
          <w:szCs w:val="32"/>
          <w:lang w:val="en-US" w:eastAsia="zh-CN" w:bidi="ar-SA"/>
        </w:rPr>
        <w:t>机关运行经费预算5.99万元。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olor w:val="auto"/>
          <w:sz w:val="32"/>
          <w:szCs w:val="32"/>
          <w:lang w:val="en-US" w:eastAsia="zh-CN"/>
        </w:rPr>
      </w:pPr>
      <w:r>
        <w:rPr>
          <w:rFonts w:hint="eastAsia" w:ascii="楷体" w:hAnsi="楷体" w:eastAsia="楷体"/>
          <w:color w:val="auto"/>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黑体" w:eastAsia="仿宋_GB2312" w:cs="仿宋_GB2312"/>
          <w:color w:val="auto"/>
          <w:sz w:val="32"/>
          <w:szCs w:val="32"/>
          <w:lang w:eastAsia="zh-CN"/>
        </w:rPr>
        <w:t>白沙黎族自治县爱国卫生运动服务中心</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s="仿宋_GB2312"/>
          <w:color w:val="auto"/>
          <w:sz w:val="32"/>
          <w:szCs w:val="32"/>
          <w:lang w:eastAsia="zh-CN"/>
        </w:rPr>
        <w:t>年</w:t>
      </w:r>
      <w:r>
        <w:rPr>
          <w:rFonts w:hint="eastAsia" w:ascii="仿宋_GB2312" w:hAnsi="黑体" w:eastAsia="仿宋_GB2312" w:cs="仿宋_GB2312"/>
          <w:color w:val="auto"/>
          <w:sz w:val="32"/>
          <w:szCs w:val="32"/>
          <w:lang w:val="en-US" w:eastAsia="zh-CN"/>
        </w:rPr>
        <w:t>政府</w:t>
      </w:r>
      <w:r>
        <w:rPr>
          <w:rFonts w:hint="eastAsia" w:ascii="仿宋_GB2312" w:hAnsi="仿宋_GB2312" w:eastAsia="仿宋_GB2312" w:cs="仿宋_GB2312"/>
          <w:color w:val="auto"/>
          <w:kern w:val="2"/>
          <w:sz w:val="32"/>
          <w:szCs w:val="32"/>
          <w:lang w:val="en-US" w:eastAsia="zh-CN" w:bidi="ar-SA"/>
        </w:rPr>
        <w:t>采购预算总额0万元，其中：政府采购货物预算0万元，政府采购工程预算0万元，政府采购服务预算0万元。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olor w:val="auto"/>
          <w:sz w:val="32"/>
          <w:szCs w:val="32"/>
          <w:lang w:val="en-US" w:eastAsia="zh-CN"/>
        </w:rPr>
      </w:pPr>
      <w:r>
        <w:rPr>
          <w:rFonts w:hint="eastAsia" w:ascii="楷体" w:hAnsi="楷体" w:eastAsia="楷体"/>
          <w:color w:val="auto"/>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截至2023年12月31日，白沙黎族自治县爱国卫生运动服务中心无国有资产占用情况。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olor w:val="auto"/>
          <w:sz w:val="32"/>
          <w:szCs w:val="32"/>
          <w:lang w:val="en-US" w:eastAsia="zh-CN"/>
        </w:rPr>
      </w:pPr>
      <w:r>
        <w:rPr>
          <w:rFonts w:hint="eastAsia" w:ascii="楷体" w:hAnsi="楷体" w:eastAsia="楷体"/>
          <w:color w:val="auto"/>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2024年</w:t>
      </w:r>
      <w:r>
        <w:rPr>
          <w:rFonts w:hint="eastAsia" w:ascii="仿宋_GB2312" w:hAnsi="黑体" w:eastAsia="仿宋_GB2312" w:cs="仿宋_GB2312"/>
          <w:color w:val="auto"/>
          <w:sz w:val="32"/>
          <w:szCs w:val="32"/>
          <w:lang w:eastAsia="zh-CN"/>
        </w:rPr>
        <w:t>白沙黎族自治县爱国卫生运动服务中心</w:t>
      </w:r>
      <w:r>
        <w:rPr>
          <w:rFonts w:hint="eastAsia" w:ascii="仿宋_GB2312" w:hAnsi="仿宋_GB2312" w:eastAsia="仿宋_GB2312" w:cs="仿宋_GB2312"/>
          <w:color w:val="auto"/>
          <w:kern w:val="2"/>
          <w:sz w:val="32"/>
          <w:szCs w:val="32"/>
          <w:lang w:val="en-US" w:eastAsia="zh-CN" w:bidi="ar-SA"/>
        </w:rPr>
        <w:t>10个项目实行绩效目标管理，涉及一般公共预算136.33万元。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b w:val="0"/>
          <w:bCs/>
          <w:color w:val="auto"/>
          <w:sz w:val="32"/>
          <w:szCs w:val="32"/>
        </w:rPr>
      </w:pPr>
      <w:r>
        <w:rPr>
          <w:rFonts w:hint="eastAsia" w:ascii="黑体" w:hAnsi="黑体" w:eastAsia="黑体"/>
          <w:b w:val="0"/>
          <w:bCs/>
          <w:color w:val="auto"/>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s="宋体"/>
          <w:bCs/>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 xml:space="preserve">六、基本支出：指行政事业单位用于为保障其机构正常运转、完成日常工作任务而发生的人员支出和公用支出。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 w:hAnsi="仿宋" w:eastAsia="仿宋" w:cs="仿宋"/>
          <w:color w:val="auto"/>
          <w:kern w:val="0"/>
          <w:sz w:val="32"/>
          <w:szCs w:val="30"/>
          <w:lang w:eastAsia="zh-CN"/>
        </w:rPr>
        <w:t>个人农业生产补贴、代缴社会保险费、</w:t>
      </w:r>
      <w:r>
        <w:rPr>
          <w:rFonts w:hint="eastAsia" w:ascii="仿宋" w:hAnsi="仿宋" w:eastAsia="仿宋" w:cs="仿宋"/>
          <w:color w:val="auto"/>
          <w:kern w:val="0"/>
          <w:sz w:val="32"/>
          <w:szCs w:val="30"/>
        </w:rPr>
        <w:t>其他等。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九、商品和服务支出：反映单位购买商品和服务的支出，包括办公费、</w:t>
      </w:r>
      <w:r>
        <w:rPr>
          <w:rFonts w:hint="eastAsia" w:ascii="仿宋" w:hAnsi="仿宋" w:eastAsia="仿宋" w:cs="仿宋"/>
          <w:color w:val="auto"/>
          <w:kern w:val="0"/>
          <w:sz w:val="32"/>
          <w:szCs w:val="30"/>
          <w:lang w:eastAsia="zh-CN"/>
        </w:rPr>
        <w:t>印刷费、咨询费、手续费、</w:t>
      </w:r>
      <w:r>
        <w:rPr>
          <w:rFonts w:hint="eastAsia" w:ascii="仿宋" w:hAnsi="仿宋" w:eastAsia="仿宋" w:cs="仿宋"/>
          <w:color w:val="auto"/>
          <w:kern w:val="0"/>
          <w:sz w:val="32"/>
          <w:szCs w:val="30"/>
        </w:rPr>
        <w:t>水费、电费、邮电费、</w:t>
      </w:r>
      <w:r>
        <w:rPr>
          <w:rFonts w:hint="eastAsia" w:ascii="仿宋" w:hAnsi="仿宋" w:eastAsia="仿宋" w:cs="仿宋"/>
          <w:color w:val="auto"/>
          <w:kern w:val="0"/>
          <w:sz w:val="32"/>
          <w:szCs w:val="30"/>
          <w:lang w:eastAsia="zh-CN"/>
        </w:rPr>
        <w:t>取暖费、物业管理费、</w:t>
      </w:r>
      <w:r>
        <w:rPr>
          <w:rFonts w:hint="eastAsia" w:ascii="仿宋" w:hAnsi="仿宋" w:eastAsia="仿宋" w:cs="仿宋"/>
          <w:color w:val="auto"/>
          <w:kern w:val="0"/>
          <w:sz w:val="32"/>
          <w:szCs w:val="30"/>
        </w:rPr>
        <w:t>差旅费</w:t>
      </w:r>
      <w:r>
        <w:rPr>
          <w:rFonts w:hint="eastAsia" w:ascii="仿宋" w:hAnsi="仿宋" w:eastAsia="仿宋" w:cs="仿宋"/>
          <w:color w:val="auto"/>
          <w:kern w:val="0"/>
          <w:sz w:val="32"/>
          <w:szCs w:val="30"/>
          <w:lang w:eastAsia="zh-CN"/>
        </w:rPr>
        <w:t>、</w:t>
      </w:r>
      <w:r>
        <w:rPr>
          <w:rFonts w:hint="eastAsia" w:ascii="仿宋" w:hAnsi="仿宋" w:eastAsia="仿宋" w:cs="仿宋"/>
          <w:color w:val="auto"/>
          <w:kern w:val="0"/>
          <w:sz w:val="32"/>
          <w:szCs w:val="30"/>
        </w:rPr>
        <w:t>因公出国（境）费用</w:t>
      </w:r>
      <w:r>
        <w:rPr>
          <w:rFonts w:hint="eastAsia" w:ascii="仿宋" w:hAnsi="仿宋" w:eastAsia="仿宋" w:cs="仿宋"/>
          <w:color w:val="auto"/>
          <w:kern w:val="0"/>
          <w:sz w:val="32"/>
          <w:szCs w:val="30"/>
          <w:lang w:eastAsia="zh-CN"/>
        </w:rPr>
        <w:t>、</w:t>
      </w:r>
      <w:r>
        <w:rPr>
          <w:rFonts w:hint="eastAsia" w:ascii="仿宋" w:hAnsi="仿宋" w:eastAsia="仿宋" w:cs="仿宋"/>
          <w:color w:val="auto"/>
          <w:kern w:val="0"/>
          <w:sz w:val="32"/>
          <w:szCs w:val="30"/>
        </w:rPr>
        <w:t>维修（护）费、</w:t>
      </w:r>
      <w:r>
        <w:rPr>
          <w:rFonts w:hint="eastAsia" w:ascii="仿宋" w:hAnsi="仿宋" w:eastAsia="仿宋" w:cs="仿宋"/>
          <w:color w:val="auto"/>
          <w:kern w:val="0"/>
          <w:sz w:val="32"/>
          <w:szCs w:val="30"/>
          <w:lang w:eastAsia="zh-CN"/>
        </w:rPr>
        <w:t>租赁费、</w:t>
      </w:r>
      <w:r>
        <w:rPr>
          <w:rFonts w:hint="eastAsia" w:ascii="仿宋" w:hAnsi="仿宋" w:eastAsia="仿宋" w:cs="仿宋"/>
          <w:color w:val="auto"/>
          <w:kern w:val="0"/>
          <w:sz w:val="32"/>
          <w:szCs w:val="30"/>
        </w:rPr>
        <w:t>会议费、培训费、公务接待费、</w:t>
      </w:r>
      <w:r>
        <w:rPr>
          <w:rFonts w:hint="eastAsia" w:ascii="仿宋" w:hAnsi="仿宋" w:eastAsia="仿宋" w:cs="仿宋"/>
          <w:color w:val="auto"/>
          <w:kern w:val="0"/>
          <w:sz w:val="32"/>
          <w:szCs w:val="30"/>
          <w:lang w:eastAsia="zh-CN"/>
        </w:rPr>
        <w:t>专用材料费、被装购置费、专用燃料费、劳务费、委托业务费</w:t>
      </w:r>
      <w:r>
        <w:rPr>
          <w:rFonts w:hint="eastAsia" w:ascii="仿宋" w:hAnsi="仿宋" w:eastAsia="仿宋" w:cs="仿宋"/>
          <w:color w:val="auto"/>
          <w:kern w:val="0"/>
          <w:sz w:val="32"/>
          <w:szCs w:val="30"/>
        </w:rPr>
        <w:t>、工会经费</w:t>
      </w:r>
      <w:r>
        <w:rPr>
          <w:rFonts w:hint="eastAsia" w:ascii="仿宋" w:hAnsi="仿宋" w:eastAsia="仿宋" w:cs="仿宋"/>
          <w:color w:val="auto"/>
          <w:kern w:val="0"/>
          <w:sz w:val="32"/>
          <w:szCs w:val="30"/>
          <w:lang w:eastAsia="zh-CN"/>
        </w:rPr>
        <w:t>、</w:t>
      </w:r>
      <w:r>
        <w:rPr>
          <w:rFonts w:hint="eastAsia" w:ascii="仿宋" w:hAnsi="仿宋" w:eastAsia="仿宋" w:cs="仿宋"/>
          <w:color w:val="auto"/>
          <w:kern w:val="0"/>
          <w:sz w:val="32"/>
          <w:szCs w:val="30"/>
        </w:rPr>
        <w:t>福利费、公务用车运行维护费、</w:t>
      </w:r>
      <w:r>
        <w:rPr>
          <w:rFonts w:hint="eastAsia" w:ascii="仿宋" w:hAnsi="仿宋" w:eastAsia="仿宋" w:cs="仿宋"/>
          <w:color w:val="auto"/>
          <w:kern w:val="0"/>
          <w:sz w:val="32"/>
          <w:szCs w:val="30"/>
          <w:lang w:eastAsia="zh-CN"/>
        </w:rPr>
        <w:t>其他交通费用、税金及附加费用、</w:t>
      </w:r>
      <w:r>
        <w:rPr>
          <w:rFonts w:hint="eastAsia" w:ascii="仿宋" w:hAnsi="仿宋" w:eastAsia="仿宋" w:cs="仿宋"/>
          <w:color w:val="auto"/>
          <w:kern w:val="0"/>
          <w:sz w:val="32"/>
          <w:szCs w:val="30"/>
        </w:rPr>
        <w:t>其他</w:t>
      </w:r>
      <w:r>
        <w:rPr>
          <w:rFonts w:hint="eastAsia" w:ascii="仿宋" w:hAnsi="仿宋" w:eastAsia="仿宋" w:cs="仿宋"/>
          <w:color w:val="auto"/>
          <w:kern w:val="0"/>
          <w:sz w:val="32"/>
          <w:szCs w:val="30"/>
          <w:lang w:eastAsia="zh-CN"/>
        </w:rPr>
        <w:t>商品和服务支出</w:t>
      </w:r>
      <w:r>
        <w:rPr>
          <w:rFonts w:hint="eastAsia" w:ascii="仿宋" w:hAnsi="仿宋" w:eastAsia="仿宋" w:cs="仿宋"/>
          <w:color w:val="auto"/>
          <w:kern w:val="0"/>
          <w:sz w:val="32"/>
          <w:szCs w:val="30"/>
        </w:rPr>
        <w:t>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十、项目支出：指各部门、各单位为完成其特定的工作任务和事业发展目标所发生的支出。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 w:hAnsi="仿宋" w:eastAsia="仿宋" w:cs="仿宋"/>
          <w:color w:val="auto"/>
          <w:kern w:val="0"/>
          <w:sz w:val="32"/>
          <w:szCs w:val="30"/>
          <w:lang w:eastAsia="zh-CN"/>
        </w:rPr>
        <w:t>、牌照费</w:t>
      </w:r>
      <w:r>
        <w:rPr>
          <w:rFonts w:hint="eastAsia" w:ascii="仿宋" w:hAnsi="仿宋" w:eastAsia="仿宋" w:cs="仿宋"/>
          <w:color w:val="auto"/>
          <w:kern w:val="0"/>
          <w:sz w:val="32"/>
          <w:szCs w:val="30"/>
        </w:rPr>
        <w:t>）及燃料费、维修费、过路过桥费、保险费、安全奖励费用等支出；公务接待费指单位按规定开支的各类公务接待（含外宾接待）</w:t>
      </w:r>
      <w:r>
        <w:rPr>
          <w:rFonts w:hint="eastAsia" w:ascii="仿宋" w:hAnsi="仿宋" w:eastAsia="仿宋" w:cs="仿宋"/>
          <w:color w:val="auto"/>
          <w:kern w:val="0"/>
          <w:sz w:val="32"/>
          <w:szCs w:val="30"/>
          <w:lang w:eastAsia="zh-CN"/>
        </w:rPr>
        <w:t>费用等支出</w:t>
      </w:r>
      <w:r>
        <w:rPr>
          <w:rFonts w:hint="eastAsia" w:ascii="仿宋" w:hAnsi="仿宋" w:eastAsia="仿宋" w:cs="仿宋"/>
          <w:color w:val="auto"/>
          <w:kern w:val="0"/>
          <w:sz w:val="32"/>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仿宋_GB2312"/>
          <w:color w:val="auto"/>
          <w:sz w:val="32"/>
          <w:szCs w:val="32"/>
        </w:rPr>
      </w:pPr>
      <w:r>
        <w:rPr>
          <w:rFonts w:hint="eastAsia" w:ascii="仿宋" w:hAnsi="仿宋" w:eastAsia="仿宋" w:cs="仿宋"/>
          <w:color w:val="auto"/>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4" w:type="default"/>
      <w:pgSz w:w="11906" w:h="16838"/>
      <w:pgMar w:top="2098" w:right="1474" w:bottom="1984" w:left="1587" w:header="851" w:footer="1587"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EC2468"/>
    <w:multiLevelType w:val="singleLevel"/>
    <w:tmpl w:val="E3EC2468"/>
    <w:lvl w:ilvl="0" w:tentative="0">
      <w:start w:val="2"/>
      <w:numFmt w:val="chineseCounting"/>
      <w:suff w:val="nothing"/>
      <w:lvlText w:val="（%1）"/>
      <w:lvlJc w:val="left"/>
      <w:rPr>
        <w:rFonts w:hint="eastAsia"/>
      </w:rPr>
    </w:lvl>
  </w:abstractNum>
  <w:abstractNum w:abstractNumId="1">
    <w:nsid w:val="E9D71435"/>
    <w:multiLevelType w:val="singleLevel"/>
    <w:tmpl w:val="E9D71435"/>
    <w:lvl w:ilvl="0" w:tentative="0">
      <w:start w:val="1"/>
      <w:numFmt w:val="chineseCounting"/>
      <w:suff w:val="nothing"/>
      <w:lvlText w:val="%1、"/>
      <w:lvlJc w:val="left"/>
      <w:rPr>
        <w:rFonts w:hint="eastAsia"/>
      </w:rPr>
    </w:lvl>
  </w:abstractNum>
  <w:abstractNum w:abstractNumId="2">
    <w:nsid w:val="0451142A"/>
    <w:multiLevelType w:val="singleLevel"/>
    <w:tmpl w:val="0451142A"/>
    <w:lvl w:ilvl="0" w:tentative="0">
      <w:start w:val="5"/>
      <w:numFmt w:val="chineseCounting"/>
      <w:suff w:val="nothing"/>
      <w:lvlText w:val="%1、"/>
      <w:lvlJc w:val="left"/>
      <w:rPr>
        <w:rFonts w:hint="eastAsia"/>
      </w:rPr>
    </w:lvl>
  </w:abstractNum>
  <w:abstractNum w:abstractNumId="3">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5"/>
  </w:num>
  <w:num w:numId="3">
    <w:abstractNumId w:val="6"/>
  </w:num>
  <w:num w:numId="4">
    <w:abstractNumId w:val="7"/>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wNzAyNTgxYmM1ZmNiOWRlNzY1NzU3NTc1Y2M2YjUifQ=="/>
  </w:docVars>
  <w:rsids>
    <w:rsidRoot w:val="00000000"/>
    <w:rsid w:val="007074E5"/>
    <w:rsid w:val="09196BED"/>
    <w:rsid w:val="10244840"/>
    <w:rsid w:val="11CE1AC2"/>
    <w:rsid w:val="1A6E72C3"/>
    <w:rsid w:val="20D85C08"/>
    <w:rsid w:val="22A36C77"/>
    <w:rsid w:val="23072DD8"/>
    <w:rsid w:val="293B5EC6"/>
    <w:rsid w:val="311E5EE4"/>
    <w:rsid w:val="3A6A1CE5"/>
    <w:rsid w:val="48650ED6"/>
    <w:rsid w:val="57011346"/>
    <w:rsid w:val="657F42A4"/>
    <w:rsid w:val="66ED2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2024-02-21T03:55:00Z</dcterms:created>
  <dc:creator>Administrator</dc:creator>
  <cp:lastModifiedBy>Administrator</cp:lastModifiedBy>
  <cp:lastPrinted>2024-02-29T06:35:00Z</cp:lastPrinted>
  <dcterms:modified xsi:type="dcterms:W3CDTF">2024-03-06T04:00:38Z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3C28CE69093843E69563FD8600DD21F0_13</vt:lpwstr>
  </property>
</Properties>
</file>