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bookmarkStart w:id="6" w:name="_GoBack"/>
      <w:bookmarkEnd w:id="6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自评</w:t>
      </w:r>
      <w:r>
        <w:rPr>
          <w:rFonts w:hint="eastAsia" w:ascii="宋体" w:hAnsi="宋体"/>
          <w:b/>
          <w:bCs/>
          <w:sz w:val="44"/>
          <w:szCs w:val="44"/>
        </w:rPr>
        <w:t>报告</w:t>
      </w: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hAnsi="宋体"/>
          <w:sz w:val="28"/>
          <w:szCs w:val="28"/>
        </w:rPr>
        <w:t xml:space="preserve"> 评价类型：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>实施过程评价</w:t>
      </w:r>
      <w:r>
        <w:rPr>
          <w:rFonts w:hint="eastAsia" w:hAnsi="宋体"/>
          <w:sz w:val="28"/>
          <w:szCs w:val="28"/>
        </w:rPr>
        <w:t xml:space="preserve">      </w:t>
      </w:r>
      <w:r>
        <w:rPr>
          <w:rFonts w:hint="eastAsia" w:hAnsi="宋体"/>
          <w:spacing w:val="-20"/>
          <w:sz w:val="36"/>
          <w:u w:val="single"/>
        </w:rPr>
        <w:sym w:font="Wingdings 2" w:char="0052"/>
      </w:r>
      <w:r>
        <w:rPr>
          <w:rFonts w:hint="eastAsia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项目名称： </w:t>
      </w:r>
      <w:r>
        <w:rPr>
          <w:rFonts w:hint="eastAsia" w:hAnsi="宋体"/>
          <w:sz w:val="28"/>
          <w:szCs w:val="28"/>
          <w:u w:val="single"/>
        </w:rPr>
        <w:t xml:space="preserve">       </w:t>
      </w:r>
      <w:r>
        <w:rPr>
          <w:rFonts w:hint="eastAsia" w:hAnsi="宋体"/>
          <w:sz w:val="28"/>
          <w:szCs w:val="28"/>
          <w:u w:val="single"/>
          <w:lang w:eastAsia="zh-CN"/>
        </w:rPr>
        <w:t>医保宣传单印刷费</w:t>
      </w:r>
      <w:r>
        <w:rPr>
          <w:rFonts w:hint="eastAsia" w:hAnsi="宋体"/>
          <w:sz w:val="28"/>
          <w:szCs w:val="28"/>
          <w:u w:val="single"/>
        </w:rPr>
        <w:t xml:space="preserve">             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项目单位： </w:t>
      </w:r>
      <w:r>
        <w:rPr>
          <w:rFonts w:hint="eastAsia" w:hAnsi="宋体"/>
          <w:sz w:val="28"/>
          <w:szCs w:val="28"/>
          <w:u w:val="single"/>
        </w:rPr>
        <w:t xml:space="preserve">      </w:t>
      </w:r>
      <w:r>
        <w:rPr>
          <w:rFonts w:hint="eastAsia" w:hAnsi="宋体"/>
          <w:sz w:val="28"/>
          <w:szCs w:val="28"/>
          <w:u w:val="single"/>
          <w:lang w:eastAsia="zh-CN"/>
        </w:rPr>
        <w:t>白沙黎族自治县医疗保障局</w:t>
      </w:r>
      <w:r>
        <w:rPr>
          <w:rFonts w:hint="eastAsia" w:hAnsi="宋体"/>
          <w:sz w:val="28"/>
          <w:szCs w:val="28"/>
          <w:u w:val="single"/>
        </w:rPr>
        <w:t xml:space="preserve">      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主管部门： </w:t>
      </w:r>
      <w:r>
        <w:rPr>
          <w:rFonts w:hint="eastAsia" w:hAnsi="宋体"/>
          <w:sz w:val="28"/>
          <w:szCs w:val="28"/>
          <w:u w:val="single"/>
        </w:rPr>
        <w:t xml:space="preserve">       </w:t>
      </w:r>
      <w:r>
        <w:rPr>
          <w:rFonts w:hint="eastAsia" w:hAnsi="宋体"/>
          <w:sz w:val="28"/>
          <w:szCs w:val="28"/>
          <w:u w:val="single"/>
          <w:lang w:eastAsia="zh-CN"/>
        </w:rPr>
        <w:t>白沙黎族自治县医疗保障局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评价时间：</w:t>
      </w:r>
      <w:r>
        <w:rPr>
          <w:rFonts w:hint="eastAsia" w:hAnsi="宋体"/>
          <w:sz w:val="28"/>
          <w:szCs w:val="28"/>
          <w:u w:val="single"/>
        </w:rPr>
        <w:t xml:space="preserve">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2021</w:t>
      </w:r>
      <w:r>
        <w:rPr>
          <w:rFonts w:hint="eastAsia" w:hAnsi="宋体"/>
          <w:sz w:val="28"/>
          <w:szCs w:val="28"/>
          <w:u w:val="single"/>
        </w:rPr>
        <w:t xml:space="preserve">年 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hAnsi="宋体"/>
          <w:sz w:val="28"/>
          <w:szCs w:val="28"/>
          <w:u w:val="single"/>
        </w:rPr>
        <w:t xml:space="preserve"> 月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hAnsi="宋体"/>
          <w:sz w:val="28"/>
          <w:szCs w:val="28"/>
          <w:u w:val="single"/>
        </w:rPr>
        <w:t xml:space="preserve">  日至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2021</w:t>
      </w:r>
      <w:r>
        <w:rPr>
          <w:rFonts w:hint="eastAsia" w:hAnsi="宋体"/>
          <w:sz w:val="28"/>
          <w:szCs w:val="28"/>
          <w:u w:val="single"/>
        </w:rPr>
        <w:t xml:space="preserve"> 年 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7</w:t>
      </w:r>
      <w:r>
        <w:rPr>
          <w:rFonts w:hint="eastAsia" w:hAnsi="宋体"/>
          <w:sz w:val="28"/>
          <w:szCs w:val="28"/>
          <w:u w:val="single"/>
        </w:rPr>
        <w:t xml:space="preserve"> 月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hAnsi="宋体"/>
          <w:sz w:val="28"/>
          <w:szCs w:val="28"/>
          <w:u w:val="single"/>
        </w:rPr>
        <w:t>日</w:t>
      </w:r>
    </w:p>
    <w:p>
      <w:pPr>
        <w:ind w:left="1400" w:hanging="1400" w:hangingChars="500"/>
        <w:rPr>
          <w:rFonts w:hint="eastAsia"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 xml:space="preserve">     组织方式：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 xml:space="preserve">财政部门 </w:t>
      </w:r>
      <w:r>
        <w:rPr>
          <w:rFonts w:hint="eastAsia" w:hAnsi="宋体"/>
          <w:sz w:val="28"/>
          <w:szCs w:val="28"/>
        </w:rPr>
        <w:t xml:space="preserve">    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>主管部门</w:t>
      </w:r>
      <w:r>
        <w:rPr>
          <w:rFonts w:hint="eastAsia" w:hAnsi="宋体"/>
          <w:sz w:val="28"/>
          <w:szCs w:val="28"/>
        </w:rPr>
        <w:t xml:space="preserve">     </w:t>
      </w:r>
      <w:r>
        <w:rPr>
          <w:rFonts w:hint="eastAsia" w:hAnsi="宋体"/>
          <w:spacing w:val="-20"/>
          <w:sz w:val="36"/>
          <w:u w:val="single"/>
        </w:rPr>
        <w:sym w:font="Wingdings 2" w:char="0052"/>
      </w:r>
      <w:r>
        <w:rPr>
          <w:rFonts w:hint="eastAsia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评价机构：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 xml:space="preserve">中介机构 </w:t>
      </w:r>
      <w:r>
        <w:rPr>
          <w:rFonts w:hint="eastAsia" w:hAnsi="宋体"/>
          <w:sz w:val="28"/>
          <w:szCs w:val="28"/>
        </w:rPr>
        <w:t xml:space="preserve">    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 xml:space="preserve">专家组 </w:t>
      </w:r>
      <w:r>
        <w:rPr>
          <w:rFonts w:hint="eastAsia" w:hAnsi="宋体"/>
          <w:sz w:val="28"/>
          <w:szCs w:val="28"/>
        </w:rPr>
        <w:t xml:space="preserve">    </w:t>
      </w:r>
      <w:r>
        <w:rPr>
          <w:rFonts w:hint="eastAsia" w:hAnsi="宋体"/>
          <w:spacing w:val="-20"/>
          <w:sz w:val="36"/>
          <w:u w:val="single"/>
        </w:rPr>
        <w:sym w:font="Wingdings 2" w:char="0052"/>
      </w:r>
      <w:r>
        <w:rPr>
          <w:rFonts w:hint="eastAsia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</w:p>
    <w:p>
      <w:pPr>
        <w:rPr>
          <w:rFonts w:hint="eastAsia" w:hAnsi="仿宋_GB2312"/>
          <w:szCs w:val="28"/>
        </w:rPr>
      </w:pPr>
    </w:p>
    <w:p>
      <w:pPr>
        <w:rPr>
          <w:rFonts w:hint="eastAsia" w:hAnsi="仿宋_GB2312"/>
          <w:szCs w:val="28"/>
        </w:rPr>
      </w:pPr>
    </w:p>
    <w:p>
      <w:pPr>
        <w:rPr>
          <w:rFonts w:hint="eastAsia" w:hAnsi="仿宋_GB2312"/>
          <w:szCs w:val="28"/>
        </w:rPr>
      </w:pPr>
    </w:p>
    <w:p>
      <w:pPr>
        <w:rPr>
          <w:rFonts w:hint="eastAsia" w:hAnsi="仿宋_GB2312"/>
          <w:szCs w:val="28"/>
        </w:rPr>
      </w:pPr>
      <w:r>
        <w:rPr>
          <w:rFonts w:hint="eastAsia" w:hAnsi="仿宋_GB2312"/>
          <w:szCs w:val="28"/>
        </w:rPr>
        <w:t xml:space="preserve">        </w:t>
      </w:r>
    </w:p>
    <w:p>
      <w:pPr>
        <w:ind w:left="1050" w:hanging="1050" w:hangingChars="5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仿宋_GB2312"/>
          <w:szCs w:val="28"/>
        </w:rPr>
        <w:t xml:space="preserve">        </w:t>
      </w:r>
      <w:r>
        <w:rPr>
          <w:rFonts w:hint="eastAsia" w:ascii="宋体" w:hAnsi="宋体" w:eastAsia="宋体" w:cs="宋体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 评价单位（盖章）：</w:t>
      </w:r>
    </w:p>
    <w:p>
      <w:pPr>
        <w:ind w:left="1050" w:hanging="1400" w:hangingChars="5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</w:t>
      </w:r>
    </w:p>
    <w:p>
      <w:pPr>
        <w:ind w:left="1050" w:hanging="1400" w:hangingChars="500"/>
        <w:rPr>
          <w:rFonts w:hint="eastAsia" w:ascii="宋体" w:hAnsi="宋体" w:eastAsia="宋体" w:cs="宋体"/>
          <w:sz w:val="28"/>
          <w:szCs w:val="28"/>
        </w:rPr>
      </w:pPr>
    </w:p>
    <w:p>
      <w:pPr>
        <w:ind w:left="1050" w:leftChars="500" w:firstLine="2240" w:firstLineChars="8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上报时间：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2021年7月2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spacing w:line="530" w:lineRule="exact"/>
        <w:ind w:firstLine="221" w:firstLineChars="5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财政支出项目绩效自评报告</w:t>
      </w:r>
    </w:p>
    <w:p>
      <w:pPr>
        <w:spacing w:line="53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一、项目概况</w:t>
      </w:r>
    </w:p>
    <w:p>
      <w:pPr>
        <w:spacing w:line="53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（一）项目基本情况：</w:t>
      </w:r>
    </w:p>
    <w:p>
      <w:p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立项情况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：根据单位年初预算及本单位工作计划申报该项目经费；</w:t>
      </w:r>
    </w:p>
    <w:p>
      <w:p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实施主体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：白沙黎族自治县医疗保障局</w:t>
      </w:r>
    </w:p>
    <w:p>
      <w:p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项目资金及主要内容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：项目资金共计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30万元；主要用于开展医保宣传活动，切实提高群众对医保政策的知晓率和群众满意度，加大医保政策宣传力度，力争让医保政策家喻户晓、深入人心。</w:t>
      </w:r>
    </w:p>
    <w:p>
      <w:pPr>
        <w:spacing w:line="53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（二）项目年度预算绩效目标和绩效指标设定情况</w:t>
      </w:r>
    </w:p>
    <w:p>
      <w:p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项目目标：</w:t>
      </w:r>
      <w:r>
        <w:rPr>
          <w:rFonts w:hint="eastAsia" w:ascii="宋体" w:hAnsi="宋体" w:cs="宋体"/>
          <w:sz w:val="28"/>
          <w:szCs w:val="28"/>
          <w:lang w:eastAsia="zh-CN"/>
        </w:rPr>
        <w:t>加大医保宣传，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切实提高群众对医保政策的知晓率和群众满意度。</w:t>
      </w:r>
    </w:p>
    <w:p>
      <w:pPr>
        <w:spacing w:line="53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二、项目决策及资金使用管理情况</w:t>
      </w:r>
    </w:p>
    <w:p>
      <w:p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（一）项目决策情况</w:t>
      </w:r>
    </w:p>
    <w:p>
      <w:p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医保局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根据20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年县财政下达的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医保宣传印刷费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资金情况，单位领导及时召集有关人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员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开展预算执行的部署工作，认真研究项目的使用范围，安排好资金的使用计划，明确分工、落实责任，促使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项目资金效益最大化。</w:t>
      </w:r>
    </w:p>
    <w:p>
      <w:pPr>
        <w:numPr>
          <w:ilvl w:val="0"/>
          <w:numId w:val="1"/>
        </w:numPr>
        <w:spacing w:line="530" w:lineRule="exact"/>
        <w:ind w:firstLine="560" w:firstLineChars="200"/>
        <w:rPr>
          <w:rFonts w:hint="eastAsia" w:ascii="宋体" w:hAnsi="宋体" w:eastAsia="宋体" w:cs="宋体"/>
          <w:color w:val="FF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项目资金安排落实、总投入等情况</w:t>
      </w:r>
    </w:p>
    <w:p>
      <w:pPr>
        <w:numPr>
          <w:ilvl w:val="0"/>
          <w:numId w:val="0"/>
        </w:num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被评价</w:t>
      </w:r>
      <w:r>
        <w:rPr>
          <w:rFonts w:hint="eastAsia" w:ascii="宋体" w:hAnsi="宋体" w:eastAsia="宋体" w:cs="宋体"/>
          <w:sz w:val="28"/>
          <w:szCs w:val="28"/>
        </w:rPr>
        <w:t>项目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资金20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年度预算计划安排财政资金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30万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元，实际到位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30万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元，资金到位率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%。</w:t>
      </w:r>
    </w:p>
    <w:p>
      <w:pPr>
        <w:numPr>
          <w:ilvl w:val="0"/>
          <w:numId w:val="1"/>
        </w:numPr>
        <w:spacing w:line="530" w:lineRule="exact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项目资金实际使用情况</w:t>
      </w:r>
    </w:p>
    <w:p>
      <w:pPr>
        <w:numPr>
          <w:ilvl w:val="0"/>
          <w:numId w:val="0"/>
        </w:numPr>
        <w:spacing w:line="530" w:lineRule="exact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被评价项目实际到位资金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30万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元，项目实际支出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30万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元，资金结余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元，支出完成比列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1"/>
        </w:numPr>
        <w:spacing w:line="530" w:lineRule="exact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项目资金管理情况</w:t>
      </w:r>
    </w:p>
    <w:p>
      <w:pPr>
        <w:numPr>
          <w:ilvl w:val="0"/>
          <w:numId w:val="0"/>
        </w:num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项目资金使用过程中，基本符合相关规定，未存在资金截留、挤占、挪用、超标准开支的情况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53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三、项目组织实施情况</w:t>
      </w:r>
    </w:p>
    <w:p>
      <w:p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（一）项目组织情况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医保局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根据20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年县财政下达的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医保宣传印刷费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资金情况，单位领导及时召集有关人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员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开展预算执行的部署工作，认真研究项目的使用范围，安排好资金的使用计划，明确分工、落实责任，促使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项目资金效益最大化。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规范使用该项资金，加强资金管理，加快执行进度，做好绩效目标管理工作。</w:t>
      </w:r>
    </w:p>
    <w:p>
      <w:pPr>
        <w:numPr>
          <w:ilvl w:val="0"/>
          <w:numId w:val="2"/>
        </w:num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项目管理情况</w:t>
      </w:r>
    </w:p>
    <w:p>
      <w:pPr>
        <w:numPr>
          <w:ilvl w:val="0"/>
          <w:numId w:val="0"/>
        </w:numPr>
        <w:spacing w:line="53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本项目为预算内项目，依据《中华人民共和国预算法》进行预算编制、审批、执行，项目会计核算按照《行政单位会计制度》进行账务核算，项目报账依据《白沙黎族自治县财政专项资金报账制管理办法》及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内部控制管理制度等审批流程执行。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四、项目绩效情况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3" w:line="480" w:lineRule="exact"/>
        <w:ind w:left="0" w:leftChars="0"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（一）项目的经济性分析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3" w:line="48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年度预算安排财政资金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元，当年完成预算资金支出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元，该项目坚持以预算为依据，通过践行资金管理的基本原则：厉行节约、量入为出，严格控制成本，降低经费支出，节约了财政资金。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</w:rPr>
        <w:t>项目的效率性分析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 w:val="0"/>
          <w:spacing w:val="-4"/>
          <w:sz w:val="28"/>
          <w:szCs w:val="28"/>
        </w:rPr>
        <w:t>根据</w:t>
      </w:r>
      <w:r>
        <w:rPr>
          <w:rFonts w:hint="eastAsia" w:ascii="宋体" w:hAnsi="宋体" w:eastAsia="宋体" w:cs="宋体"/>
          <w:b w:val="0"/>
          <w:bCs w:val="0"/>
          <w:spacing w:val="-4"/>
          <w:sz w:val="28"/>
          <w:szCs w:val="28"/>
          <w:lang w:eastAsia="zh-CN"/>
        </w:rPr>
        <w:t>医保局</w:t>
      </w:r>
      <w:r>
        <w:rPr>
          <w:rFonts w:hint="eastAsia" w:ascii="宋体" w:hAnsi="宋体" w:eastAsia="宋体" w:cs="宋体"/>
          <w:b w:val="0"/>
          <w:bCs w:val="0"/>
          <w:spacing w:val="-4"/>
          <w:sz w:val="28"/>
          <w:szCs w:val="28"/>
        </w:rPr>
        <w:t>对20</w:t>
      </w:r>
      <w:r>
        <w:rPr>
          <w:rFonts w:hint="eastAsia" w:ascii="宋体" w:hAnsi="宋体" w:eastAsia="宋体" w:cs="宋体"/>
          <w:b w:val="0"/>
          <w:bCs w:val="0"/>
          <w:spacing w:val="-4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pacing w:val="-4"/>
          <w:sz w:val="28"/>
          <w:szCs w:val="28"/>
        </w:rPr>
        <w:t>年的工作布署和资金安排计划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，本项目20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年实际累计支出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元，项目资金完成比例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%，重大支出手续完整，集体决策记录完善，各项工作及时完成。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Toc1022_WPSOffice_Level2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（三）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项目的效益性分析</w:t>
      </w:r>
      <w:bookmarkEnd w:id="0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截至20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年12月31日，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白沙黎族自治县医疗保障局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fill="FFFFFF"/>
        </w:rPr>
        <w:t>医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fill="FFFFFF"/>
          <w:lang w:eastAsia="zh-CN"/>
        </w:rPr>
        <w:t>保宣传单印刷费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fill="FFFFFF"/>
        </w:rPr>
        <w:t>资金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的各项工作均开展顺利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印刷国家医保局宣传三折页与打击欺诈骗保宣传单，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2020年白沙医保扶贫政策海报，印刷25000份医保扶贫政策单页，印刷2000本医疗政策问答手册，以及印刷1200张医保扶贫政策海报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等</w:t>
      </w:r>
      <w:r>
        <w:rPr>
          <w:rFonts w:hint="eastAsia" w:ascii="宋体" w:hAnsi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宣传物品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，并购买第三方宣传服务在全县公交车站制作医保政策广告牌，开展全县全覆盖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深入到各个乡镇设立宣传点及村委会宣传城乡医疗保障优惠政策，发放宣传单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讲解医保政策及发放宣传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物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品等相关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进一步加大医保宣传力度，提高人民群众的满意度。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1" w:name="_Toc14798_WPSOffice_Level2"/>
      <w:r>
        <w:rPr>
          <w:rFonts w:hint="eastAsia" w:ascii="宋体" w:hAnsi="宋体" w:eastAsia="宋体" w:cs="宋体"/>
          <w:b/>
          <w:bCs/>
          <w:sz w:val="28"/>
          <w:szCs w:val="28"/>
        </w:rPr>
        <w:t>（四）项目的可持续性分析</w:t>
      </w:r>
      <w:bookmarkEnd w:id="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本项目为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一次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性项目，项目的实施主要是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加大医保宣传力度、提升医保宣传能力、提升参保人对医保服务满意度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，因此项目具有可持续性。</w:t>
      </w:r>
    </w:p>
    <w:p>
      <w:pPr>
        <w:numPr>
          <w:ilvl w:val="0"/>
          <w:numId w:val="1"/>
        </w:numPr>
        <w:spacing w:line="530" w:lineRule="exact"/>
        <w:ind w:left="0" w:leftChars="0"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项目绩效目标未完成情况及原因分析</w:t>
      </w:r>
    </w:p>
    <w:p>
      <w:pPr>
        <w:numPr>
          <w:ilvl w:val="0"/>
          <w:numId w:val="0"/>
        </w:numPr>
        <w:spacing w:line="530" w:lineRule="exact"/>
        <w:ind w:left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该项目绩效目标已完成。</w:t>
      </w:r>
    </w:p>
    <w:p>
      <w:pPr>
        <w:spacing w:line="53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五、其他需要说明的问题</w:t>
      </w:r>
    </w:p>
    <w:p>
      <w:pPr>
        <w:spacing w:line="53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（一）后续工作计划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总结20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年度的支出情况，做好202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年的预算，使开支有序推进，资金得到有效使用，提高财政资金的预算执行率。同时，督促项目开展实施，严格按照专项资金项目管理，实行专款专用；资金使用严格落实有关规章制度，使其合法性、合规性。</w:t>
      </w:r>
    </w:p>
    <w:p>
      <w:pPr>
        <w:spacing w:line="53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53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（二）主要经验及做法、存在问题和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下一步计划</w:t>
      </w:r>
    </w:p>
    <w:p>
      <w:pPr>
        <w:pStyle w:val="2"/>
        <w:spacing w:line="360" w:lineRule="auto"/>
        <w:ind w:left="0" w:leftChars="0" w:firstLine="843" w:firstLineChars="3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主要经验及作法</w:t>
      </w:r>
    </w:p>
    <w:p>
      <w:pPr>
        <w:pStyle w:val="3"/>
        <w:spacing w:before="152" w:line="360" w:lineRule="auto"/>
        <w:ind w:right="959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积极布置项目并开展各项工作，各岗位分工合作，保障项目按时进行实施，顺利结束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2"/>
        <w:spacing w:before="153" w:line="360" w:lineRule="auto"/>
        <w:ind w:left="0" w:leftChars="0" w:firstLine="843" w:firstLineChars="300"/>
        <w:jc w:val="both"/>
        <w:rPr>
          <w:rFonts w:hint="eastAsia" w:ascii="宋体" w:hAnsi="宋体" w:eastAsia="宋体" w:cs="宋体"/>
          <w:sz w:val="28"/>
          <w:szCs w:val="28"/>
        </w:rPr>
      </w:pPr>
      <w:bookmarkStart w:id="2" w:name="_bookmark19"/>
      <w:bookmarkEnd w:id="2"/>
      <w:bookmarkStart w:id="3" w:name="（二）存在问题"/>
      <w:bookmarkEnd w:id="3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存在问题</w:t>
      </w:r>
    </w:p>
    <w:p>
      <w:pPr>
        <w:pStyle w:val="3"/>
        <w:spacing w:before="3"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项目制定项目资金管理办法、相关项目管理制度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不健全</w:t>
      </w:r>
      <w:r>
        <w:rPr>
          <w:rFonts w:hint="eastAsia" w:ascii="宋体" w:hAnsi="宋体" w:eastAsia="宋体" w:cs="宋体"/>
          <w:sz w:val="28"/>
          <w:szCs w:val="28"/>
        </w:rPr>
        <w:t>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资金使用进度较为缓慢。</w:t>
      </w:r>
    </w:p>
    <w:p>
      <w:pPr>
        <w:pStyle w:val="2"/>
        <w:numPr>
          <w:ilvl w:val="0"/>
          <w:numId w:val="0"/>
        </w:numPr>
        <w:spacing w:before="154" w:line="360" w:lineRule="auto"/>
        <w:ind w:leftChars="30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4" w:name="_bookmark20"/>
      <w:bookmarkEnd w:id="4"/>
      <w:bookmarkStart w:id="5" w:name="（三）建议"/>
      <w:bookmarkEnd w:id="5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3.下一步计划</w:t>
      </w:r>
    </w:p>
    <w:p>
      <w:pPr>
        <w:pStyle w:val="2"/>
        <w:numPr>
          <w:ilvl w:val="0"/>
          <w:numId w:val="0"/>
        </w:numPr>
        <w:spacing w:before="154" w:line="360" w:lineRule="auto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针对项目制定相关资金管理办法、相关项目管理制度，并继续完善项目专项资金的使用、管理问题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ind w:left="1050" w:hanging="1050" w:hangingChars="500"/>
        <w:rPr>
          <w:rFonts w:hint="eastAsia" w:hAnsi="宋体"/>
          <w:b w:val="0"/>
          <w:bCs w:val="0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 w:eastAsia="宋体"/>
          <w:szCs w:val="28"/>
          <w:lang w:eastAsia="zh-CN"/>
        </w:rPr>
      </w:pPr>
    </w:p>
    <w:p>
      <w:pPr>
        <w:ind w:left="1050" w:hanging="1050" w:hangingChars="500"/>
        <w:rPr>
          <w:rFonts w:hint="eastAsia" w:hAnsi="宋体" w:eastAsia="宋体"/>
          <w:szCs w:val="28"/>
          <w:lang w:eastAsia="zh-CN"/>
        </w:rPr>
      </w:pPr>
    </w:p>
    <w:p>
      <w:pPr>
        <w:ind w:left="1050" w:hanging="1050" w:hangingChars="500"/>
        <w:rPr>
          <w:rFonts w:hint="eastAsia" w:hAnsi="宋体" w:eastAsia="宋体"/>
          <w:szCs w:val="28"/>
          <w:lang w:eastAsia="zh-CN"/>
        </w:rPr>
      </w:pPr>
    </w:p>
    <w:p>
      <w:pPr>
        <w:ind w:left="1050" w:hanging="1050" w:hangingChars="500"/>
        <w:rPr>
          <w:rFonts w:hint="eastAsia" w:hAnsi="宋体" w:eastAsia="宋体"/>
          <w:szCs w:val="28"/>
          <w:lang w:eastAsia="zh-CN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tabs>
          <w:tab w:val="left" w:pos="720"/>
          <w:tab w:val="left" w:pos="3600"/>
        </w:tabs>
        <w:spacing w:line="360" w:lineRule="auto"/>
        <w:jc w:val="left"/>
        <w:rPr>
          <w:rFonts w:hint="eastAsia" w:ascii="黑体" w:hAnsi="宋体" w:eastAsia="黑体"/>
          <w:b/>
          <w:bCs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2</w:t>
      </w:r>
      <w:r>
        <w:rPr>
          <w:rFonts w:hint="eastAsia" w:ascii="黑体" w:eastAsia="黑体"/>
          <w:szCs w:val="32"/>
        </w:rPr>
        <w:t>-</w:t>
      </w:r>
      <w:r>
        <w:rPr>
          <w:rFonts w:hint="eastAsia" w:ascii="黑体" w:eastAsia="黑体"/>
          <w:szCs w:val="32"/>
          <w:lang w:val="en-US" w:eastAsia="zh-CN"/>
        </w:rPr>
        <w:t>3</w:t>
      </w:r>
    </w:p>
    <w:p>
      <w:pPr>
        <w:pStyle w:val="7"/>
        <w:spacing w:line="62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项目名称：</w:t>
      </w:r>
    </w:p>
    <w:tbl>
      <w:tblPr>
        <w:tblStyle w:val="5"/>
        <w:tblW w:w="8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68"/>
        <w:gridCol w:w="1267"/>
        <w:gridCol w:w="859"/>
        <w:gridCol w:w="795"/>
        <w:gridCol w:w="85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指标类型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指标名称</w:t>
            </w: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绩效目标</w:t>
            </w:r>
          </w:p>
        </w:tc>
        <w:tc>
          <w:tcPr>
            <w:tcW w:w="3424" w:type="dxa"/>
            <w:gridSpan w:val="4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优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产出指标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印刷医保宣传海报及折页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全覆盖宣传医保政策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利用宣传广告牌开展宣传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全覆盖宣传医保政策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成效指标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政策宣传覆盖率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全县广告牌使用率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效率指标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群众满意度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96%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群众知晓政策率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90%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7"/>
        <w:spacing w:line="440" w:lineRule="exact"/>
        <w:ind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spacing w:line="440" w:lineRule="exact"/>
        <w:ind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注：预算批复的绩效目标如有调整的，需在报告中加以说明。</w:t>
      </w:r>
    </w:p>
    <w:p>
      <w:pPr>
        <w:rPr>
          <w:rFonts w:hint="eastAsia"/>
          <w:sz w:val="24"/>
        </w:rPr>
      </w:pPr>
    </w:p>
    <w:p>
      <w:pPr>
        <w:spacing w:line="620" w:lineRule="exact"/>
        <w:outlineLvl w:val="0"/>
        <w:rPr>
          <w:rFonts w:hint="eastAsia"/>
          <w:bCs/>
          <w:color w:val="000000"/>
          <w:sz w:val="24"/>
        </w:rPr>
      </w:pPr>
    </w:p>
    <w:p>
      <w:pPr>
        <w:spacing w:line="578" w:lineRule="exact"/>
        <w:rPr>
          <w:rFonts w:hint="eastAsia" w:hAnsi="宋体"/>
          <w:sz w:val="18"/>
          <w:szCs w:val="18"/>
        </w:rPr>
      </w:pPr>
    </w:p>
    <w:p>
      <w:pPr>
        <w:spacing w:line="440" w:lineRule="exact"/>
        <w:jc w:val="left"/>
        <w:rPr>
          <w:rFonts w:hint="eastAsia" w:ascii="黑体" w:eastAsia="黑体"/>
          <w:szCs w:val="32"/>
        </w:rPr>
      </w:pPr>
    </w:p>
    <w:p>
      <w:pPr>
        <w:spacing w:line="44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2</w:t>
      </w:r>
      <w:r>
        <w:rPr>
          <w:rFonts w:hint="eastAsia" w:ascii="黑体" w:eastAsia="黑体"/>
          <w:szCs w:val="32"/>
        </w:rPr>
        <w:t>-</w:t>
      </w:r>
      <w:r>
        <w:rPr>
          <w:rFonts w:hint="eastAsia" w:ascii="黑体" w:eastAsia="黑体"/>
          <w:szCs w:val="32"/>
          <w:lang w:val="en-US" w:eastAsia="zh-CN"/>
        </w:rPr>
        <w:t>4</w:t>
      </w:r>
    </w:p>
    <w:p>
      <w:pPr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5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552" w:hRule="atLeast"/>
        </w:trPr>
        <w:tc>
          <w:tcPr>
            <w:tcW w:w="9478" w:type="dxa"/>
            <w:gridSpan w:val="20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白沙黎族自治县医疗保障局</w:t>
            </w:r>
          </w:p>
        </w:tc>
        <w:tc>
          <w:tcPr>
            <w:tcW w:w="324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李翠</w:t>
            </w:r>
          </w:p>
        </w:tc>
        <w:tc>
          <w:tcPr>
            <w:tcW w:w="324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0898-27720882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白沙黎族自治县牙叉镇中路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190号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经常性项目（   ）       一次性项目（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9460" w:type="dxa"/>
            <w:gridSpan w:val="19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5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4819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9474" w:type="dxa"/>
            <w:gridSpan w:val="19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李翠</w:t>
            </w: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局长</w:t>
            </w: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白沙县医保局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98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林建勇</w:t>
            </w: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副局长</w:t>
            </w: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白沙县医保局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98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张羽</w:t>
            </w: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办公室主任</w:t>
            </w: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白沙县医保局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98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卓雯欣</w:t>
            </w: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报账员</w:t>
            </w: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白沙县医保局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98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9474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项目单位负责人（签字并盖章）：</w:t>
            </w:r>
          </w:p>
          <w:p>
            <w:pPr>
              <w:spacing w:line="440" w:lineRule="exact"/>
              <w:ind w:firstLine="7200" w:firstLineChars="30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spacing w:line="480" w:lineRule="exact"/>
        <w:rPr>
          <w:rFonts w:hint="eastAsia" w:ascii="黑体" w:eastAsia="黑体"/>
          <w:szCs w:val="32"/>
        </w:rPr>
      </w:pPr>
    </w:p>
    <w:p>
      <w:pPr>
        <w:spacing w:line="480" w:lineRule="exact"/>
        <w:rPr>
          <w:rFonts w:hint="eastAsia" w:ascii="黑体" w:eastAsia="黑体"/>
          <w:szCs w:val="32"/>
        </w:rPr>
      </w:pPr>
    </w:p>
    <w:p>
      <w:pPr>
        <w:spacing w:line="480" w:lineRule="exact"/>
        <w:rPr>
          <w:rFonts w:hint="eastAsia" w:ascii="黑体" w:eastAsia="黑体"/>
          <w:szCs w:val="32"/>
        </w:rPr>
      </w:pPr>
    </w:p>
    <w:p>
      <w:pPr>
        <w:spacing w:line="480" w:lineRule="exact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2-1</w:t>
      </w:r>
    </w:p>
    <w:p>
      <w:pPr>
        <w:spacing w:line="480" w:lineRule="exact"/>
        <w:jc w:val="center"/>
        <w:rPr>
          <w:rFonts w:hint="eastAsia" w:ascii="黑体" w:hAnsi="宋体" w:eastAsia="黑体"/>
          <w:b/>
          <w:szCs w:val="32"/>
        </w:rPr>
      </w:pPr>
      <w:r>
        <w:rPr>
          <w:rFonts w:ascii="宋体" w:hAnsi="宋体"/>
          <w:b/>
          <w:color w:val="000000"/>
          <w:sz w:val="44"/>
          <w:szCs w:val="44"/>
        </w:rPr>
        <w:t>财政支出绩效评价指标体系</w:t>
      </w:r>
    </w:p>
    <w:p>
      <w:pPr>
        <w:spacing w:line="480" w:lineRule="exact"/>
        <w:jc w:val="center"/>
        <w:rPr>
          <w:rFonts w:hint="eastAsia" w:ascii="黑体" w:hAnsi="宋体" w:eastAsia="黑体"/>
          <w:b/>
          <w:szCs w:val="32"/>
        </w:rPr>
      </w:pPr>
    </w:p>
    <w:tbl>
      <w:tblPr>
        <w:tblStyle w:val="5"/>
        <w:tblW w:w="100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07"/>
        <w:gridCol w:w="1119"/>
        <w:gridCol w:w="639"/>
        <w:gridCol w:w="1291"/>
        <w:gridCol w:w="639"/>
        <w:gridCol w:w="2227"/>
        <w:gridCol w:w="23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分值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drawing>
                <wp:inline distT="0" distB="0" distL="114300" distR="114300">
                  <wp:extent cx="19050" cy="19050"/>
                  <wp:effectExtent l="0" t="0" r="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drawing>
                <wp:inline distT="0" distB="0" distL="114300" distR="114300">
                  <wp:extent cx="19050" cy="19050"/>
                  <wp:effectExtent l="0" t="0" r="0" b="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drawing>
                <wp:inline distT="0" distB="0" distL="114300" distR="114300">
                  <wp:extent cx="19050" cy="19050"/>
                  <wp:effectExtent l="0" t="0" r="0" b="0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drawing>
                <wp:inline distT="0" distB="0" distL="114300" distR="114300">
                  <wp:extent cx="19050" cy="19050"/>
                  <wp:effectExtent l="0" t="0" r="0" b="0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指标解释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评价标准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项目决策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项目目标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目标内容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目标明确、细化、量化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目标明确（1分），目标细化（1分），目标量化（2分）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决策过程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决策依据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项目符合经济社会发展规划和部门年度工作计划；根据需要制定中长期实施规划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项目符合经济社会发展规划和部门年度工作计划（2分），根据需要制定中长期实施规划（1分）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决策程序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项目符合申报条件；申报、批复程序符合相关管理办法；项目调整履行相应手续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项目符合申报条件（2分），申报、批复程序符合相关管理办法（2分），项目实施调整履行相应手续（1分）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资金分配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分配办法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根据需要制定相关资金管理办法，并在管理办法中明确资金分配办法；资金分配因素全面、合理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办法健全、规范（1分），因素选择全面、合理（1分）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资金分配符合相关管理办法；分配结果合理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项目符合相关分配办法（2分），资金分配合理（4分）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资金到位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到位率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实际到位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计划到位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,到位率百分之百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根据项目实际到位资金占计划的比重计算得分（3分）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到位时效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资金及时到位；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及时到位（2分）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资金管理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资金使用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存在支出依据不合规、虚列项目支出的情况；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存在截留、挤占、挪用项目资金情况；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存在超标准开支情况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无扣分，得分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资金管理、费用支出等制度健全，严格执行；会计核算规范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财务制度健全（1分），严格执行制度（1分），会计核算规范（1分）。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组织实施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组织机构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机构健全、分工明确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机构健全、分工明确（1分）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管理制度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建立健全项目管理制度；严格执行相关项目管理制度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建立健全项目管理制度（2分）；严格执行相关项目管理制度（7分）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项目绩效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项目产出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产出数量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项目产出数量达到绩效目标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产出质量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项目产出质量达到绩效目标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产出时效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项目产出时效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总体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达到绩效目标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，但进度较缓慢；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产出成本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项目产出成本按绩效目标控制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优3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项目效果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经济效益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项目实施产生直接或间接经济效益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已达到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年初或调整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的绩效目标评价经济效益（8分）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社会效益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项目实施产生社会综合效益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4"/>
                <w:sz w:val="18"/>
                <w:szCs w:val="18"/>
                <w:lang w:eastAsia="zh-CN"/>
              </w:rPr>
              <w:t>已达到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年初或调整</w:t>
            </w:r>
            <w:r>
              <w:rPr>
                <w:rFonts w:hint="eastAsia" w:ascii="宋体" w:hAnsi="宋体"/>
                <w:color w:val="000000"/>
                <w:spacing w:val="-4"/>
                <w:sz w:val="18"/>
                <w:szCs w:val="18"/>
              </w:rPr>
              <w:t>后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申报的绩效目标评价社会效益（8分）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环境效益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项目实施对环境产生积极影响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已达到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年初或调整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申报的绩效目标评价环境效益（8分）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可持续影响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项目实施对人、自然、资源带来可持续影响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已达到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年初或调整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申报的绩效目标评价可持续影响（8分）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服务对象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满意度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项目预期服务对象对项目实施的满意程度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已到达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年初或调整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申报的绩效目标评价服务对象满意度（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</w:tr>
    </w:tbl>
    <w:p>
      <w:pPr>
        <w:spacing w:line="578" w:lineRule="exact"/>
        <w:rPr>
          <w:rFonts w:hint="eastAsia" w:hAnsi="宋体"/>
          <w:b/>
          <w:bCs/>
          <w:szCs w:val="32"/>
        </w:rPr>
      </w:pPr>
    </w:p>
    <w:p>
      <w:pPr>
        <w:spacing w:line="578" w:lineRule="exact"/>
        <w:jc w:val="center"/>
        <w:rPr>
          <w:rFonts w:hint="eastAsia" w:hAnsi="宋体"/>
          <w:b/>
          <w:bCs/>
          <w:szCs w:val="32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6A929"/>
    <w:multiLevelType w:val="singleLevel"/>
    <w:tmpl w:val="8426A929"/>
    <w:lvl w:ilvl="0" w:tentative="0">
      <w:start w:val="2"/>
      <w:numFmt w:val="chineseCounting"/>
      <w:suff w:val="nothing"/>
      <w:lvlText w:val="（%1）"/>
      <w:lvlJc w:val="left"/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1">
    <w:nsid w:val="1A2EB4AB"/>
    <w:multiLevelType w:val="singleLevel"/>
    <w:tmpl w:val="1A2EB4A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73BAB"/>
    <w:rsid w:val="007177E6"/>
    <w:rsid w:val="015F6566"/>
    <w:rsid w:val="01D50908"/>
    <w:rsid w:val="022E32AC"/>
    <w:rsid w:val="058E6E11"/>
    <w:rsid w:val="0B3604A2"/>
    <w:rsid w:val="0E706247"/>
    <w:rsid w:val="0F6E0F30"/>
    <w:rsid w:val="11FC40C9"/>
    <w:rsid w:val="149D0E4E"/>
    <w:rsid w:val="187B39F1"/>
    <w:rsid w:val="1CAA14E1"/>
    <w:rsid w:val="1DB372DA"/>
    <w:rsid w:val="222D26D4"/>
    <w:rsid w:val="25F113D8"/>
    <w:rsid w:val="2A331DB3"/>
    <w:rsid w:val="3CB4183A"/>
    <w:rsid w:val="3F031D34"/>
    <w:rsid w:val="40F51F3E"/>
    <w:rsid w:val="4321587B"/>
    <w:rsid w:val="457D7608"/>
    <w:rsid w:val="45D51A67"/>
    <w:rsid w:val="468A0D3E"/>
    <w:rsid w:val="488E4370"/>
    <w:rsid w:val="48DD6CAC"/>
    <w:rsid w:val="4CD712E0"/>
    <w:rsid w:val="549B6E70"/>
    <w:rsid w:val="5CEB48E0"/>
    <w:rsid w:val="5D5B4348"/>
    <w:rsid w:val="5F2C7649"/>
    <w:rsid w:val="63473BAB"/>
    <w:rsid w:val="65BD16FA"/>
    <w:rsid w:val="669952CF"/>
    <w:rsid w:val="67AA6F09"/>
    <w:rsid w:val="72D05AA2"/>
    <w:rsid w:val="783101F4"/>
    <w:rsid w:val="7836700B"/>
    <w:rsid w:val="7946648B"/>
    <w:rsid w:val="7EC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157"/>
      <w:outlineLvl w:val="2"/>
    </w:pPr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白沙黎族自治县（牙叉镇）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2021-07-22T09:04:00Z</dcterms:created>
  <dc:creator>卓大大</dc:creator>
  <cp:lastModifiedBy>卓大大</cp:lastModifiedBy>
  <cp:lastPrinted>2021-07-29T01:59:00Z</cp:lastPrinted>
  <dcterms:modified xsi:type="dcterms:W3CDTF">2021-09-11T07:20:33Z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