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Malgun Gothic" w:hAnsi="Calibri" w:eastAsia="宋体" w:cs="Times New Roman"/>
          <w:sz w:val="44"/>
          <w:szCs w:val="44"/>
        </w:rPr>
      </w:pPr>
      <w:r>
        <w:rPr>
          <w:rFonts w:hint="eastAsia" w:ascii="Malgun Gothic" w:hAnsi="Calibri" w:eastAsia="宋体" w:cs="Times New Roman"/>
          <w:sz w:val="44"/>
          <w:szCs w:val="44"/>
          <w:lang w:val="en-US" w:eastAsia="zh-CN"/>
        </w:rPr>
        <w:t>2020</w:t>
      </w:r>
      <w:r>
        <w:rPr>
          <w:rFonts w:hint="eastAsia" w:ascii="Malgun Gothic" w:hAnsi="Calibri" w:eastAsia="宋体" w:cs="Times New Roman"/>
          <w:sz w:val="44"/>
          <w:szCs w:val="44"/>
        </w:rPr>
        <w:t>年白沙黎族自治县司法局预算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9"/>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cs="仿宋_GB2312"/>
          <w:sz w:val="32"/>
          <w:szCs w:val="32"/>
        </w:rPr>
        <w:t>白沙黎族自治县司法局</w:t>
      </w:r>
      <w:r>
        <w:rPr>
          <w:rFonts w:hint="eastAsia" w:ascii="黑体" w:hAnsi="黑体" w:eastAsia="黑体"/>
          <w:sz w:val="32"/>
          <w:szCs w:val="32"/>
        </w:rPr>
        <w:t>概况</w:t>
      </w:r>
    </w:p>
    <w:p>
      <w:pPr>
        <w:pStyle w:val="6"/>
        <w:numPr>
          <w:ilvl w:val="0"/>
          <w:numId w:val="1"/>
        </w:numPr>
        <w:ind w:firstLineChars="0"/>
        <w:jc w:val="left"/>
        <w:rPr>
          <w:rFonts w:ascii="黑体" w:hAnsi="黑体" w:eastAsia="黑体"/>
          <w:sz w:val="32"/>
          <w:szCs w:val="32"/>
        </w:rPr>
      </w:pP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白沙黎族自治县司法局</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年部门预算表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9"/>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cs="仿宋_GB2312"/>
          <w:sz w:val="32"/>
          <w:szCs w:val="32"/>
        </w:rPr>
        <w:t>白沙黎族自治县司法局</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年部门预算情况说明</w:t>
      </w:r>
    </w:p>
    <w:p>
      <w:pPr>
        <w:pStyle w:val="9"/>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0"/>
        </w:numPr>
        <w:ind w:leftChars="0"/>
        <w:jc w:val="both"/>
        <w:rPr>
          <w:rFonts w:ascii="仿宋_GB2312" w:hAnsi="仿宋_GB2312" w:eastAsia="仿宋_GB2312" w:cs="仿宋_GB2312"/>
          <w:sz w:val="32"/>
          <w:szCs w:val="32"/>
        </w:rPr>
      </w:pPr>
    </w:p>
    <w:p>
      <w:pPr>
        <w:pStyle w:val="9"/>
        <w:numPr>
          <w:ilvl w:val="0"/>
          <w:numId w:val="4"/>
        </w:numPr>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cs="仿宋_GB2312"/>
          <w:sz w:val="32"/>
          <w:szCs w:val="32"/>
        </w:rPr>
        <w:t>白沙黎族自治县司法局</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numPr>
          <w:ilvl w:val="0"/>
          <w:numId w:val="6"/>
        </w:numPr>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贯彻执行党和国家及省有关司法行政工作方针、政策、法律法规。研究拟订和组织实施本县司法行政工作的规章制度以及发展规划、计划。</w:t>
      </w:r>
    </w:p>
    <w:p>
      <w:pPr>
        <w:numPr>
          <w:ilvl w:val="0"/>
          <w:numId w:val="6"/>
        </w:numPr>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研究拟订并组织实施全县全面依法治县工作政策规定、相关制度和发展战略，研究推进司法改革，研究提出中国（海南）自由贸易试验区、中国特色自由贸易港全面依法治县工作方面的意见和建议。</w:t>
      </w:r>
    </w:p>
    <w:p>
      <w:pPr>
        <w:numPr>
          <w:ilvl w:val="0"/>
          <w:numId w:val="6"/>
        </w:numPr>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负责全县的法制宣传与普法及法律常识工作。</w:t>
      </w:r>
    </w:p>
    <w:p>
      <w:pPr>
        <w:numPr>
          <w:ilvl w:val="0"/>
          <w:numId w:val="6"/>
        </w:numPr>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指导和管理全县人民调解委员会、法律事务所和人民调解工作，即对发生在我县内的民间纠纷进行排查调处工作。</w:t>
      </w:r>
    </w:p>
    <w:p>
      <w:pPr>
        <w:numPr>
          <w:ilvl w:val="0"/>
          <w:numId w:val="6"/>
        </w:numPr>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负责全县安置帮教工作，开展对在我县内刑满释放和戒毒康复的人员进行帮助教育与安置工作。</w:t>
      </w:r>
    </w:p>
    <w:p>
      <w:pPr>
        <w:numPr>
          <w:ilvl w:val="0"/>
          <w:numId w:val="6"/>
        </w:numPr>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负责全县社区矫正工作。</w:t>
      </w:r>
    </w:p>
    <w:p>
      <w:pPr>
        <w:numPr>
          <w:ilvl w:val="0"/>
          <w:numId w:val="6"/>
        </w:numPr>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指导监督全县律师、公证工作。</w:t>
      </w:r>
    </w:p>
    <w:p>
      <w:pPr>
        <w:numPr>
          <w:ilvl w:val="0"/>
          <w:numId w:val="6"/>
        </w:numPr>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负责全县法律援助工作。</w:t>
      </w:r>
    </w:p>
    <w:p>
      <w:pPr>
        <w:numPr>
          <w:ilvl w:val="0"/>
          <w:numId w:val="6"/>
        </w:numPr>
        <w:jc w:val="left"/>
        <w:rPr>
          <w:rFonts w:ascii="仿宋" w:hAnsi="仿宋" w:eastAsia="仿宋" w:cs="仿宋"/>
          <w:color w:val="000000"/>
          <w:kern w:val="0"/>
          <w:sz w:val="32"/>
          <w:szCs w:val="30"/>
        </w:rPr>
      </w:pPr>
      <w:r>
        <w:rPr>
          <w:rFonts w:hint="eastAsia" w:ascii="仿宋" w:hAnsi="仿宋" w:eastAsia="仿宋"/>
          <w:color w:val="000000"/>
          <w:sz w:val="32"/>
          <w:szCs w:val="32"/>
        </w:rPr>
        <w:t>负责县政府行政复议、行政应诉综合工作。</w:t>
      </w:r>
    </w:p>
    <w:p>
      <w:pPr>
        <w:numPr>
          <w:ilvl w:val="0"/>
          <w:numId w:val="6"/>
        </w:numPr>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负责以县政府及县政府办公室名义发文的规范性文件合法性审查工作。承办政府规范性文件解释，对县政府重大决策及重要具体行政行为进行法核。</w:t>
      </w:r>
    </w:p>
    <w:p>
      <w:pPr>
        <w:numPr>
          <w:ilvl w:val="0"/>
          <w:numId w:val="6"/>
        </w:numPr>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负责自治条例和单行条例的立项、论证、协调、审查，组织起草部分重要的自治条例和单行条例。负责立法协调。</w:t>
      </w:r>
    </w:p>
    <w:p>
      <w:pPr>
        <w:numPr>
          <w:ilvl w:val="0"/>
          <w:numId w:val="6"/>
        </w:numPr>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承担统筹推进法治政府建设的责任。指导、监督县政府各部门、乡镇政府依法行政工作。负责综合协调行政执法，做好行政执法体制改革有关工作，推进严格规范公正文明执法。</w:t>
      </w:r>
    </w:p>
    <w:p>
      <w:pPr>
        <w:numPr>
          <w:ilvl w:val="0"/>
          <w:numId w:val="6"/>
        </w:numPr>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监督管理司法所工作。</w:t>
      </w:r>
    </w:p>
    <w:p>
      <w:pPr>
        <w:numPr>
          <w:ilvl w:val="0"/>
          <w:numId w:val="6"/>
        </w:numPr>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承办县委县政府和上级部门交办的工作。</w:t>
      </w:r>
    </w:p>
    <w:p>
      <w:pPr>
        <w:pStyle w:val="9"/>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640" w:firstLineChars="200"/>
        <w:rPr>
          <w:rFonts w:ascii="仿宋_GB2312" w:hAnsi="楷体" w:eastAsia="仿宋_GB2312" w:cs="楷体"/>
          <w:sz w:val="32"/>
          <w:szCs w:val="32"/>
        </w:rPr>
      </w:pPr>
      <w:r>
        <w:rPr>
          <w:rFonts w:hint="eastAsia" w:ascii="仿宋_GB2312" w:eastAsia="仿宋_GB2312"/>
          <w:sz w:val="32"/>
          <w:szCs w:val="32"/>
        </w:rPr>
        <w:t>白沙黎族自治县司法局本部门属于财政预算全额拨款的本级单位。</w:t>
      </w:r>
    </w:p>
    <w:p>
      <w:pPr>
        <w:adjustRightInd w:val="0"/>
        <w:snapToGrid w:val="0"/>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根据上述职能职责，县司法局内设</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个职能机构和下设</w:t>
      </w:r>
      <w:r>
        <w:rPr>
          <w:rFonts w:ascii="仿宋" w:hAnsi="仿宋" w:eastAsia="仿宋"/>
          <w:color w:val="000000"/>
          <w:sz w:val="32"/>
          <w:szCs w:val="32"/>
        </w:rPr>
        <w:t>11</w:t>
      </w:r>
      <w:r>
        <w:rPr>
          <w:rFonts w:hint="eastAsia" w:ascii="仿宋" w:hAnsi="仿宋" w:eastAsia="仿宋"/>
          <w:color w:val="000000"/>
          <w:sz w:val="32"/>
          <w:szCs w:val="32"/>
        </w:rPr>
        <w:t>个基层司法所：</w:t>
      </w:r>
    </w:p>
    <w:p>
      <w:pPr>
        <w:adjustRightInd w:val="0"/>
        <w:snapToGrid w:val="0"/>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（一）办公室</w:t>
      </w:r>
    </w:p>
    <w:p>
      <w:pPr>
        <w:adjustRightInd w:val="0"/>
        <w:snapToGrid w:val="0"/>
        <w:spacing w:line="576"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负责机关文电、会务、机要、档案、信息、政务公开、督查督办、政务协调、安全保密、财务管理、资产管理、信访和行政审批等工作。</w:t>
      </w:r>
    </w:p>
    <w:p>
      <w:pPr>
        <w:numPr>
          <w:ilvl w:val="0"/>
          <w:numId w:val="7"/>
        </w:numPr>
        <w:adjustRightInd w:val="0"/>
        <w:snapToGrid w:val="0"/>
        <w:spacing w:line="576"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公共法律服务与律师工作室</w:t>
      </w:r>
    </w:p>
    <w:p>
      <w:pPr>
        <w:adjustRightInd w:val="0"/>
        <w:snapToGrid w:val="0"/>
        <w:spacing w:line="576"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律师公证服务和法律顾问工作；负责法律援助工作。</w:t>
      </w:r>
    </w:p>
    <w:p>
      <w:pPr>
        <w:numPr>
          <w:ilvl w:val="0"/>
          <w:numId w:val="7"/>
        </w:numPr>
        <w:adjustRightInd w:val="0"/>
        <w:snapToGrid w:val="0"/>
        <w:spacing w:line="576" w:lineRule="exact"/>
        <w:ind w:left="0" w:leftChars="0"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法治调研室</w:t>
      </w:r>
    </w:p>
    <w:p>
      <w:pPr>
        <w:numPr>
          <w:ilvl w:val="0"/>
          <w:numId w:val="0"/>
        </w:numPr>
        <w:adjustRightInd w:val="0"/>
        <w:snapToGrid w:val="0"/>
        <w:spacing w:line="576"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负责落实委员会工作部署，处理县委依法治县办日常事务。</w:t>
      </w:r>
    </w:p>
    <w:p>
      <w:pPr>
        <w:adjustRightInd w:val="0"/>
        <w:snapToGrid w:val="0"/>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val="en-US" w:eastAsia="zh-CN"/>
        </w:rPr>
        <w:t>四</w:t>
      </w:r>
      <w:r>
        <w:rPr>
          <w:rFonts w:hint="eastAsia" w:ascii="仿宋" w:hAnsi="仿宋" w:eastAsia="仿宋"/>
          <w:color w:val="000000"/>
          <w:sz w:val="32"/>
          <w:szCs w:val="32"/>
        </w:rPr>
        <w:t>）社区矫正与人民参与和促进法治室</w:t>
      </w:r>
    </w:p>
    <w:p>
      <w:pPr>
        <w:adjustRightInd w:val="0"/>
        <w:snapToGrid w:val="0"/>
        <w:spacing w:line="576"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负责人民调解、帮教安置等工作，协助人民法院做好人民陪审员推荐工作</w:t>
      </w:r>
      <w:r>
        <w:rPr>
          <w:rFonts w:hint="eastAsia" w:ascii="仿宋" w:hAnsi="仿宋" w:eastAsia="仿宋"/>
          <w:color w:val="000000"/>
          <w:sz w:val="32"/>
          <w:szCs w:val="32"/>
          <w:lang w:eastAsia="zh-CN"/>
        </w:rPr>
        <w:t>；</w:t>
      </w:r>
      <w:r>
        <w:rPr>
          <w:rFonts w:hint="eastAsia" w:ascii="仿宋" w:hAnsi="仿宋" w:eastAsia="仿宋"/>
          <w:color w:val="000000"/>
          <w:sz w:val="32"/>
          <w:szCs w:val="32"/>
        </w:rPr>
        <w:t>对以下四种罪行开展矫正工作：被判处管制的；被宣判缓刑的；被暂予监外执行的；被裁定假释的。</w:t>
      </w:r>
    </w:p>
    <w:p>
      <w:pPr>
        <w:adjustRightInd w:val="0"/>
        <w:snapToGrid w:val="0"/>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val="en-US" w:eastAsia="zh-CN"/>
        </w:rPr>
        <w:t>五</w:t>
      </w:r>
      <w:r>
        <w:rPr>
          <w:rFonts w:hint="eastAsia" w:ascii="仿宋" w:hAnsi="仿宋" w:eastAsia="仿宋"/>
          <w:color w:val="000000"/>
          <w:sz w:val="32"/>
          <w:szCs w:val="32"/>
        </w:rPr>
        <w:t>）普法与依法治理室</w:t>
      </w:r>
    </w:p>
    <w:p>
      <w:pPr>
        <w:adjustRightInd w:val="0"/>
        <w:snapToGrid w:val="0"/>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负责法制宣传教育与普及工作，协助、指导法制建设和依法治理等工作。</w:t>
      </w:r>
    </w:p>
    <w:p>
      <w:pPr>
        <w:numPr>
          <w:ilvl w:val="0"/>
          <w:numId w:val="8"/>
        </w:numPr>
        <w:adjustRightInd w:val="0"/>
        <w:snapToGrid w:val="0"/>
        <w:spacing w:line="576" w:lineRule="exact"/>
        <w:ind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法律事务与行政复议室</w:t>
      </w:r>
    </w:p>
    <w:p>
      <w:pPr>
        <w:widowControl w:val="0"/>
        <w:numPr>
          <w:ilvl w:val="0"/>
          <w:numId w:val="0"/>
        </w:numPr>
        <w:adjustRightInd w:val="0"/>
        <w:snapToGrid w:val="0"/>
        <w:spacing w:line="576"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对报请县政府审批的重大项目进行合法性审查；根据县政府指派，参与重大项目洽谈，承担县委县政府需要县司法局参与的其他涉法事项。指导全县行政复议、行政应诉、行政赔偿工作人员的培训；负责县政府行政复议、行政应诉综合工作。</w:t>
      </w:r>
    </w:p>
    <w:p>
      <w:pPr>
        <w:widowControl w:val="0"/>
        <w:numPr>
          <w:ilvl w:val="0"/>
          <w:numId w:val="0"/>
        </w:numPr>
        <w:adjustRightInd w:val="0"/>
        <w:snapToGrid w:val="0"/>
        <w:spacing w:line="576" w:lineRule="exact"/>
        <w:ind w:firstLine="640" w:firstLineChars="200"/>
        <w:jc w:val="both"/>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（七）行政执法协调监督室</w:t>
      </w:r>
    </w:p>
    <w:p>
      <w:pPr>
        <w:adjustRightInd w:val="0"/>
        <w:snapToGrid w:val="0"/>
        <w:spacing w:line="576"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负责全县行政执法的综合协调工作；指导、监督、考核全县各乡镇、县直各部门行政执法工作，推进严格规范公正文明执法</w:t>
      </w:r>
      <w:r>
        <w:rPr>
          <w:rFonts w:hint="eastAsia" w:ascii="仿宋" w:hAnsi="仿宋" w:eastAsia="仿宋"/>
          <w:color w:val="000000"/>
          <w:sz w:val="32"/>
          <w:szCs w:val="32"/>
          <w:lang w:eastAsia="zh-CN"/>
        </w:rPr>
        <w:t>。</w:t>
      </w:r>
    </w:p>
    <w:p>
      <w:pPr>
        <w:adjustRightInd w:val="0"/>
        <w:snapToGrid w:val="0"/>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val="en-US" w:eastAsia="zh-CN"/>
        </w:rPr>
        <w:t>八</w:t>
      </w:r>
      <w:r>
        <w:rPr>
          <w:rFonts w:hint="eastAsia" w:ascii="仿宋" w:hAnsi="仿宋" w:eastAsia="仿宋"/>
          <w:color w:val="000000"/>
          <w:sz w:val="32"/>
          <w:szCs w:val="32"/>
        </w:rPr>
        <w:t>）司法所</w:t>
      </w:r>
    </w:p>
    <w:p>
      <w:pPr>
        <w:adjustRightInd w:val="0"/>
        <w:snapToGrid w:val="0"/>
        <w:spacing w:line="576"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负责乡镇的法制宣传、法律服务、人民调解、帮教安置、社区矫正等工作。</w:t>
      </w:r>
    </w:p>
    <w:p>
      <w:pPr>
        <w:adjustRightInd w:val="0"/>
        <w:snapToGrid w:val="0"/>
        <w:spacing w:line="576" w:lineRule="exact"/>
        <w:rPr>
          <w:rFonts w:hint="eastAsia" w:ascii="仿宋" w:hAnsi="仿宋" w:eastAsia="仿宋"/>
          <w:color w:val="000000"/>
          <w:sz w:val="32"/>
          <w:szCs w:val="32"/>
        </w:rPr>
      </w:pPr>
    </w:p>
    <w:p>
      <w:pPr>
        <w:ind w:left="800"/>
        <w:jc w:val="cente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cs="仿宋_GB2312"/>
          <w:sz w:val="32"/>
          <w:szCs w:val="32"/>
        </w:rPr>
        <w:t>白沙黎族自治县司法局</w:t>
      </w:r>
      <w:r>
        <w:rPr>
          <w:rFonts w:ascii="仿宋_GB2312" w:hAnsi="黑体" w:eastAsia="仿宋_GB2312" w:cs="仿宋_GB2312"/>
          <w:sz w:val="32"/>
          <w:szCs w:val="32"/>
        </w:rPr>
        <w:t>2019</w:t>
      </w:r>
      <w:r>
        <w:rPr>
          <w:rFonts w:hint="eastAsia" w:ascii="黑体" w:hAnsi="黑体" w:eastAsia="黑体"/>
          <w:sz w:val="32"/>
          <w:szCs w:val="32"/>
        </w:rPr>
        <w:t>年部门预算表</w:t>
      </w:r>
    </w:p>
    <w:p>
      <w:pPr>
        <w:ind w:left="800"/>
        <w:jc w:val="center"/>
        <w:rPr>
          <w:rFonts w:hint="eastAsia" w:ascii="仿宋_GB2312" w:hAnsi="黑体" w:eastAsia="仿宋_GB2312"/>
          <w:b/>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rPr>
        <w:t>（此部分内容即为部门预算公开表）</w:t>
      </w:r>
    </w:p>
    <w:p>
      <w:pPr>
        <w:ind w:left="800"/>
        <w:jc w:val="center"/>
        <w:rPr>
          <w:rFonts w:hint="eastAsia" w:ascii="仿宋_GB2312" w:hAnsi="黑体" w:eastAsia="仿宋_GB2312"/>
          <w:b/>
          <w:sz w:val="32"/>
          <w:szCs w:val="32"/>
        </w:rPr>
      </w:pPr>
    </w:p>
    <w:p>
      <w:pPr>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cs="仿宋_GB2312"/>
          <w:sz w:val="32"/>
          <w:szCs w:val="32"/>
        </w:rPr>
        <w:t>白沙黎族自治县司法局</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color w:val="auto"/>
          <w:sz w:val="32"/>
          <w:szCs w:val="32"/>
        </w:rPr>
      </w:pPr>
      <w:r>
        <w:rPr>
          <w:rFonts w:hint="eastAsia" w:ascii="黑体" w:hAnsi="黑体" w:eastAsia="黑体"/>
          <w:sz w:val="32"/>
          <w:szCs w:val="32"/>
        </w:rPr>
        <w:t>一、关于</w:t>
      </w:r>
      <w:r>
        <w:rPr>
          <w:rFonts w:hint="eastAsia" w:ascii="黑体" w:hAnsi="黑体" w:eastAsia="黑体" w:cs="仿宋_GB2312"/>
          <w:sz w:val="32"/>
          <w:szCs w:val="32"/>
        </w:rPr>
        <w:t>白沙黎族自治县司法局</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年财政拨款收支</w:t>
      </w:r>
      <w:r>
        <w:rPr>
          <w:rFonts w:hint="eastAsia" w:ascii="黑体" w:hAnsi="黑体" w:eastAsia="黑体"/>
          <w:color w:val="auto"/>
          <w:sz w:val="32"/>
          <w:szCs w:val="32"/>
        </w:rPr>
        <w:t>预算情况的总体说明</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白沙黎族自治县司法局</w:t>
      </w:r>
      <w:r>
        <w:rPr>
          <w:rFonts w:hint="eastAsia" w:ascii="仿宋_GB2312" w:hAnsi="黑体" w:eastAsia="仿宋_GB2312"/>
          <w:color w:val="auto"/>
          <w:sz w:val="32"/>
          <w:szCs w:val="32"/>
          <w:lang w:val="en-US" w:eastAsia="zh-CN"/>
        </w:rPr>
        <w:t>2020</w:t>
      </w:r>
      <w:r>
        <w:rPr>
          <w:rFonts w:hint="eastAsia" w:ascii="仿宋_GB2312" w:hAnsi="黑体" w:eastAsia="仿宋_GB2312"/>
          <w:color w:val="auto"/>
          <w:sz w:val="32"/>
          <w:szCs w:val="32"/>
        </w:rPr>
        <w:t>年财政拨款收支总预算</w:t>
      </w:r>
      <w:r>
        <w:rPr>
          <w:rFonts w:hint="eastAsia" w:ascii="仿宋_GB2312" w:hAnsi="黑体" w:eastAsia="仿宋_GB2312" w:cs="仿宋_GB2312"/>
          <w:color w:val="auto"/>
          <w:sz w:val="32"/>
          <w:szCs w:val="32"/>
          <w:lang w:val="en-US" w:eastAsia="zh-CN"/>
        </w:rPr>
        <w:t>2160.57</w:t>
      </w:r>
      <w:r>
        <w:rPr>
          <w:rFonts w:hint="eastAsia" w:ascii="仿宋_GB2312" w:hAnsi="黑体" w:eastAsia="仿宋_GB2312"/>
          <w:color w:val="auto"/>
          <w:sz w:val="32"/>
          <w:szCs w:val="32"/>
        </w:rPr>
        <w:t>万元。其中，收入总计</w:t>
      </w:r>
      <w:r>
        <w:rPr>
          <w:rFonts w:hint="eastAsia" w:ascii="仿宋_GB2312" w:hAnsi="黑体" w:eastAsia="仿宋_GB2312" w:cs="仿宋_GB2312"/>
          <w:color w:val="auto"/>
          <w:sz w:val="32"/>
          <w:szCs w:val="32"/>
          <w:lang w:val="en-US" w:eastAsia="zh-CN"/>
        </w:rPr>
        <w:t>2160.57</w:t>
      </w:r>
      <w:r>
        <w:rPr>
          <w:rFonts w:hint="eastAsia" w:ascii="仿宋_GB2312" w:hAnsi="黑体" w:eastAsia="仿宋_GB2312"/>
          <w:color w:val="auto"/>
          <w:sz w:val="32"/>
          <w:szCs w:val="32"/>
        </w:rPr>
        <w:t>万元，包括一般公共预算本年收入</w:t>
      </w:r>
      <w:r>
        <w:rPr>
          <w:rFonts w:hint="eastAsia" w:ascii="仿宋_GB2312" w:hAnsi="黑体" w:eastAsia="仿宋_GB2312" w:cs="仿宋_GB2312"/>
          <w:color w:val="auto"/>
          <w:sz w:val="32"/>
          <w:szCs w:val="32"/>
          <w:lang w:val="en-US" w:eastAsia="zh-CN"/>
        </w:rPr>
        <w:t>2160.5</w:t>
      </w:r>
      <w:r>
        <w:rPr>
          <w:rFonts w:hint="eastAsia" w:ascii="仿宋_GB2312" w:hAnsi="黑体" w:eastAsia="仿宋_GB2312"/>
          <w:color w:val="auto"/>
          <w:sz w:val="32"/>
          <w:szCs w:val="32"/>
        </w:rPr>
        <w:t>万元、上年结转0万元，政府性基金预算本年收入0万元、上年结转0万元；支出总计</w:t>
      </w:r>
      <w:r>
        <w:rPr>
          <w:rFonts w:hint="eastAsia" w:ascii="仿宋_GB2312" w:hAnsi="黑体" w:eastAsia="仿宋_GB2312" w:cs="仿宋_GB2312"/>
          <w:color w:val="auto"/>
          <w:sz w:val="32"/>
          <w:szCs w:val="32"/>
          <w:lang w:val="en-US" w:eastAsia="zh-CN"/>
        </w:rPr>
        <w:t>2160.57</w:t>
      </w:r>
      <w:r>
        <w:rPr>
          <w:rFonts w:hint="eastAsia" w:ascii="仿宋_GB2312" w:hAnsi="黑体" w:eastAsia="仿宋_GB2312"/>
          <w:color w:val="auto"/>
          <w:sz w:val="32"/>
          <w:szCs w:val="32"/>
        </w:rPr>
        <w:t>万元，包括公共安全支出</w:t>
      </w:r>
      <w:r>
        <w:rPr>
          <w:rFonts w:hint="eastAsia" w:ascii="仿宋_GB2312" w:hAnsi="黑体" w:eastAsia="仿宋_GB2312" w:cs="仿宋_GB2312"/>
          <w:color w:val="auto"/>
          <w:sz w:val="32"/>
          <w:szCs w:val="32"/>
          <w:lang w:val="en-US" w:eastAsia="zh-CN"/>
        </w:rPr>
        <w:t>2018.1</w:t>
      </w:r>
      <w:r>
        <w:rPr>
          <w:rFonts w:hint="eastAsia" w:ascii="仿宋_GB2312" w:hAnsi="黑体" w:eastAsia="仿宋_GB2312"/>
          <w:color w:val="auto"/>
          <w:sz w:val="32"/>
          <w:szCs w:val="32"/>
        </w:rPr>
        <w:t>万元、社会保障和就业支出</w:t>
      </w:r>
      <w:r>
        <w:rPr>
          <w:rFonts w:hint="eastAsia" w:ascii="仿宋_GB2312" w:hAnsi="黑体" w:eastAsia="仿宋_GB2312"/>
          <w:color w:val="auto"/>
          <w:sz w:val="32"/>
          <w:szCs w:val="32"/>
          <w:lang w:val="en-US" w:eastAsia="zh-CN"/>
        </w:rPr>
        <w:t>53.68</w:t>
      </w:r>
      <w:r>
        <w:rPr>
          <w:rFonts w:hint="eastAsia" w:ascii="仿宋_GB2312" w:hAnsi="黑体" w:eastAsia="仿宋_GB2312"/>
          <w:color w:val="auto"/>
          <w:sz w:val="32"/>
          <w:szCs w:val="32"/>
        </w:rPr>
        <w:t>万元、卫生健康支出</w:t>
      </w:r>
      <w:r>
        <w:rPr>
          <w:rFonts w:hint="eastAsia" w:ascii="仿宋_GB2312" w:hAnsi="黑体" w:eastAsia="仿宋_GB2312"/>
          <w:color w:val="auto"/>
          <w:sz w:val="32"/>
          <w:szCs w:val="32"/>
          <w:lang w:val="en-US" w:eastAsia="zh-CN"/>
        </w:rPr>
        <w:t>52.75</w:t>
      </w:r>
      <w:r>
        <w:rPr>
          <w:rFonts w:hint="eastAsia" w:ascii="仿宋_GB2312" w:hAnsi="黑体" w:eastAsia="仿宋_GB2312"/>
          <w:color w:val="auto"/>
          <w:sz w:val="32"/>
          <w:szCs w:val="32"/>
        </w:rPr>
        <w:t>万元、住房保障支出</w:t>
      </w:r>
      <w:r>
        <w:rPr>
          <w:rFonts w:hint="eastAsia" w:ascii="仿宋_GB2312" w:hAnsi="黑体" w:eastAsia="仿宋_GB2312"/>
          <w:color w:val="auto"/>
          <w:sz w:val="32"/>
          <w:szCs w:val="32"/>
          <w:lang w:val="en-US" w:eastAsia="zh-CN"/>
        </w:rPr>
        <w:t>36.05</w:t>
      </w:r>
      <w:r>
        <w:rPr>
          <w:rFonts w:hint="eastAsia" w:ascii="仿宋_GB2312" w:hAnsi="黑体" w:eastAsia="仿宋_GB2312"/>
          <w:color w:val="auto"/>
          <w:sz w:val="32"/>
          <w:szCs w:val="32"/>
        </w:rPr>
        <w:t>万元，结转下年0万元。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白沙黎族自治县司法局</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sz w:val="32"/>
          <w:szCs w:val="32"/>
        </w:rPr>
        <w:t>白沙黎族自治县司法局</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年一般公共预算当年拨款</w:t>
      </w:r>
      <w:r>
        <w:rPr>
          <w:rFonts w:hint="eastAsia" w:ascii="仿宋_GB2312" w:hAnsi="黑体" w:eastAsia="仿宋_GB2312" w:cs="仿宋_GB2312"/>
          <w:color w:val="auto"/>
          <w:sz w:val="32"/>
          <w:szCs w:val="32"/>
          <w:lang w:val="en-US" w:eastAsia="zh-CN"/>
        </w:rPr>
        <w:t>2160.5</w:t>
      </w:r>
      <w:r>
        <w:rPr>
          <w:rFonts w:hint="eastAsia" w:ascii="仿宋_GB2312" w:hAnsi="黑体" w:eastAsia="仿宋_GB2312"/>
          <w:color w:val="auto"/>
          <w:sz w:val="32"/>
          <w:szCs w:val="32"/>
        </w:rPr>
        <w:t>万元，比上年预算数增加</w:t>
      </w:r>
      <w:r>
        <w:rPr>
          <w:rFonts w:hint="eastAsia" w:ascii="仿宋_GB2312" w:hAnsi="黑体" w:eastAsia="仿宋_GB2312"/>
          <w:color w:val="auto"/>
          <w:sz w:val="32"/>
          <w:szCs w:val="32"/>
          <w:lang w:val="en-US" w:eastAsia="zh-CN"/>
        </w:rPr>
        <w:t>1224.7</w:t>
      </w:r>
      <w:r>
        <w:rPr>
          <w:rFonts w:hint="eastAsia" w:ascii="仿宋_GB2312" w:hAnsi="黑体" w:eastAsia="仿宋_GB2312"/>
          <w:color w:val="auto"/>
          <w:sz w:val="32"/>
          <w:szCs w:val="32"/>
        </w:rPr>
        <w:t>万元，主要是公共安全支出增加和住房保障支出增加。</w:t>
      </w:r>
    </w:p>
    <w:p>
      <w:pPr>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公共安全支出</w:t>
      </w:r>
      <w:r>
        <w:rPr>
          <w:rFonts w:hint="eastAsia" w:ascii="仿宋_GB2312" w:hAnsi="黑体" w:eastAsia="仿宋_GB2312"/>
          <w:color w:val="auto"/>
          <w:sz w:val="32"/>
          <w:szCs w:val="32"/>
          <w:lang w:val="en-US" w:eastAsia="zh-CN"/>
        </w:rPr>
        <w:t>2018.1</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 xml:space="preserve"> 93.4</w:t>
      </w:r>
      <w:r>
        <w:rPr>
          <w:rFonts w:hint="eastAsia" w:ascii="仿宋_GB2312" w:hAnsi="黑体" w:eastAsia="仿宋_GB2312"/>
          <w:color w:val="auto"/>
          <w:sz w:val="32"/>
          <w:szCs w:val="32"/>
        </w:rPr>
        <w:t>%；社会保障和就业支出</w:t>
      </w:r>
      <w:r>
        <w:rPr>
          <w:rFonts w:hint="eastAsia" w:ascii="仿宋_GB2312" w:hAnsi="黑体" w:eastAsia="仿宋_GB2312"/>
          <w:color w:val="auto"/>
          <w:sz w:val="32"/>
          <w:szCs w:val="32"/>
          <w:lang w:val="en-US" w:eastAsia="zh-CN"/>
        </w:rPr>
        <w:t>53.68</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 xml:space="preserve">2.6 </w:t>
      </w:r>
      <w:r>
        <w:rPr>
          <w:rFonts w:hint="eastAsia" w:ascii="仿宋_GB2312" w:hAnsi="黑体" w:eastAsia="仿宋_GB2312"/>
          <w:color w:val="auto"/>
          <w:sz w:val="32"/>
          <w:szCs w:val="32"/>
        </w:rPr>
        <w:t>%；卫生健康支出</w:t>
      </w:r>
      <w:r>
        <w:rPr>
          <w:rFonts w:hint="eastAsia" w:ascii="仿宋_GB2312" w:hAnsi="黑体" w:eastAsia="仿宋_GB2312"/>
          <w:color w:val="auto"/>
          <w:sz w:val="32"/>
          <w:szCs w:val="32"/>
          <w:lang w:val="en-US" w:eastAsia="zh-CN"/>
        </w:rPr>
        <w:t>52.75</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 xml:space="preserve">2.5 </w:t>
      </w:r>
      <w:r>
        <w:rPr>
          <w:rFonts w:hint="eastAsia" w:ascii="仿宋_GB2312" w:hAnsi="黑体" w:eastAsia="仿宋_GB2312"/>
          <w:color w:val="auto"/>
          <w:sz w:val="32"/>
          <w:szCs w:val="32"/>
        </w:rPr>
        <w:t>%；住房保障支出30.1万元，占</w:t>
      </w:r>
      <w:r>
        <w:rPr>
          <w:rFonts w:hint="eastAsia" w:ascii="仿宋_GB2312" w:hAnsi="黑体" w:eastAsia="仿宋_GB2312"/>
          <w:color w:val="auto"/>
          <w:sz w:val="32"/>
          <w:szCs w:val="32"/>
          <w:lang w:val="en-US" w:eastAsia="zh-CN"/>
        </w:rPr>
        <w:t>1.5</w:t>
      </w:r>
      <w:r>
        <w:rPr>
          <w:rFonts w:hint="eastAsia" w:ascii="仿宋_GB2312" w:hAnsi="黑体" w:eastAsia="仿宋_GB2312"/>
          <w:color w:val="auto"/>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1.一般公共服务（类）人大事务（款）行政运行（项）</w:t>
      </w:r>
      <w:r>
        <w:rPr>
          <w:rFonts w:hint="eastAsia" w:ascii="仿宋_GB2312" w:hAnsi="黑体" w:eastAsia="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611.7</w:t>
      </w:r>
      <w:r>
        <w:rPr>
          <w:rFonts w:hint="eastAsia" w:ascii="仿宋_GB2312" w:hAnsi="黑体" w:eastAsia="仿宋_GB2312"/>
          <w:color w:val="auto"/>
          <w:sz w:val="32"/>
          <w:szCs w:val="32"/>
        </w:rPr>
        <w:t>万元，比上年预算数增加</w:t>
      </w:r>
      <w:r>
        <w:rPr>
          <w:rFonts w:hint="eastAsia" w:ascii="仿宋_GB2312" w:hAnsi="黑体" w:eastAsia="仿宋_GB2312"/>
          <w:color w:val="auto"/>
          <w:sz w:val="32"/>
          <w:szCs w:val="32"/>
          <w:lang w:val="en-US" w:eastAsia="zh-CN"/>
        </w:rPr>
        <w:t>129</w:t>
      </w:r>
      <w:r>
        <w:rPr>
          <w:rFonts w:hint="eastAsia" w:ascii="仿宋_GB2312" w:hAnsi="黑体" w:eastAsia="仿宋_GB2312"/>
          <w:color w:val="auto"/>
          <w:sz w:val="32"/>
          <w:szCs w:val="32"/>
        </w:rPr>
        <w:t>万元，主要是业务工作增加和人员工资支出增加。</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2. 一般公共服务（类）人大事务（款）一般行政管理事务（项）</w:t>
      </w:r>
      <w:r>
        <w:rPr>
          <w:rFonts w:hint="eastAsia" w:ascii="仿宋_GB2312" w:hAnsi="黑体" w:eastAsia="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1399.9</w:t>
      </w:r>
      <w:r>
        <w:rPr>
          <w:rFonts w:hint="eastAsia" w:ascii="仿宋_GB2312" w:hAnsi="黑体" w:eastAsia="仿宋_GB2312"/>
          <w:color w:val="auto"/>
          <w:sz w:val="32"/>
          <w:szCs w:val="32"/>
        </w:rPr>
        <w:t>万元，比上年预算数增加</w:t>
      </w:r>
      <w:r>
        <w:rPr>
          <w:rFonts w:hint="eastAsia" w:ascii="仿宋_GB2312" w:hAnsi="黑体" w:eastAsia="仿宋_GB2312"/>
          <w:color w:val="auto"/>
          <w:sz w:val="32"/>
          <w:szCs w:val="32"/>
          <w:lang w:val="en-US" w:eastAsia="zh-CN"/>
        </w:rPr>
        <w:t>1108.5</w:t>
      </w:r>
      <w:r>
        <w:rPr>
          <w:rFonts w:hint="eastAsia" w:ascii="仿宋_GB2312" w:hAnsi="黑体" w:eastAsia="仿宋_GB2312"/>
          <w:color w:val="auto"/>
          <w:sz w:val="32"/>
          <w:szCs w:val="32"/>
        </w:rPr>
        <w:t>万元，主要是，主要是增加了法律援助、社区矫正、人民调解等部门支出。</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仿宋_GB2312"/>
          <w:sz w:val="32"/>
          <w:szCs w:val="32"/>
        </w:rPr>
        <w:t>白沙黎族自治县司法局</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年一般公共预算基本支出情况说明</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白沙黎族自治县司法局</w:t>
      </w:r>
      <w:r>
        <w:rPr>
          <w:rFonts w:hint="eastAsia" w:ascii="仿宋_GB2312" w:hAnsi="黑体" w:eastAsia="仿宋_GB2312"/>
          <w:color w:val="auto"/>
          <w:sz w:val="32"/>
          <w:szCs w:val="32"/>
          <w:lang w:val="en-US" w:eastAsia="zh-CN"/>
        </w:rPr>
        <w:t>2020</w:t>
      </w:r>
      <w:r>
        <w:rPr>
          <w:rFonts w:hint="eastAsia" w:ascii="仿宋_GB2312" w:hAnsi="黑体" w:eastAsia="仿宋_GB2312"/>
          <w:color w:val="auto"/>
          <w:sz w:val="32"/>
          <w:szCs w:val="32"/>
        </w:rPr>
        <w:t>年一般公共预算基本支出为</w:t>
      </w:r>
      <w:r>
        <w:rPr>
          <w:rFonts w:hint="eastAsia" w:ascii="仿宋_GB2312" w:hAnsi="黑体" w:eastAsia="仿宋_GB2312"/>
          <w:color w:val="auto"/>
          <w:sz w:val="32"/>
          <w:szCs w:val="32"/>
          <w:lang w:val="en-US" w:eastAsia="zh-CN"/>
        </w:rPr>
        <w:t>754.17</w:t>
      </w:r>
      <w:r>
        <w:rPr>
          <w:rFonts w:hint="eastAsia" w:ascii="仿宋_GB2312" w:hAnsi="黑体" w:eastAsia="仿宋_GB2312"/>
          <w:color w:val="auto"/>
          <w:sz w:val="32"/>
          <w:szCs w:val="32"/>
        </w:rPr>
        <w:t>万元，其中：</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人员经费</w:t>
      </w:r>
      <w:r>
        <w:rPr>
          <w:rFonts w:hint="eastAsia" w:ascii="仿宋_GB2312" w:hAnsi="黑体" w:eastAsia="仿宋_GB2312"/>
          <w:color w:val="auto"/>
          <w:sz w:val="32"/>
          <w:szCs w:val="32"/>
          <w:lang w:val="en-US" w:eastAsia="zh-CN"/>
        </w:rPr>
        <w:t>666.46</w:t>
      </w:r>
      <w:r>
        <w:rPr>
          <w:rFonts w:hint="eastAsia" w:ascii="仿宋_GB2312" w:hAnsi="黑体" w:eastAsia="仿宋_GB2312"/>
          <w:color w:val="auto"/>
          <w:sz w:val="32"/>
          <w:szCs w:val="32"/>
        </w:rPr>
        <w:t>万元，主要包括：基本工资、津贴补贴、奖金、绩效工资、机关事业单位基本养老保险缴费、职业年金缴费、城镇职工基本医疗保险缴费、公务员医疗补助缴费、其他社会保障缴费、医疗费、住房公积金、其他工资福利支出、生活补助、奖励金。</w:t>
      </w:r>
    </w:p>
    <w:p>
      <w:pPr>
        <w:ind w:firstLine="640" w:firstLineChars="200"/>
        <w:jc w:val="left"/>
        <w:rPr>
          <w:rFonts w:ascii="仿宋_GB2312" w:hAnsi="黑体" w:eastAsia="仿宋_GB2312"/>
          <w:color w:val="FF0000"/>
          <w:sz w:val="32"/>
          <w:szCs w:val="32"/>
        </w:rPr>
      </w:pPr>
      <w:r>
        <w:rPr>
          <w:rFonts w:hint="eastAsia" w:ascii="仿宋_GB2312" w:hAnsi="黑体" w:eastAsia="仿宋_GB2312"/>
          <w:color w:val="auto"/>
          <w:sz w:val="32"/>
          <w:szCs w:val="32"/>
        </w:rPr>
        <w:t>公用经费</w:t>
      </w:r>
      <w:r>
        <w:rPr>
          <w:rFonts w:hint="eastAsia" w:ascii="仿宋_GB2312" w:hAnsi="黑体" w:eastAsia="仿宋_GB2312"/>
          <w:color w:val="auto"/>
          <w:sz w:val="32"/>
          <w:szCs w:val="32"/>
          <w:lang w:val="en-US" w:eastAsia="zh-CN"/>
        </w:rPr>
        <w:t>87.71</w:t>
      </w:r>
      <w:r>
        <w:rPr>
          <w:rFonts w:hint="eastAsia" w:ascii="仿宋_GB2312" w:hAnsi="黑体" w:eastAsia="仿宋_GB2312"/>
          <w:color w:val="auto"/>
          <w:sz w:val="32"/>
          <w:szCs w:val="32"/>
        </w:rPr>
        <w:t>万元，主要包括：办公费、咨询费、手续费、水费、电费、邮电费、</w:t>
      </w:r>
      <w:r>
        <w:rPr>
          <w:rFonts w:hint="eastAsia" w:ascii="仿宋_GB2312" w:hAnsi="黑体" w:eastAsia="仿宋_GB2312"/>
          <w:sz w:val="32"/>
          <w:szCs w:val="32"/>
        </w:rPr>
        <w:t>差旅费、维修费、租赁费、培训费、公务接待费、公务用车运行维护费、办公设备购置。</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四、</w:t>
      </w:r>
      <w:r>
        <w:rPr>
          <w:rFonts w:hint="eastAsia" w:ascii="黑体" w:hAnsi="黑体" w:eastAsia="黑体" w:cs="仿宋_GB2312"/>
          <w:sz w:val="32"/>
          <w:szCs w:val="32"/>
        </w:rPr>
        <w:t>白沙黎族自治县司法局</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w:t>
      </w:r>
      <w:r>
        <w:rPr>
          <w:rFonts w:hint="eastAsia" w:ascii="黑体" w:hAnsi="黑体" w:eastAsia="黑体"/>
          <w:sz w:val="32"/>
          <w:shd w:val="clear" w:color="auto" w:fill="FFFFFF"/>
        </w:rPr>
        <w:t>“三公”经费预算情况说明</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白沙黎族自治县司法局</w:t>
      </w:r>
      <w:r>
        <w:rPr>
          <w:rFonts w:hint="eastAsia" w:ascii="仿宋_GB2312" w:hAnsi="黑体" w:eastAsia="仿宋_GB2312"/>
          <w:color w:val="auto"/>
          <w:sz w:val="32"/>
          <w:szCs w:val="32"/>
          <w:lang w:val="en-US" w:eastAsia="zh-CN"/>
        </w:rPr>
        <w:t>2020</w:t>
      </w:r>
      <w:r>
        <w:rPr>
          <w:rFonts w:hint="eastAsia" w:ascii="仿宋_GB2312" w:hAnsi="黑体" w:eastAsia="仿宋_GB2312"/>
          <w:color w:val="auto"/>
          <w:sz w:val="32"/>
          <w:szCs w:val="32"/>
        </w:rPr>
        <w:t>年“三公”经费预算数为7.1万元，其中：</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 xml:space="preserve">    因公出国（境）经费0万元，与上年预算持平。</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公务用车购置及运行费4.6万元（其中，公务用车购置费0万元，公务用车运行费4.6万元），与上年预算持平</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公务接待费2.5万元，与上年预算持平。</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五、关于</w:t>
      </w:r>
      <w:r>
        <w:rPr>
          <w:rFonts w:hint="eastAsia" w:ascii="黑体" w:hAnsi="黑体" w:eastAsia="黑体"/>
          <w:sz w:val="32"/>
          <w:szCs w:val="32"/>
        </w:rPr>
        <w:t>白沙黎族自治县司法局</w:t>
      </w:r>
      <w:r>
        <w:rPr>
          <w:rFonts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hd w:val="clear" w:color="auto" w:fill="FFFFFF"/>
        </w:rPr>
        <w:t>年政府性基金预算当年拨款情况说明</w:t>
      </w:r>
    </w:p>
    <w:p>
      <w:pPr>
        <w:ind w:firstLine="640" w:firstLineChars="200"/>
        <w:rPr>
          <w:rFonts w:ascii="黑体" w:hAnsi="黑体" w:eastAsia="黑体"/>
          <w:sz w:val="32"/>
          <w:shd w:val="clear" w:color="auto" w:fill="FFFFFF"/>
        </w:rPr>
      </w:pPr>
      <w:r>
        <w:rPr>
          <w:rFonts w:hint="eastAsia" w:ascii="Times New Roman" w:hAnsi="Times New Roman" w:eastAsia="仿宋_GB2312"/>
          <w:sz w:val="32"/>
          <w:shd w:val="clear" w:color="auto" w:fill="FFFFFF"/>
        </w:rPr>
        <w:t>我单位没有安排此项预算。</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六、关于</w:t>
      </w:r>
      <w:r>
        <w:rPr>
          <w:rFonts w:hint="eastAsia" w:ascii="黑体" w:hAnsi="黑体" w:eastAsia="黑体"/>
          <w:sz w:val="32"/>
          <w:szCs w:val="32"/>
        </w:rPr>
        <w:t>白沙黎族自治县司法局</w:t>
      </w:r>
      <w:r>
        <w:rPr>
          <w:rFonts w:hint="eastAsia" w:ascii="黑体" w:hAnsi="黑体" w:eastAsia="黑体"/>
          <w:sz w:val="32"/>
          <w:szCs w:val="32"/>
          <w:lang w:val="en-US" w:eastAsia="zh-CN"/>
        </w:rPr>
        <w:t>2020</w:t>
      </w:r>
      <w:r>
        <w:rPr>
          <w:rFonts w:hint="eastAsia" w:ascii="黑体" w:hAnsi="黑体" w:eastAsia="黑体"/>
          <w:sz w:val="32"/>
          <w:shd w:val="clear" w:color="auto" w:fill="FFFFFF"/>
        </w:rPr>
        <w:t>年收支预算情况的总体说明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按照综合预算原则，白沙黎族自治县司法局</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2020</w:t>
      </w:r>
      <w:r>
        <w:rPr>
          <w:rFonts w:hint="eastAsia" w:ascii="仿宋_GB2312" w:hAnsi="黑体" w:eastAsia="仿宋_GB2312"/>
          <w:color w:val="000000" w:themeColor="text1"/>
          <w:sz w:val="32"/>
          <w:szCs w:val="32"/>
          <w14:textFill>
            <w14:solidFill>
              <w14:schemeClr w14:val="tx1"/>
            </w14:solidFill>
          </w14:textFill>
        </w:rPr>
        <w:t>年</w:t>
      </w:r>
      <w:r>
        <w:rPr>
          <w:rFonts w:hint="eastAsia" w:ascii="仿宋_GB2312" w:hAnsi="黑体" w:eastAsia="仿宋_GB2312" w:cs="仿宋_GB2312"/>
          <w:color w:val="000000" w:themeColor="text1"/>
          <w:sz w:val="32"/>
          <w:szCs w:val="32"/>
          <w14:textFill>
            <w14:solidFill>
              <w14:schemeClr w14:val="tx1"/>
            </w14:solidFill>
          </w14:textFill>
        </w:rPr>
        <w:t>所有收入和支出均纳入部门预算管理。收入包括：</w:t>
      </w:r>
      <w:r>
        <w:rPr>
          <w:rFonts w:hint="eastAsia" w:ascii="仿宋_GB2312" w:hAnsi="黑体" w:eastAsia="仿宋_GB2312" w:cs="仿宋_GB2312"/>
          <w:color w:val="000000" w:themeColor="text1"/>
          <w:sz w:val="32"/>
          <w:szCs w:val="32"/>
          <w:lang w:eastAsia="zh-CN"/>
          <w14:textFill>
            <w14:solidFill>
              <w14:schemeClr w14:val="tx1"/>
            </w14:solidFill>
          </w14:textFill>
        </w:rPr>
        <w:t>一般公共预算</w:t>
      </w:r>
      <w:r>
        <w:rPr>
          <w:rFonts w:hint="eastAsia" w:ascii="仿宋_GB2312" w:hAnsi="黑体" w:eastAsia="仿宋_GB2312" w:cs="仿宋_GB2312"/>
          <w:color w:val="000000" w:themeColor="text1"/>
          <w:sz w:val="32"/>
          <w:szCs w:val="32"/>
          <w14:textFill>
            <w14:solidFill>
              <w14:schemeClr w14:val="tx1"/>
            </w14:solidFill>
          </w14:textFill>
        </w:rPr>
        <w:t>收入，</w:t>
      </w:r>
      <w:r>
        <w:rPr>
          <w:rFonts w:hint="eastAsia" w:ascii="仿宋_GB2312" w:hAnsi="黑体" w:eastAsia="仿宋_GB2312"/>
          <w:color w:val="000000" w:themeColor="text1"/>
          <w:sz w:val="32"/>
          <w:szCs w:val="32"/>
          <w14:textFill>
            <w14:solidFill>
              <w14:schemeClr w14:val="tx1"/>
            </w14:solidFill>
          </w14:textFill>
        </w:rPr>
        <w:t>支出包括：一般公共服务支出、公共安全支出、社会保障和就业支出、医疗卫生与计划生育支出。</w:t>
      </w:r>
      <w:r>
        <w:rPr>
          <w:rFonts w:hint="eastAsia" w:ascii="仿宋_GB2312" w:hAnsi="黑体" w:eastAsia="仿宋_GB2312" w:cs="仿宋_GB2312"/>
          <w:color w:val="000000" w:themeColor="text1"/>
          <w:sz w:val="32"/>
          <w:szCs w:val="32"/>
          <w14:textFill>
            <w14:solidFill>
              <w14:schemeClr w14:val="tx1"/>
            </w14:solidFill>
          </w14:textFill>
        </w:rPr>
        <w:t>白沙黎族自治县司法局</w:t>
      </w:r>
      <w:r>
        <w:rPr>
          <w:rFonts w:ascii="仿宋_GB2312" w:hAnsi="黑体" w:eastAsia="仿宋_GB2312" w:cs="仿宋_GB2312"/>
          <w:color w:val="000000" w:themeColor="text1"/>
          <w:sz w:val="32"/>
          <w:szCs w:val="32"/>
          <w14:textFill>
            <w14:solidFill>
              <w14:schemeClr w14:val="tx1"/>
            </w14:solidFill>
          </w14:textFill>
        </w:rPr>
        <w:t>2</w:t>
      </w:r>
      <w:r>
        <w:rPr>
          <w:rFonts w:hint="eastAsia" w:ascii="仿宋_GB2312" w:hAnsi="黑体" w:eastAsia="仿宋_GB2312" w:cs="仿宋_GB2312"/>
          <w:color w:val="000000" w:themeColor="text1"/>
          <w:sz w:val="32"/>
          <w:szCs w:val="32"/>
          <w:lang w:val="en-US" w:eastAsia="zh-CN"/>
          <w14:textFill>
            <w14:solidFill>
              <w14:schemeClr w14:val="tx1"/>
            </w14:solidFill>
          </w14:textFill>
        </w:rPr>
        <w:t>020</w:t>
      </w:r>
      <w:r>
        <w:rPr>
          <w:rFonts w:hint="eastAsia" w:ascii="仿宋_GB2312" w:hAnsi="黑体" w:eastAsia="仿宋_GB2312"/>
          <w:color w:val="000000" w:themeColor="text1"/>
          <w:sz w:val="32"/>
          <w:szCs w:val="32"/>
          <w14:textFill>
            <w14:solidFill>
              <w14:schemeClr w14:val="tx1"/>
            </w14:solidFill>
          </w14:textFill>
        </w:rPr>
        <w:t>年收支总预算</w:t>
      </w:r>
      <w:r>
        <w:rPr>
          <w:rFonts w:hint="eastAsia" w:ascii="仿宋_GB2312" w:hAnsi="黑体" w:eastAsia="仿宋_GB2312" w:cs="仿宋_GB2312"/>
          <w:color w:val="auto"/>
          <w:sz w:val="32"/>
          <w:szCs w:val="32"/>
          <w:lang w:val="en-US" w:eastAsia="zh-CN"/>
        </w:rPr>
        <w:t>2160.57</w:t>
      </w:r>
      <w:r>
        <w:rPr>
          <w:rFonts w:hint="eastAsia" w:ascii="仿宋_GB2312" w:hAnsi="黑体" w:eastAsia="仿宋_GB2312"/>
          <w:color w:val="000000" w:themeColor="text1"/>
          <w:sz w:val="32"/>
          <w:szCs w:val="32"/>
          <w14:textFill>
            <w14:solidFill>
              <w14:schemeClr w14:val="tx1"/>
            </w14:solidFill>
          </w14:textFill>
        </w:rPr>
        <w:t>万元。</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七、关于</w:t>
      </w:r>
      <w:r>
        <w:rPr>
          <w:rFonts w:hint="eastAsia" w:ascii="黑体" w:hAnsi="黑体" w:eastAsia="黑体"/>
          <w:sz w:val="32"/>
          <w:szCs w:val="32"/>
        </w:rPr>
        <w:t>白沙黎族自治县司法局</w:t>
      </w:r>
      <w:r>
        <w:rPr>
          <w:rFonts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hd w:val="clear" w:color="auto" w:fill="FFFFFF"/>
        </w:rPr>
        <w:t>年收入预算情况说明</w:t>
      </w:r>
    </w:p>
    <w:p>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白沙黎族自治县司法局</w:t>
      </w:r>
      <w:r>
        <w:rPr>
          <w:rFonts w:hint="eastAsia" w:ascii="仿宋_GB2312" w:hAnsi="黑体" w:eastAsia="仿宋_GB2312"/>
          <w:color w:val="auto"/>
          <w:sz w:val="32"/>
          <w:szCs w:val="32"/>
          <w:lang w:val="en-US" w:eastAsia="zh-CN"/>
        </w:rPr>
        <w:t>2020</w:t>
      </w:r>
      <w:r>
        <w:rPr>
          <w:rFonts w:hint="eastAsia" w:ascii="仿宋_GB2312" w:hAnsi="黑体" w:eastAsia="仿宋_GB2312"/>
          <w:color w:val="auto"/>
          <w:sz w:val="32"/>
          <w:szCs w:val="32"/>
        </w:rPr>
        <w:t>年收入预算</w:t>
      </w:r>
      <w:r>
        <w:rPr>
          <w:rFonts w:hint="eastAsia" w:ascii="仿宋_GB2312" w:hAnsi="黑体" w:eastAsia="仿宋_GB2312" w:cs="仿宋_GB2312"/>
          <w:color w:val="auto"/>
          <w:sz w:val="32"/>
          <w:szCs w:val="32"/>
          <w:lang w:val="en-US" w:eastAsia="zh-CN"/>
        </w:rPr>
        <w:t>2160.57</w:t>
      </w:r>
      <w:r>
        <w:rPr>
          <w:rFonts w:hint="eastAsia" w:ascii="仿宋_GB2312" w:hAnsi="黑体" w:eastAsia="仿宋_GB2312"/>
          <w:color w:val="auto"/>
          <w:sz w:val="32"/>
          <w:szCs w:val="32"/>
        </w:rPr>
        <w:t>万元，其中：上年结转0万元，占0%；经费拨款收入</w:t>
      </w:r>
      <w:r>
        <w:rPr>
          <w:rFonts w:hint="eastAsia" w:ascii="仿宋_GB2312" w:hAnsi="黑体" w:eastAsia="仿宋_GB2312" w:cs="仿宋_GB2312"/>
          <w:color w:val="auto"/>
          <w:sz w:val="32"/>
          <w:szCs w:val="32"/>
          <w:lang w:val="en-US" w:eastAsia="zh-CN"/>
        </w:rPr>
        <w:t>2160.57</w:t>
      </w:r>
      <w:r>
        <w:rPr>
          <w:rFonts w:hint="eastAsia" w:ascii="仿宋_GB2312" w:hAnsi="黑体" w:eastAsia="仿宋_GB2312"/>
          <w:color w:val="auto"/>
          <w:sz w:val="32"/>
          <w:szCs w:val="32"/>
        </w:rPr>
        <w:t>万元，占100%；政府性基金收入0万元，占0%；专项收入0万元，占0%。</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八、关于</w:t>
      </w:r>
      <w:r>
        <w:rPr>
          <w:rFonts w:hint="eastAsia" w:ascii="黑体" w:hAnsi="黑体" w:eastAsia="黑体"/>
          <w:sz w:val="32"/>
          <w:szCs w:val="32"/>
        </w:rPr>
        <w:t>白沙黎族自治县司法局</w:t>
      </w:r>
      <w:r>
        <w:rPr>
          <w:rFonts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hd w:val="clear" w:color="auto" w:fill="FFFFFF"/>
        </w:rPr>
        <w:t>年支出预算情况说明</w:t>
      </w:r>
    </w:p>
    <w:p>
      <w:pPr>
        <w:ind w:firstLine="640" w:firstLineChars="200"/>
        <w:rPr>
          <w:rFonts w:ascii="仿宋_GB2312" w:hAnsi="黑体" w:eastAsia="仿宋_GB2312"/>
          <w:color w:val="FF0000"/>
          <w:sz w:val="32"/>
          <w:szCs w:val="32"/>
        </w:rPr>
      </w:pPr>
      <w:r>
        <w:rPr>
          <w:rFonts w:hint="eastAsia" w:ascii="仿宋_GB2312" w:hAnsi="黑体" w:eastAsia="仿宋_GB2312"/>
          <w:color w:val="000000" w:themeColor="text1"/>
          <w:sz w:val="32"/>
          <w:szCs w:val="32"/>
          <w14:textFill>
            <w14:solidFill>
              <w14:schemeClr w14:val="tx1"/>
            </w14:solidFill>
          </w14:textFill>
        </w:rPr>
        <w:t>白沙黎</w:t>
      </w:r>
      <w:r>
        <w:rPr>
          <w:rFonts w:hint="eastAsia" w:ascii="仿宋_GB2312" w:hAnsi="黑体" w:eastAsia="仿宋_GB2312"/>
          <w:color w:val="auto"/>
          <w:sz w:val="32"/>
          <w:szCs w:val="32"/>
        </w:rPr>
        <w:t>族自治县司法局20</w:t>
      </w:r>
      <w:r>
        <w:rPr>
          <w:rFonts w:hint="eastAsia" w:ascii="仿宋_GB2312" w:hAnsi="黑体" w:eastAsia="仿宋_GB2312"/>
          <w:color w:val="auto"/>
          <w:sz w:val="32"/>
          <w:szCs w:val="32"/>
          <w:lang w:val="en-US" w:eastAsia="zh-CN"/>
        </w:rPr>
        <w:t>20</w:t>
      </w:r>
      <w:r>
        <w:rPr>
          <w:rFonts w:hint="eastAsia" w:ascii="仿宋_GB2312" w:hAnsi="黑体" w:eastAsia="仿宋_GB2312"/>
          <w:color w:val="auto"/>
          <w:sz w:val="32"/>
          <w:szCs w:val="32"/>
        </w:rPr>
        <w:t>年支出预算</w:t>
      </w:r>
      <w:r>
        <w:rPr>
          <w:rFonts w:hint="eastAsia" w:ascii="仿宋_GB2312" w:hAnsi="黑体" w:eastAsia="仿宋_GB2312"/>
          <w:color w:val="auto"/>
          <w:sz w:val="32"/>
          <w:szCs w:val="32"/>
          <w:lang w:val="en-US" w:eastAsia="zh-CN"/>
        </w:rPr>
        <w:t>2160.57</w:t>
      </w:r>
      <w:r>
        <w:rPr>
          <w:rFonts w:hint="eastAsia" w:ascii="仿宋_GB2312" w:hAnsi="黑体" w:eastAsia="仿宋_GB2312"/>
          <w:color w:val="auto"/>
          <w:sz w:val="32"/>
          <w:szCs w:val="32"/>
        </w:rPr>
        <w:t>万元，其中：基本支出</w:t>
      </w:r>
      <w:r>
        <w:rPr>
          <w:rFonts w:hint="eastAsia" w:ascii="仿宋_GB2312" w:hAnsi="黑体" w:eastAsia="仿宋_GB2312"/>
          <w:color w:val="auto"/>
          <w:sz w:val="32"/>
          <w:szCs w:val="32"/>
          <w:lang w:val="en-US" w:eastAsia="zh-CN"/>
        </w:rPr>
        <w:t>754.17</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35%</w:t>
      </w:r>
      <w:r>
        <w:rPr>
          <w:rFonts w:hint="eastAsia" w:ascii="仿宋_GB2312" w:hAnsi="黑体" w:eastAsia="仿宋_GB2312"/>
          <w:color w:val="auto"/>
          <w:sz w:val="32"/>
          <w:szCs w:val="32"/>
        </w:rPr>
        <w:t>；项目支出</w:t>
      </w:r>
      <w:r>
        <w:rPr>
          <w:rFonts w:hint="eastAsia" w:ascii="仿宋_GB2312" w:hAnsi="黑体" w:eastAsia="仿宋_GB2312"/>
          <w:color w:val="auto"/>
          <w:sz w:val="32"/>
          <w:szCs w:val="32"/>
          <w:lang w:val="en-US" w:eastAsia="zh-CN"/>
        </w:rPr>
        <w:t>1406.4</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65</w:t>
      </w:r>
      <w:r>
        <w:rPr>
          <w:rFonts w:hint="eastAsia" w:ascii="仿宋_GB2312" w:hAnsi="黑体" w:eastAsia="仿宋_GB2312"/>
          <w:color w:val="auto"/>
          <w:sz w:val="32"/>
          <w:szCs w:val="32"/>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w:t>
      </w:r>
      <w:r>
        <w:rPr>
          <w:rFonts w:hint="eastAsia" w:ascii="仿宋_GB2312" w:hAnsi="黑体" w:eastAsia="仿宋_GB2312" w:cs="仿宋_GB2312"/>
          <w:sz w:val="32"/>
          <w:szCs w:val="32"/>
        </w:rPr>
        <w:t>白沙黎族自治县司法局本级的机关运行经费预算</w:t>
      </w:r>
      <w:bookmarkStart w:id="0" w:name="_GoBack"/>
      <w:r>
        <w:rPr>
          <w:rFonts w:ascii="仿宋_GB2312" w:hAnsi="黑体" w:eastAsia="仿宋_GB2312" w:cs="仿宋_GB2312"/>
          <w:color w:val="auto"/>
          <w:sz w:val="32"/>
          <w:szCs w:val="32"/>
        </w:rPr>
        <w:t>938.79</w:t>
      </w:r>
      <w:r>
        <w:rPr>
          <w:rFonts w:hint="eastAsia" w:ascii="仿宋_GB2312" w:hAnsi="黑体" w:eastAsia="仿宋_GB2312"/>
          <w:color w:val="auto"/>
          <w:sz w:val="32"/>
          <w:szCs w:val="32"/>
        </w:rPr>
        <w:t>万</w:t>
      </w:r>
      <w:bookmarkEnd w:id="0"/>
      <w:r>
        <w:rPr>
          <w:rFonts w:hint="eastAsia" w:ascii="仿宋_GB2312" w:hAnsi="黑体" w:eastAsia="仿宋_GB2312"/>
          <w:sz w:val="32"/>
          <w:szCs w:val="32"/>
        </w:rPr>
        <w:t>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firstLineChars="200"/>
        <w:rPr>
          <w:rFonts w:ascii="楷体" w:hAnsi="楷体" w:eastAsia="楷体"/>
          <w:sz w:val="32"/>
          <w:szCs w:val="32"/>
        </w:rPr>
      </w:pPr>
      <w:r>
        <w:rPr>
          <w:rFonts w:hint="eastAsia" w:ascii="Times New Roman" w:hAnsi="Times New Roman" w:eastAsia="仿宋_GB2312"/>
          <w:sz w:val="32"/>
          <w:shd w:val="clear" w:color="auto" w:fill="FFFFFF"/>
        </w:rPr>
        <w:t>我单位没有安排此项预算</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截至</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19</w:t>
      </w:r>
      <w:r>
        <w:rPr>
          <w:rFonts w:hint="eastAsia" w:ascii="仿宋_GB2312" w:hAnsi="黑体" w:eastAsia="仿宋_GB2312"/>
          <w:color w:val="auto"/>
          <w:sz w:val="32"/>
          <w:szCs w:val="32"/>
        </w:rPr>
        <w:t>年</w:t>
      </w:r>
      <w:r>
        <w:rPr>
          <w:rFonts w:ascii="仿宋_GB2312" w:hAnsi="黑体" w:eastAsia="仿宋_GB2312"/>
          <w:color w:val="auto"/>
          <w:sz w:val="32"/>
          <w:szCs w:val="32"/>
        </w:rPr>
        <w:t>12</w:t>
      </w:r>
      <w:r>
        <w:rPr>
          <w:rFonts w:hint="eastAsia" w:ascii="仿宋_GB2312" w:hAnsi="黑体" w:eastAsia="仿宋_GB2312"/>
          <w:color w:val="auto"/>
          <w:sz w:val="32"/>
          <w:szCs w:val="32"/>
        </w:rPr>
        <w:t>月</w:t>
      </w:r>
      <w:r>
        <w:rPr>
          <w:rFonts w:ascii="仿宋_GB2312" w:hAnsi="黑体" w:eastAsia="仿宋_GB2312"/>
          <w:color w:val="auto"/>
          <w:sz w:val="32"/>
          <w:szCs w:val="32"/>
        </w:rPr>
        <w:t>31</w:t>
      </w:r>
      <w:r>
        <w:rPr>
          <w:rFonts w:hint="eastAsia" w:ascii="仿宋_GB2312" w:hAnsi="黑体" w:eastAsia="仿宋_GB2312"/>
          <w:color w:val="auto"/>
          <w:sz w:val="32"/>
          <w:szCs w:val="32"/>
        </w:rPr>
        <w:t>日，</w:t>
      </w:r>
      <w:r>
        <w:rPr>
          <w:rFonts w:hint="eastAsia" w:ascii="仿宋_GB2312" w:hAnsi="黑体" w:eastAsia="仿宋_GB2312" w:cs="仿宋_GB2312"/>
          <w:color w:val="auto"/>
          <w:sz w:val="32"/>
          <w:szCs w:val="32"/>
        </w:rPr>
        <w:t>白沙黎族自治县司法局本级及下属各预算单位共有车辆</w:t>
      </w:r>
      <w:r>
        <w:rPr>
          <w:rFonts w:ascii="仿宋_GB2312" w:hAnsi="黑体" w:eastAsia="仿宋_GB2312" w:cs="仿宋_GB2312"/>
          <w:color w:val="auto"/>
          <w:sz w:val="32"/>
          <w:szCs w:val="32"/>
        </w:rPr>
        <w:t>2</w:t>
      </w:r>
      <w:r>
        <w:rPr>
          <w:rFonts w:hint="eastAsia" w:ascii="仿宋_GB2312" w:hAnsi="黑体" w:eastAsia="仿宋_GB2312" w:cs="仿宋_GB2312"/>
          <w:color w:val="auto"/>
          <w:sz w:val="32"/>
          <w:szCs w:val="32"/>
        </w:rPr>
        <w:t>辆，其中，领导干部用车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辆，机要通信应急用车</w:t>
      </w:r>
      <w:r>
        <w:rPr>
          <w:rFonts w:ascii="仿宋_GB2312" w:hAnsi="黑体" w:eastAsia="仿宋_GB2312" w:cs="仿宋_GB2312"/>
          <w:color w:val="auto"/>
          <w:sz w:val="32"/>
          <w:szCs w:val="32"/>
        </w:rPr>
        <w:t>1</w:t>
      </w:r>
      <w:r>
        <w:rPr>
          <w:rFonts w:hint="eastAsia" w:ascii="仿宋_GB2312" w:hAnsi="黑体" w:eastAsia="仿宋_GB2312" w:cs="仿宋_GB2312"/>
          <w:color w:val="auto"/>
          <w:sz w:val="32"/>
          <w:szCs w:val="32"/>
        </w:rPr>
        <w:t>辆、一般执法执勤用车</w:t>
      </w:r>
      <w:r>
        <w:rPr>
          <w:rFonts w:ascii="仿宋_GB2312" w:hAnsi="黑体" w:eastAsia="仿宋_GB2312" w:cs="仿宋_GB2312"/>
          <w:color w:val="auto"/>
          <w:sz w:val="32"/>
          <w:szCs w:val="32"/>
        </w:rPr>
        <w:t>1</w:t>
      </w:r>
      <w:r>
        <w:rPr>
          <w:rFonts w:hint="eastAsia" w:ascii="仿宋_GB2312" w:hAnsi="黑体" w:eastAsia="仿宋_GB2312" w:cs="仿宋_GB2312"/>
          <w:color w:val="auto"/>
          <w:sz w:val="32"/>
          <w:szCs w:val="32"/>
        </w:rPr>
        <w:t>辆、特种专业技术用车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辆、其他用车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辆。单位价值</w:t>
      </w:r>
      <w:r>
        <w:rPr>
          <w:rFonts w:ascii="仿宋_GB2312" w:hAnsi="黑体" w:eastAsia="仿宋_GB2312" w:cs="仿宋_GB2312"/>
          <w:color w:val="auto"/>
          <w:sz w:val="32"/>
          <w:szCs w:val="32"/>
        </w:rPr>
        <w:t>100</w:t>
      </w:r>
      <w:r>
        <w:rPr>
          <w:rFonts w:hint="eastAsia" w:ascii="仿宋_GB2312" w:hAnsi="黑体" w:eastAsia="仿宋_GB2312" w:cs="仿宋_GB2312"/>
          <w:color w:val="auto"/>
          <w:sz w:val="32"/>
          <w:szCs w:val="32"/>
        </w:rPr>
        <w:t>万元以上设备</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楷体" w:hAnsi="楷体" w:eastAsia="楷体"/>
          <w:sz w:val="32"/>
          <w:szCs w:val="32"/>
        </w:rPr>
      </w:pPr>
      <w:r>
        <w:rPr>
          <w:rFonts w:hint="eastAsia" w:ascii="Times New Roman" w:hAnsi="Times New Roman" w:eastAsia="仿宋_GB2312"/>
          <w:sz w:val="32"/>
          <w:shd w:val="clear" w:color="auto" w:fill="FFFFFF"/>
        </w:rPr>
        <w:t>我单位没有安排此项预算</w:t>
      </w:r>
    </w:p>
    <w:p>
      <w:pPr>
        <w:jc w:val="center"/>
        <w:rPr>
          <w:rFonts w:hint="eastAsia"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十、一般公共服务（类）××事务（款）行政运行（项）：指××用于保障机构正常运行、开展日常工作的基本支出。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十一、一般公共服务（类）××事务（款）一般行政管理事务（项）：指用于××等未单独设置项级科目的项目支出。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十五、机关运行经费：包括办公及印刷费、邮电费、差旅费、会议费、日常维修费、专用材料及一般设备购置费、办公用房水电费、办公用房取暖费、办公用房物业管理费、公务用车运行维护费以及其他费用。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8F3380"/>
    <w:multiLevelType w:val="singleLevel"/>
    <w:tmpl w:val="A18F3380"/>
    <w:lvl w:ilvl="0" w:tentative="0">
      <w:start w:val="2"/>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9C97F63"/>
    <w:multiLevelType w:val="multilevel"/>
    <w:tmpl w:val="69C97F63"/>
    <w:lvl w:ilvl="0" w:tentative="0">
      <w:start w:val="1"/>
      <w:numFmt w:val="chineseCountingThousand"/>
      <w:lvlText w:val="(%1)"/>
      <w:lvlJc w:val="left"/>
      <w:pPr>
        <w:tabs>
          <w:tab w:val="left" w:pos="420"/>
        </w:tabs>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77DF547"/>
    <w:multiLevelType w:val="singleLevel"/>
    <w:tmpl w:val="777DF547"/>
    <w:lvl w:ilvl="0" w:tentative="0">
      <w:start w:val="6"/>
      <w:numFmt w:val="chineseCounting"/>
      <w:suff w:val="nothing"/>
      <w:lvlText w:val="（%1）"/>
      <w:lvlJc w:val="left"/>
      <w:rPr>
        <w:rFonts w:hint="eastAsia"/>
      </w:rPr>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4"/>
    <w:rsid w:val="00002A5F"/>
    <w:rsid w:val="00003088"/>
    <w:rsid w:val="000366A9"/>
    <w:rsid w:val="001326C1"/>
    <w:rsid w:val="00173B57"/>
    <w:rsid w:val="001A23E1"/>
    <w:rsid w:val="001A7472"/>
    <w:rsid w:val="002530AD"/>
    <w:rsid w:val="00283E6E"/>
    <w:rsid w:val="00293316"/>
    <w:rsid w:val="002956BC"/>
    <w:rsid w:val="002A59FA"/>
    <w:rsid w:val="002E07A4"/>
    <w:rsid w:val="002E73B0"/>
    <w:rsid w:val="00343757"/>
    <w:rsid w:val="003847B6"/>
    <w:rsid w:val="004313AB"/>
    <w:rsid w:val="004522A5"/>
    <w:rsid w:val="00474F12"/>
    <w:rsid w:val="004A1C49"/>
    <w:rsid w:val="004B1A10"/>
    <w:rsid w:val="00517364"/>
    <w:rsid w:val="00522287"/>
    <w:rsid w:val="00525863"/>
    <w:rsid w:val="00537B3F"/>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B5062"/>
    <w:rsid w:val="009262C2"/>
    <w:rsid w:val="00926751"/>
    <w:rsid w:val="00932F84"/>
    <w:rsid w:val="00947538"/>
    <w:rsid w:val="009547C1"/>
    <w:rsid w:val="009616E6"/>
    <w:rsid w:val="009846A5"/>
    <w:rsid w:val="00995DA5"/>
    <w:rsid w:val="009E613D"/>
    <w:rsid w:val="009F52FB"/>
    <w:rsid w:val="00A545A0"/>
    <w:rsid w:val="00AE2FF8"/>
    <w:rsid w:val="00BE1257"/>
    <w:rsid w:val="00C91D51"/>
    <w:rsid w:val="00CA7DBE"/>
    <w:rsid w:val="00CD7757"/>
    <w:rsid w:val="00CE0C42"/>
    <w:rsid w:val="00DC65EF"/>
    <w:rsid w:val="00DD3FD8"/>
    <w:rsid w:val="00E3389C"/>
    <w:rsid w:val="00E73A4A"/>
    <w:rsid w:val="00ED50D0"/>
    <w:rsid w:val="00ED6580"/>
    <w:rsid w:val="00F442C4"/>
    <w:rsid w:val="00F91B44"/>
    <w:rsid w:val="00FB0A31"/>
    <w:rsid w:val="00FF3698"/>
    <w:rsid w:val="06482AEA"/>
    <w:rsid w:val="064E3B81"/>
    <w:rsid w:val="0BF23218"/>
    <w:rsid w:val="10EE1A78"/>
    <w:rsid w:val="16664CDE"/>
    <w:rsid w:val="1B3B375B"/>
    <w:rsid w:val="1DA83642"/>
    <w:rsid w:val="22AE7027"/>
    <w:rsid w:val="2F5739BD"/>
    <w:rsid w:val="33E4104D"/>
    <w:rsid w:val="3611564D"/>
    <w:rsid w:val="3B9F1880"/>
    <w:rsid w:val="3EF97BA2"/>
    <w:rsid w:val="58C26B2B"/>
    <w:rsid w:val="58C6704D"/>
    <w:rsid w:val="5E8136B1"/>
    <w:rsid w:val="67FA3899"/>
    <w:rsid w:val="6A790AE4"/>
    <w:rsid w:val="73D2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611</Words>
  <Characters>3484</Characters>
  <Lines>29</Lines>
  <Paragraphs>8</Paragraphs>
  <TotalTime>26</TotalTime>
  <ScaleCrop>false</ScaleCrop>
  <LinksUpToDate>false</LinksUpToDate>
  <CharactersWithSpaces>4087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YO</cp:lastModifiedBy>
  <dcterms:modified xsi:type="dcterms:W3CDTF">2020-06-08T04:04:40Z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