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before="3"/>
        <w:rPr>
          <w:sz w:val="26"/>
        </w:rPr>
      </w:pPr>
    </w:p>
    <w:p>
      <w:pPr>
        <w:spacing w:after="0"/>
        <w:rPr>
          <w:sz w:val="26"/>
        </w:rPr>
        <w:sectPr>
          <w:pgSz w:w="16840" w:h="11910" w:orient="landscape"/>
          <w:pgMar w:top="1100" w:right="1280" w:bottom="280" w:left="1180" w:header="720" w:footer="720" w:gutter="0"/>
          <w:cols w:space="720" w:num="1"/>
        </w:sectPr>
      </w:pPr>
    </w:p>
    <w:p>
      <w:pPr>
        <w:pStyle w:val="4"/>
        <w:spacing w:before="61"/>
        <w:ind w:left="244"/>
        <w:rPr>
          <w:rFonts w:hint="eastAsia" w:ascii="黑体" w:hAnsi="黑体" w:eastAsia="黑体" w:cs="黑体"/>
          <w:sz w:val="32"/>
          <w:szCs w:val="32"/>
        </w:rPr>
      </w:pPr>
      <w:r>
        <w:rPr>
          <w:rFonts w:hint="eastAsia" w:ascii="黑体" w:hAnsi="黑体" w:eastAsia="黑体" w:cs="黑体"/>
          <w:w w:val="101"/>
          <w:sz w:val="32"/>
          <w:szCs w:val="32"/>
        </w:rPr>
        <w:t>附件</w:t>
      </w:r>
      <w:r>
        <w:rPr>
          <w:rFonts w:hint="eastAsia" w:ascii="黑体" w:hAnsi="黑体" w:eastAsia="黑体" w:cs="黑体"/>
          <w:spacing w:val="-66"/>
          <w:sz w:val="32"/>
          <w:szCs w:val="32"/>
        </w:rPr>
        <w:t xml:space="preserve"> </w:t>
      </w:r>
      <w:r>
        <w:rPr>
          <w:rFonts w:hint="eastAsia" w:ascii="黑体" w:hAnsi="黑体" w:eastAsia="黑体" w:cs="黑体"/>
          <w:spacing w:val="-66"/>
          <w:sz w:val="32"/>
          <w:szCs w:val="32"/>
          <w:lang w:val="en-US" w:eastAsia="zh-CN"/>
        </w:rPr>
        <w:t>1</w:t>
      </w:r>
    </w:p>
    <w:p>
      <w:pPr>
        <w:pStyle w:val="4"/>
        <w:rPr>
          <w:rFonts w:ascii="黑体"/>
          <w:sz w:val="36"/>
        </w:rPr>
      </w:pPr>
    </w:p>
    <w:p>
      <w:pPr>
        <w:pStyle w:val="4"/>
        <w:spacing w:before="5"/>
        <w:rPr>
          <w:rFonts w:ascii="黑体"/>
        </w:rPr>
      </w:pPr>
    </w:p>
    <w:p>
      <w:pPr>
        <w:spacing w:before="0"/>
        <w:ind w:left="244" w:right="0" w:firstLine="0"/>
        <w:jc w:val="left"/>
        <w:rPr>
          <w:sz w:val="28"/>
        </w:rPr>
      </w:pPr>
      <w:r>
        <w:rPr>
          <w:rFonts w:ascii="仿宋" w:hAnsi="仿宋" w:eastAsia="仿宋" w:cs="仿宋"/>
          <w:sz w:val="28"/>
          <w:szCs w:val="22"/>
          <w:lang w:val="zh-CN" w:eastAsia="zh-CN" w:bidi="zh-CN"/>
        </w:rPr>
        <w:pict>
          <v:rect id="文本框 10" o:spid="_x0000_s1026" style="position:absolute;left:0;margin-left:3.6pt;margin-top:8.75pt;height:31.9pt;width:710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sz w:val="32"/>
                      <w:szCs w:val="32"/>
                    </w:rPr>
                  </w:pPr>
                  <w:r>
                    <w:rPr>
                      <w:sz w:val="32"/>
                      <w:szCs w:val="32"/>
                    </w:rPr>
                    <w:t>单位名称：</w:t>
                  </w:r>
                  <w:r>
                    <w:rPr>
                      <w:rFonts w:hint="eastAsia"/>
                      <w:sz w:val="32"/>
                      <w:szCs w:val="32"/>
                      <w:lang w:val="en-US" w:eastAsia="zh-CN"/>
                    </w:rPr>
                    <w:t xml:space="preserve">                             </w:t>
                  </w:r>
                  <w:r>
                    <w:rPr>
                      <w:sz w:val="32"/>
                      <w:szCs w:val="32"/>
                    </w:rPr>
                    <w:t>得分：</w:t>
                  </w:r>
                  <w:r>
                    <w:rPr>
                      <w:rFonts w:hint="eastAsia"/>
                      <w:sz w:val="32"/>
                      <w:szCs w:val="32"/>
                      <w:lang w:val="en-US" w:eastAsia="zh-CN"/>
                    </w:rPr>
                    <w:t xml:space="preserve">                    </w:t>
                  </w:r>
                  <w:r>
                    <w:rPr>
                      <w:sz w:val="32"/>
                      <w:szCs w:val="32"/>
                    </w:rPr>
                    <w:t>填报时间：</w:t>
                  </w:r>
                </w:p>
              </w:txbxContent>
            </v:textbox>
          </v:rect>
        </w:pict>
      </w:r>
    </w:p>
    <w:p>
      <w:pPr>
        <w:spacing w:before="0"/>
        <w:ind w:left="244" w:right="0" w:firstLine="0"/>
        <w:jc w:val="left"/>
        <w:rPr>
          <w:sz w:val="28"/>
        </w:rPr>
      </w:pPr>
      <w:r>
        <w:rPr>
          <w:rFonts w:hint="eastAsia"/>
          <w:sz w:val="28"/>
          <w:lang w:val="en-US" w:eastAsia="zh-CN"/>
        </w:rPr>
        <w:t xml:space="preserve">                                                              </w:t>
      </w:r>
    </w:p>
    <w:p>
      <w:pPr>
        <w:spacing w:before="12" w:line="240" w:lineRule="auto"/>
        <w:rPr>
          <w:sz w:val="46"/>
        </w:rPr>
      </w:pPr>
      <w:r>
        <w:br w:type="column"/>
      </w:r>
    </w:p>
    <w:p>
      <w:pPr>
        <w:spacing w:before="0"/>
        <w:ind w:left="228" w:right="0" w:firstLine="0"/>
        <w:jc w:val="left"/>
        <w:rPr>
          <w:sz w:val="43"/>
        </w:rPr>
      </w:pPr>
      <w:r>
        <w:rPr>
          <w:rFonts w:hint="eastAsia" w:ascii="方正小标宋简体" w:hAnsi="方正小标宋简体" w:eastAsia="方正小标宋简体" w:cs="方正小标宋简体"/>
          <w:sz w:val="44"/>
          <w:szCs w:val="44"/>
        </w:rPr>
        <w:t>海南省节约型机关创建评价指标</w:t>
      </w:r>
    </w:p>
    <w:p>
      <w:pPr>
        <w:spacing w:before="0"/>
        <w:ind w:left="3967" w:leftChars="0" w:right="0" w:hanging="3967" w:hangingChars="1417"/>
        <w:jc w:val="left"/>
        <w:rPr>
          <w:sz w:val="28"/>
        </w:rPr>
      </w:pPr>
    </w:p>
    <w:p>
      <w:pPr>
        <w:spacing w:before="0"/>
        <w:ind w:left="6093" w:leftChars="0" w:right="0" w:hanging="6093" w:hangingChars="1417"/>
        <w:jc w:val="left"/>
        <w:rPr>
          <w:sz w:val="43"/>
        </w:rPr>
        <w:sectPr>
          <w:type w:val="continuous"/>
          <w:pgSz w:w="16840" w:h="11910" w:orient="landscape"/>
          <w:pgMar w:top="1580" w:right="1280" w:bottom="280" w:left="1180" w:header="720" w:footer="720" w:gutter="0"/>
          <w:cols w:equalWidth="0" w:num="2">
            <w:col w:w="3892" w:space="40"/>
            <w:col w:w="10448"/>
          </w:cols>
        </w:sectPr>
      </w:pPr>
    </w:p>
    <w:p>
      <w:pPr>
        <w:spacing w:before="3" w:after="0" w:line="240" w:lineRule="auto"/>
        <w:rPr>
          <w:sz w:val="10"/>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690" w:type="dxa"/>
            <w:vAlign w:val="center"/>
          </w:tcPr>
          <w:p>
            <w:pPr>
              <w:pStyle w:val="7"/>
              <w:spacing w:before="19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840" w:type="dxa"/>
            <w:vAlign w:val="center"/>
          </w:tcPr>
          <w:p>
            <w:pPr>
              <w:pStyle w:val="7"/>
              <w:spacing w:before="190"/>
              <w:jc w:val="center"/>
              <w:rPr>
                <w:rFonts w:hint="eastAsia" w:ascii="黑体" w:hAnsi="黑体" w:eastAsia="黑体" w:cs="黑体"/>
                <w:b w:val="0"/>
                <w:bCs/>
                <w:sz w:val="24"/>
                <w:szCs w:val="24"/>
              </w:rPr>
            </w:pPr>
            <w:r>
              <w:rPr>
                <w:rFonts w:hint="eastAsia" w:ascii="黑体" w:hAnsi="黑体" w:eastAsia="黑体" w:cs="黑体"/>
                <w:b w:val="0"/>
                <w:bCs/>
                <w:sz w:val="24"/>
                <w:szCs w:val="24"/>
              </w:rPr>
              <w:t>单元</w:t>
            </w:r>
          </w:p>
        </w:tc>
        <w:tc>
          <w:tcPr>
            <w:tcW w:w="825" w:type="dxa"/>
            <w:vAlign w:val="center"/>
          </w:tcPr>
          <w:p>
            <w:pPr>
              <w:pStyle w:val="7"/>
              <w:spacing w:before="190"/>
              <w:jc w:val="center"/>
              <w:rPr>
                <w:rFonts w:hint="eastAsia" w:ascii="黑体" w:hAnsi="黑体" w:eastAsia="黑体" w:cs="黑体"/>
                <w:b w:val="0"/>
                <w:bCs/>
                <w:sz w:val="24"/>
                <w:szCs w:val="24"/>
              </w:rPr>
            </w:pPr>
            <w:r>
              <w:rPr>
                <w:rFonts w:hint="eastAsia" w:ascii="黑体" w:hAnsi="黑体" w:eastAsia="黑体" w:cs="黑体"/>
                <w:b w:val="0"/>
                <w:bCs/>
                <w:sz w:val="24"/>
                <w:szCs w:val="24"/>
              </w:rPr>
              <w:t>内容</w:t>
            </w:r>
          </w:p>
        </w:tc>
        <w:tc>
          <w:tcPr>
            <w:tcW w:w="4425" w:type="dxa"/>
            <w:vAlign w:val="center"/>
          </w:tcPr>
          <w:p>
            <w:pPr>
              <w:pStyle w:val="7"/>
              <w:spacing w:before="190"/>
              <w:ind w:right="1690"/>
              <w:jc w:val="center"/>
              <w:rPr>
                <w:rFonts w:hint="eastAsia" w:ascii="黑体" w:hAnsi="黑体" w:eastAsia="黑体" w:cs="黑体"/>
                <w:b w:val="0"/>
                <w:bCs/>
                <w:sz w:val="24"/>
              </w:rPr>
            </w:pP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评价项目</w:t>
            </w:r>
          </w:p>
        </w:tc>
        <w:tc>
          <w:tcPr>
            <w:tcW w:w="4815" w:type="dxa"/>
            <w:vAlign w:val="center"/>
          </w:tcPr>
          <w:p>
            <w:pPr>
              <w:pStyle w:val="7"/>
              <w:spacing w:before="190"/>
              <w:ind w:right="34"/>
              <w:jc w:val="center"/>
              <w:rPr>
                <w:rFonts w:hint="eastAsia" w:ascii="黑体" w:hAnsi="黑体" w:eastAsia="黑体" w:cs="黑体"/>
                <w:b w:val="0"/>
                <w:bCs/>
                <w:sz w:val="24"/>
              </w:rPr>
            </w:pPr>
            <w:r>
              <w:rPr>
                <w:rFonts w:hint="eastAsia" w:ascii="黑体" w:hAnsi="黑体" w:eastAsia="黑体" w:cs="黑体"/>
                <w:b w:val="0"/>
                <w:bCs/>
                <w:sz w:val="24"/>
              </w:rPr>
              <w:t>评分规则</w:t>
            </w:r>
          </w:p>
        </w:tc>
        <w:tc>
          <w:tcPr>
            <w:tcW w:w="855" w:type="dxa"/>
            <w:vAlign w:val="center"/>
          </w:tcPr>
          <w:p>
            <w:pPr>
              <w:pStyle w:val="7"/>
              <w:spacing w:before="190"/>
              <w:ind w:right="171"/>
              <w:jc w:val="center"/>
              <w:rPr>
                <w:rFonts w:hint="eastAsia" w:ascii="黑体" w:hAnsi="黑体" w:eastAsia="黑体" w:cs="黑体"/>
                <w:b w:val="0"/>
                <w:bCs/>
                <w:sz w:val="24"/>
              </w:rPr>
            </w:pP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分值</w:t>
            </w:r>
          </w:p>
        </w:tc>
        <w:tc>
          <w:tcPr>
            <w:tcW w:w="840" w:type="dxa"/>
            <w:vAlign w:val="center"/>
          </w:tcPr>
          <w:p>
            <w:pPr>
              <w:pStyle w:val="7"/>
              <w:spacing w:before="190"/>
              <w:jc w:val="center"/>
              <w:rPr>
                <w:rFonts w:hint="eastAsia" w:ascii="黑体" w:hAnsi="黑体" w:eastAsia="黑体" w:cs="黑体"/>
                <w:b w:val="0"/>
                <w:bCs/>
                <w:sz w:val="24"/>
              </w:rPr>
            </w:pPr>
            <w:r>
              <w:rPr>
                <w:rFonts w:hint="eastAsia" w:ascii="黑体" w:hAnsi="黑体" w:eastAsia="黑体" w:cs="黑体"/>
                <w:b w:val="0"/>
                <w:bCs/>
                <w:sz w:val="24"/>
              </w:rPr>
              <w:t>得分</w:t>
            </w:r>
          </w:p>
        </w:tc>
        <w:tc>
          <w:tcPr>
            <w:tcW w:w="855" w:type="dxa"/>
            <w:vAlign w:val="center"/>
          </w:tcPr>
          <w:p>
            <w:pPr>
              <w:pStyle w:val="7"/>
              <w:spacing w:before="190"/>
              <w:ind w:right="138"/>
              <w:jc w:val="center"/>
              <w:rPr>
                <w:rFonts w:hint="eastAsia" w:ascii="黑体" w:hAnsi="黑体" w:eastAsia="黑体" w:cs="黑体"/>
                <w:b w:val="0"/>
                <w:bCs/>
                <w:sz w:val="24"/>
              </w:rPr>
            </w:pP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9" w:hRule="atLeast"/>
        </w:trPr>
        <w:tc>
          <w:tcPr>
            <w:tcW w:w="690" w:type="dxa"/>
            <w:vMerge w:val="restart"/>
            <w:vAlign w:val="top"/>
          </w:tcPr>
          <w:p>
            <w:pPr>
              <w:pStyle w:val="7"/>
              <w:spacing w:line="240" w:lineRule="auto"/>
              <w:rPr>
                <w:rFonts w:hint="eastAsia" w:ascii="黑体" w:hAnsi="黑体" w:eastAsia="黑体" w:cs="黑体"/>
                <w:b w:val="0"/>
                <w:bCs w:val="0"/>
                <w:sz w:val="26"/>
              </w:rPr>
            </w:pPr>
          </w:p>
          <w:p>
            <w:pPr>
              <w:pStyle w:val="7"/>
              <w:spacing w:line="240" w:lineRule="auto"/>
              <w:rPr>
                <w:rFonts w:hint="eastAsia" w:ascii="黑体" w:hAnsi="黑体" w:eastAsia="黑体" w:cs="黑体"/>
                <w:b w:val="0"/>
                <w:bCs w:val="0"/>
                <w:sz w:val="26"/>
              </w:rPr>
            </w:pPr>
          </w:p>
          <w:p>
            <w:pPr>
              <w:pStyle w:val="7"/>
              <w:spacing w:before="184" w:line="240" w:lineRule="auto"/>
              <w:ind w:left="232"/>
              <w:rPr>
                <w:rFonts w:hint="eastAsia" w:ascii="黑体" w:hAnsi="黑体" w:eastAsia="黑体" w:cs="黑体"/>
                <w:b w:val="0"/>
                <w:bCs w:val="0"/>
                <w:sz w:val="24"/>
              </w:rPr>
            </w:pPr>
            <w:r>
              <w:rPr>
                <w:rFonts w:hint="eastAsia" w:ascii="黑体" w:hAnsi="黑体" w:eastAsia="黑体" w:cs="黑体"/>
                <w:b w:val="0"/>
                <w:bCs w:val="0"/>
                <w:sz w:val="24"/>
              </w:rPr>
              <w:t>一</w:t>
            </w:r>
          </w:p>
        </w:tc>
        <w:tc>
          <w:tcPr>
            <w:tcW w:w="840" w:type="dxa"/>
            <w:vMerge w:val="restart"/>
            <w:vAlign w:val="top"/>
          </w:tcPr>
          <w:p>
            <w:pPr>
              <w:pStyle w:val="7"/>
              <w:spacing w:line="240" w:lineRule="auto"/>
              <w:ind w:left="157" w:right="125" w:firstLine="30"/>
              <w:jc w:val="both"/>
              <w:rPr>
                <w:rFonts w:hint="eastAsia" w:ascii="黑体" w:hAnsi="黑体" w:eastAsia="黑体" w:cs="黑体"/>
                <w:b w:val="0"/>
                <w:bCs w:val="0"/>
                <w:sz w:val="24"/>
              </w:rPr>
            </w:pPr>
          </w:p>
          <w:p>
            <w:pPr>
              <w:pStyle w:val="7"/>
              <w:spacing w:line="240" w:lineRule="auto"/>
              <w:ind w:left="157" w:right="125" w:firstLine="30"/>
              <w:jc w:val="center"/>
              <w:rPr>
                <w:rFonts w:hint="eastAsia" w:ascii="黑体" w:hAnsi="黑体" w:eastAsia="黑体" w:cs="黑体"/>
                <w:b w:val="0"/>
                <w:bCs w:val="0"/>
                <w:sz w:val="24"/>
              </w:rPr>
            </w:pPr>
            <w:r>
              <w:rPr>
                <w:rFonts w:hint="eastAsia" w:ascii="黑体" w:hAnsi="黑体" w:eastAsia="黑体" w:cs="黑体"/>
                <w:b w:val="0"/>
                <w:bCs w:val="0"/>
                <w:sz w:val="24"/>
              </w:rPr>
              <w:t>强化目标管理10分</w:t>
            </w:r>
          </w:p>
        </w:tc>
        <w:tc>
          <w:tcPr>
            <w:tcW w:w="825" w:type="dxa"/>
            <w:vMerge w:val="restart"/>
            <w:vAlign w:val="top"/>
          </w:tcPr>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节约</w:t>
            </w:r>
          </w:p>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能源</w:t>
            </w:r>
          </w:p>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资源</w:t>
            </w:r>
          </w:p>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目标</w:t>
            </w:r>
          </w:p>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管理</w:t>
            </w:r>
          </w:p>
          <w:p>
            <w:pPr>
              <w:pStyle w:val="7"/>
              <w:spacing w:before="15" w:line="240" w:lineRule="auto"/>
              <w:jc w:val="center"/>
              <w:rPr>
                <w:rFonts w:hint="eastAsia" w:ascii="黑体" w:hAnsi="黑体" w:eastAsia="黑体" w:cs="黑体"/>
                <w:b w:val="0"/>
                <w:bCs w:val="0"/>
                <w:sz w:val="24"/>
              </w:rPr>
            </w:pPr>
            <w:r>
              <w:rPr>
                <w:rFonts w:hint="eastAsia" w:ascii="黑体" w:hAnsi="黑体" w:eastAsia="黑体" w:cs="黑体"/>
                <w:b w:val="0"/>
                <w:bCs w:val="0"/>
                <w:sz w:val="24"/>
              </w:rPr>
              <w:t>10分</w:t>
            </w: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zh-CN" w:eastAsia="zh-CN"/>
              </w:rPr>
              <w:t>完成单位建筑面积能源消耗年度节能目标。</w:t>
            </w:r>
          </w:p>
        </w:tc>
        <w:tc>
          <w:tcPr>
            <w:tcW w:w="4815" w:type="dxa"/>
            <w:vMerge w:val="restart"/>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3项节能指标全部完成上级下达的能源资源消耗量化指标的，得 10分。未完成指标的不予进行节约型机关评定。</w:t>
            </w:r>
          </w:p>
        </w:tc>
        <w:tc>
          <w:tcPr>
            <w:tcW w:w="855" w:type="dxa"/>
            <w:vMerge w:val="restart"/>
            <w:vAlign w:val="center"/>
          </w:tcPr>
          <w:p>
            <w:pPr>
              <w:pStyle w:val="7"/>
              <w:spacing w:before="15"/>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10</w:t>
            </w:r>
          </w:p>
        </w:tc>
        <w:tc>
          <w:tcPr>
            <w:tcW w:w="840" w:type="dxa"/>
            <w:vMerge w:val="restart"/>
            <w:vAlign w:val="top"/>
          </w:tcPr>
          <w:p>
            <w:pPr>
              <w:pStyle w:val="7"/>
              <w:spacing w:before="1"/>
              <w:ind w:right="230"/>
              <w:jc w:val="right"/>
              <w:rPr>
                <w:w w:val="200"/>
                <w:sz w:val="24"/>
              </w:rPr>
            </w:pPr>
          </w:p>
        </w:tc>
        <w:tc>
          <w:tcPr>
            <w:tcW w:w="855" w:type="dxa"/>
            <w:vMerge w:val="restart"/>
            <w:vAlign w:val="top"/>
          </w:tcPr>
          <w:p>
            <w:pPr>
              <w:pStyle w:val="7"/>
              <w:rPr>
                <w:sz w:val="26"/>
              </w:rPr>
            </w:pPr>
          </w:p>
          <w:p>
            <w:pPr>
              <w:pStyle w:val="7"/>
              <w:spacing w:before="6"/>
              <w:rPr>
                <w:sz w:val="22"/>
              </w:rPr>
            </w:pPr>
          </w:p>
          <w:p>
            <w:pPr>
              <w:pStyle w:val="7"/>
              <w:spacing w:line="240" w:lineRule="auto"/>
              <w:ind w:left="202" w:right="157"/>
              <w:jc w:val="both"/>
              <w:rPr>
                <w:rFonts w:hint="eastAsia" w:ascii="Microsoft JhengHei" w:eastAsia="Microsoft JhengHei"/>
                <w:b/>
                <w:sz w:val="24"/>
              </w:rPr>
            </w:pPr>
            <w:r>
              <w:rPr>
                <w:rFonts w:hint="eastAsia" w:ascii="黑体" w:hAnsi="黑体" w:eastAsia="黑体" w:cs="黑体"/>
                <w:b w:val="0"/>
                <w:bCs/>
                <w:sz w:val="24"/>
              </w:rPr>
              <w:t>必须完成项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5"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完成人均能源消耗年度节能目标。</w:t>
            </w:r>
          </w:p>
        </w:tc>
        <w:tc>
          <w:tcPr>
            <w:tcW w:w="4815" w:type="dxa"/>
            <w:vMerge w:val="continue"/>
            <w:tcBorders>
              <w:top w:val="nil"/>
            </w:tcBorders>
            <w:vAlign w:val="center"/>
          </w:tcPr>
          <w:p>
            <w:pPr>
              <w:pStyle w:val="7"/>
              <w:spacing w:before="15"/>
              <w:jc w:val="both"/>
              <w:rPr>
                <w:rFonts w:hint="eastAsia" w:ascii="仿宋_GB2312" w:hAnsi="仿宋_GB2312" w:eastAsia="仿宋_GB2312" w:cs="仿宋_GB2312"/>
                <w:sz w:val="24"/>
              </w:rPr>
            </w:pPr>
          </w:p>
        </w:tc>
        <w:tc>
          <w:tcPr>
            <w:tcW w:w="855" w:type="dxa"/>
            <w:vMerge w:val="continue"/>
            <w:tcBorders>
              <w:top w:val="nil"/>
            </w:tcBorders>
            <w:vAlign w:val="center"/>
          </w:tcPr>
          <w:p>
            <w:pPr>
              <w:jc w:val="center"/>
              <w:rPr>
                <w:rFonts w:hint="eastAsia" w:ascii="仿宋_GB2312" w:hAnsi="仿宋_GB2312" w:eastAsia="仿宋_GB2312" w:cs="仿宋_GB2312"/>
                <w:sz w:val="24"/>
                <w:szCs w:val="22"/>
                <w:lang w:val="zh-CN" w:eastAsia="zh-CN" w:bidi="zh-CN"/>
              </w:rPr>
            </w:pPr>
          </w:p>
        </w:tc>
        <w:tc>
          <w:tcPr>
            <w:tcW w:w="840" w:type="dxa"/>
            <w:vMerge w:val="continue"/>
            <w:tcBorders>
              <w:top w:val="nil"/>
            </w:tcBorders>
            <w:vAlign w:val="top"/>
          </w:tcPr>
          <w:p>
            <w:pPr>
              <w:rPr>
                <w:sz w:val="2"/>
                <w:szCs w:val="2"/>
              </w:rPr>
            </w:pPr>
          </w:p>
        </w:tc>
        <w:tc>
          <w:tcPr>
            <w:tcW w:w="855" w:type="dxa"/>
            <w:vMerge w:val="continue"/>
            <w:tcBorders>
              <w:top w:val="nil"/>
            </w:tcBorders>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完成人均水资源消耗年度节能目标。</w:t>
            </w:r>
          </w:p>
        </w:tc>
        <w:tc>
          <w:tcPr>
            <w:tcW w:w="4815" w:type="dxa"/>
            <w:vMerge w:val="continue"/>
            <w:tcBorders>
              <w:top w:val="nil"/>
            </w:tcBorders>
            <w:vAlign w:val="center"/>
          </w:tcPr>
          <w:p>
            <w:pPr>
              <w:pStyle w:val="7"/>
              <w:spacing w:before="15"/>
              <w:jc w:val="both"/>
              <w:rPr>
                <w:rFonts w:hint="eastAsia" w:ascii="仿宋_GB2312" w:hAnsi="仿宋_GB2312" w:eastAsia="仿宋_GB2312" w:cs="仿宋_GB2312"/>
                <w:sz w:val="24"/>
              </w:rPr>
            </w:pPr>
          </w:p>
        </w:tc>
        <w:tc>
          <w:tcPr>
            <w:tcW w:w="855" w:type="dxa"/>
            <w:vMerge w:val="continue"/>
            <w:tcBorders>
              <w:top w:val="nil"/>
            </w:tcBorders>
            <w:vAlign w:val="center"/>
          </w:tcPr>
          <w:p>
            <w:pPr>
              <w:jc w:val="center"/>
              <w:rPr>
                <w:rFonts w:hint="eastAsia" w:ascii="仿宋_GB2312" w:hAnsi="仿宋_GB2312" w:eastAsia="仿宋_GB2312" w:cs="仿宋_GB2312"/>
                <w:sz w:val="24"/>
                <w:szCs w:val="22"/>
                <w:lang w:val="zh-CN" w:eastAsia="zh-CN" w:bidi="zh-CN"/>
              </w:rPr>
            </w:pPr>
          </w:p>
        </w:tc>
        <w:tc>
          <w:tcPr>
            <w:tcW w:w="840" w:type="dxa"/>
            <w:vMerge w:val="continue"/>
            <w:tcBorders>
              <w:top w:val="nil"/>
            </w:tcBorders>
            <w:vAlign w:val="top"/>
          </w:tcPr>
          <w:p>
            <w:pPr>
              <w:rPr>
                <w:sz w:val="2"/>
                <w:szCs w:val="2"/>
              </w:rPr>
            </w:pPr>
          </w:p>
        </w:tc>
        <w:tc>
          <w:tcPr>
            <w:tcW w:w="855" w:type="dxa"/>
            <w:vMerge w:val="continue"/>
            <w:tcBorders>
              <w:top w:val="nil"/>
            </w:tcBorders>
            <w:vAlign w:val="top"/>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59" w:hRule="atLeast"/>
        </w:trPr>
        <w:tc>
          <w:tcPr>
            <w:tcW w:w="690" w:type="dxa"/>
            <w:vMerge w:val="restart"/>
            <w:vAlign w:val="top"/>
          </w:tcPr>
          <w:p>
            <w:pPr>
              <w:pStyle w:val="7"/>
              <w:spacing w:line="240" w:lineRule="auto"/>
              <w:rPr>
                <w:rFonts w:hint="eastAsia" w:ascii="黑体" w:hAnsi="黑体" w:eastAsia="黑体" w:cs="黑体"/>
                <w:b/>
                <w:bCs/>
                <w:sz w:val="26"/>
              </w:rPr>
            </w:pPr>
          </w:p>
          <w:p>
            <w:pPr>
              <w:pStyle w:val="7"/>
              <w:spacing w:line="240" w:lineRule="auto"/>
              <w:rPr>
                <w:rFonts w:hint="eastAsia" w:ascii="黑体" w:hAnsi="黑体" w:eastAsia="黑体" w:cs="黑体"/>
                <w:b/>
                <w:bCs/>
                <w:sz w:val="26"/>
              </w:rPr>
            </w:pPr>
          </w:p>
          <w:p>
            <w:pPr>
              <w:pStyle w:val="7"/>
              <w:spacing w:line="240" w:lineRule="auto"/>
              <w:rPr>
                <w:rFonts w:hint="eastAsia" w:ascii="黑体" w:hAnsi="黑体" w:eastAsia="黑体" w:cs="黑体"/>
                <w:b/>
                <w:bCs/>
                <w:sz w:val="26"/>
              </w:rPr>
            </w:pPr>
          </w:p>
          <w:p>
            <w:pPr>
              <w:pStyle w:val="7"/>
              <w:spacing w:line="240" w:lineRule="auto"/>
              <w:rPr>
                <w:rFonts w:hint="eastAsia" w:ascii="黑体" w:hAnsi="黑体" w:eastAsia="黑体" w:cs="黑体"/>
                <w:b/>
                <w:bCs/>
                <w:sz w:val="26"/>
              </w:rPr>
            </w:pPr>
          </w:p>
          <w:p>
            <w:pPr>
              <w:pStyle w:val="7"/>
              <w:spacing w:before="9" w:line="240" w:lineRule="auto"/>
              <w:rPr>
                <w:rFonts w:hint="eastAsia" w:ascii="黑体" w:hAnsi="黑体" w:eastAsia="黑体" w:cs="黑体"/>
                <w:b/>
                <w:bCs/>
                <w:sz w:val="19"/>
              </w:rPr>
            </w:pPr>
          </w:p>
          <w:p>
            <w:pPr>
              <w:pStyle w:val="7"/>
              <w:spacing w:before="1" w:line="240" w:lineRule="auto"/>
              <w:ind w:left="232"/>
              <w:rPr>
                <w:rFonts w:hint="eastAsia" w:ascii="黑体" w:hAnsi="黑体" w:eastAsia="黑体" w:cs="黑体"/>
                <w:b/>
                <w:bCs/>
                <w:sz w:val="24"/>
              </w:rPr>
            </w:pPr>
            <w:r>
              <w:rPr>
                <w:rFonts w:hint="eastAsia" w:ascii="黑体" w:hAnsi="黑体" w:eastAsia="黑体" w:cs="黑体"/>
                <w:b/>
                <w:bCs/>
                <w:sz w:val="24"/>
              </w:rPr>
              <w:t>二</w:t>
            </w:r>
          </w:p>
        </w:tc>
        <w:tc>
          <w:tcPr>
            <w:tcW w:w="840" w:type="dxa"/>
            <w:vMerge w:val="restart"/>
            <w:vAlign w:val="top"/>
          </w:tcPr>
          <w:p>
            <w:pPr>
              <w:pStyle w:val="7"/>
              <w:spacing w:line="240" w:lineRule="auto"/>
              <w:rPr>
                <w:rFonts w:hint="eastAsia" w:ascii="黑体" w:hAnsi="黑体" w:eastAsia="黑体" w:cs="黑体"/>
                <w:b/>
                <w:bCs/>
                <w:sz w:val="26"/>
              </w:rPr>
            </w:pPr>
          </w:p>
          <w:p>
            <w:pPr>
              <w:pStyle w:val="7"/>
              <w:spacing w:line="240" w:lineRule="auto"/>
              <w:rPr>
                <w:rFonts w:hint="eastAsia" w:ascii="黑体" w:hAnsi="黑体" w:eastAsia="黑体" w:cs="黑体"/>
                <w:b/>
                <w:bCs/>
                <w:sz w:val="26"/>
              </w:rPr>
            </w:pPr>
          </w:p>
          <w:p>
            <w:pPr>
              <w:pStyle w:val="7"/>
              <w:spacing w:line="240" w:lineRule="auto"/>
              <w:rPr>
                <w:rFonts w:hint="eastAsia" w:ascii="黑体" w:hAnsi="黑体" w:eastAsia="黑体" w:cs="黑体"/>
                <w:b/>
                <w:bCs/>
                <w:sz w:val="26"/>
              </w:rPr>
            </w:pPr>
          </w:p>
          <w:p>
            <w:pPr>
              <w:pStyle w:val="7"/>
              <w:spacing w:before="9" w:line="240" w:lineRule="auto"/>
              <w:rPr>
                <w:rFonts w:hint="eastAsia" w:ascii="黑体" w:hAnsi="黑体" w:eastAsia="黑体" w:cs="黑体"/>
                <w:b/>
                <w:bCs/>
                <w:sz w:val="26"/>
              </w:rPr>
            </w:pPr>
          </w:p>
          <w:p>
            <w:pPr>
              <w:pStyle w:val="7"/>
              <w:spacing w:line="240" w:lineRule="auto"/>
              <w:ind w:left="157" w:right="125" w:firstLine="30"/>
              <w:jc w:val="center"/>
              <w:rPr>
                <w:rFonts w:hint="eastAsia" w:ascii="黑体" w:hAnsi="黑体" w:eastAsia="黑体" w:cs="黑体"/>
                <w:b/>
                <w:bCs/>
                <w:sz w:val="24"/>
              </w:rPr>
            </w:pPr>
            <w:r>
              <w:rPr>
                <w:rFonts w:hint="eastAsia" w:ascii="黑体" w:hAnsi="黑体" w:eastAsia="黑体" w:cs="黑体"/>
                <w:b w:val="0"/>
                <w:bCs w:val="0"/>
                <w:sz w:val="24"/>
              </w:rPr>
              <w:t>制度</w:t>
            </w:r>
            <w:r>
              <w:rPr>
                <w:rFonts w:hint="eastAsia" w:ascii="黑体" w:hAnsi="黑体" w:eastAsia="黑体" w:cs="黑体"/>
                <w:b w:val="0"/>
                <w:bCs w:val="0"/>
                <w:sz w:val="24"/>
                <w:lang w:eastAsia="zh-CN"/>
              </w:rPr>
              <w:t>体系</w:t>
            </w:r>
            <w:r>
              <w:rPr>
                <w:rFonts w:hint="eastAsia" w:ascii="黑体" w:hAnsi="黑体" w:eastAsia="黑体" w:cs="黑体"/>
                <w:b w:val="0"/>
                <w:bCs w:val="0"/>
                <w:sz w:val="24"/>
                <w:lang w:val="en-US" w:eastAsia="zh-CN"/>
              </w:rPr>
              <w:t>24</w:t>
            </w:r>
            <w:r>
              <w:rPr>
                <w:rFonts w:hint="eastAsia" w:ascii="黑体" w:hAnsi="黑体" w:eastAsia="黑体" w:cs="黑体"/>
                <w:b w:val="0"/>
                <w:bCs w:val="0"/>
                <w:sz w:val="24"/>
              </w:rPr>
              <w:t>分</w:t>
            </w:r>
          </w:p>
        </w:tc>
        <w:tc>
          <w:tcPr>
            <w:tcW w:w="825" w:type="dxa"/>
            <w:vMerge w:val="restart"/>
            <w:vAlign w:val="top"/>
          </w:tcPr>
          <w:p>
            <w:pPr>
              <w:pStyle w:val="7"/>
              <w:spacing w:line="240" w:lineRule="auto"/>
              <w:rPr>
                <w:rFonts w:hint="eastAsia" w:ascii="黑体" w:hAnsi="黑体" w:eastAsia="黑体" w:cs="黑体"/>
                <w:b/>
                <w:bCs/>
                <w:sz w:val="26"/>
              </w:rPr>
            </w:pPr>
          </w:p>
          <w:p>
            <w:pPr>
              <w:pStyle w:val="7"/>
              <w:spacing w:before="11" w:line="240" w:lineRule="auto"/>
              <w:rPr>
                <w:rFonts w:hint="eastAsia" w:ascii="黑体" w:hAnsi="黑体" w:eastAsia="黑体" w:cs="黑体"/>
                <w:b/>
                <w:bCs/>
                <w:sz w:val="35"/>
              </w:rPr>
            </w:pPr>
          </w:p>
          <w:p>
            <w:pPr>
              <w:pStyle w:val="7"/>
              <w:spacing w:before="1" w:line="240" w:lineRule="auto"/>
              <w:ind w:left="187" w:right="140"/>
              <w:jc w:val="both"/>
              <w:rPr>
                <w:rFonts w:hint="eastAsia" w:ascii="黑体" w:hAnsi="黑体" w:eastAsia="黑体" w:cs="黑体"/>
                <w:b/>
                <w:bCs/>
                <w:sz w:val="24"/>
              </w:rPr>
            </w:pPr>
            <w:r>
              <w:rPr>
                <w:rFonts w:hint="eastAsia" w:ascii="黑体" w:hAnsi="黑体" w:eastAsia="黑体" w:cs="黑体"/>
                <w:b w:val="0"/>
                <w:bCs w:val="0"/>
                <w:sz w:val="24"/>
              </w:rPr>
              <w:t>管理机构</w:t>
            </w:r>
            <w:r>
              <w:rPr>
                <w:rFonts w:hint="eastAsia" w:ascii="黑体" w:hAnsi="黑体" w:eastAsia="黑体" w:cs="黑体"/>
                <w:b w:val="0"/>
                <w:bCs w:val="0"/>
                <w:sz w:val="24"/>
                <w:lang w:val="en-US" w:eastAsia="zh-CN"/>
              </w:rPr>
              <w:t>7</w:t>
            </w:r>
            <w:r>
              <w:rPr>
                <w:rFonts w:hint="eastAsia" w:ascii="黑体" w:hAnsi="黑体" w:eastAsia="黑体" w:cs="黑体"/>
                <w:b w:val="0"/>
                <w:bCs w:val="0"/>
                <w:sz w:val="24"/>
              </w:rPr>
              <w:t>分</w:t>
            </w: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制定推进节约型机关建设的行动方案和年度工作计划。</w:t>
            </w:r>
          </w:p>
        </w:tc>
        <w:tc>
          <w:tcPr>
            <w:tcW w:w="481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制定推进节约型机关建设的行动方案的，得2分；有年度工作计划并有效实施的得分。共3分。</w:t>
            </w:r>
          </w:p>
        </w:tc>
        <w:tc>
          <w:tcPr>
            <w:tcW w:w="855" w:type="dxa"/>
            <w:vAlign w:val="center"/>
          </w:tcPr>
          <w:p>
            <w:pPr>
              <w:pStyle w:val="7"/>
              <w:spacing w:before="15"/>
              <w:jc w:val="center"/>
              <w:rPr>
                <w:rFonts w:hint="eastAsia" w:ascii="仿宋_GB2312" w:hAnsi="仿宋_GB2312" w:eastAsia="仿宋_GB2312" w:cs="仿宋_GB2312"/>
                <w:sz w:val="24"/>
                <w:szCs w:val="22"/>
                <w:lang w:val="zh-CN" w:eastAsia="zh-CN" w:bidi="zh-CN"/>
              </w:rPr>
            </w:pPr>
            <w:r>
              <w:rPr>
                <w:rFonts w:hint="eastAsia" w:ascii="仿宋_GB2312" w:hAnsi="仿宋_GB2312" w:eastAsia="仿宋_GB2312" w:cs="仿宋_GB2312"/>
                <w:sz w:val="24"/>
                <w:szCs w:val="22"/>
                <w:lang w:val="en-US" w:eastAsia="zh-CN" w:bidi="zh-CN"/>
              </w:rPr>
              <w:t>3</w:t>
            </w:r>
          </w:p>
        </w:tc>
        <w:tc>
          <w:tcPr>
            <w:tcW w:w="840" w:type="dxa"/>
            <w:vAlign w:val="top"/>
          </w:tcPr>
          <w:p>
            <w:pPr>
              <w:pStyle w:val="7"/>
              <w:rPr>
                <w:rFonts w:ascii="Times New Roman"/>
                <w:sz w:val="24"/>
              </w:rPr>
            </w:pPr>
          </w:p>
        </w:tc>
        <w:tc>
          <w:tcPr>
            <w:tcW w:w="855" w:type="dxa"/>
            <w:vAlign w:val="top"/>
          </w:tcPr>
          <w:p>
            <w:pPr>
              <w:pStyle w:val="7"/>
              <w:spacing w:before="172"/>
              <w:ind w:left="29"/>
              <w:jc w:val="center"/>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3" w:hRule="atLeast"/>
        </w:trPr>
        <w:tc>
          <w:tcPr>
            <w:tcW w:w="690" w:type="dxa"/>
            <w:vMerge w:val="continue"/>
            <w:tcBorders>
              <w:top w:val="nil"/>
            </w:tcBorders>
            <w:vAlign w:val="top"/>
          </w:tcPr>
          <w:p>
            <w:pPr>
              <w:spacing w:line="240" w:lineRule="auto"/>
              <w:rPr>
                <w:rFonts w:hint="eastAsia" w:ascii="黑体" w:hAnsi="黑体" w:eastAsia="黑体" w:cs="黑体"/>
                <w:b/>
                <w:bCs/>
                <w:sz w:val="2"/>
                <w:szCs w:val="2"/>
              </w:rPr>
            </w:pPr>
          </w:p>
        </w:tc>
        <w:tc>
          <w:tcPr>
            <w:tcW w:w="840" w:type="dxa"/>
            <w:vMerge w:val="continue"/>
            <w:tcBorders>
              <w:top w:val="nil"/>
            </w:tcBorders>
            <w:vAlign w:val="top"/>
          </w:tcPr>
          <w:p>
            <w:pPr>
              <w:spacing w:line="240" w:lineRule="auto"/>
              <w:rPr>
                <w:rFonts w:hint="eastAsia" w:ascii="黑体" w:hAnsi="黑体" w:eastAsia="黑体" w:cs="黑体"/>
                <w:b/>
                <w:bCs/>
                <w:sz w:val="2"/>
                <w:szCs w:val="2"/>
              </w:rPr>
            </w:pPr>
          </w:p>
        </w:tc>
        <w:tc>
          <w:tcPr>
            <w:tcW w:w="825" w:type="dxa"/>
            <w:vMerge w:val="continue"/>
            <w:tcBorders>
              <w:top w:val="nil"/>
            </w:tcBorders>
            <w:vAlign w:val="top"/>
          </w:tcPr>
          <w:p>
            <w:pPr>
              <w:spacing w:line="240" w:lineRule="auto"/>
              <w:rPr>
                <w:rFonts w:hint="eastAsia" w:ascii="黑体" w:hAnsi="黑体" w:eastAsia="黑体" w:cs="黑体"/>
                <w:b/>
                <w:bCs/>
                <w:sz w:val="2"/>
                <w:szCs w:val="2"/>
              </w:rPr>
            </w:pP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明确负责节约能源资源工作的管理机构。</w:t>
            </w:r>
          </w:p>
        </w:tc>
        <w:tc>
          <w:tcPr>
            <w:tcW w:w="481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明确负责节约能源资源工作的管理机构的， 得1分；明确工作职责的，得1分。共2分。</w:t>
            </w:r>
          </w:p>
        </w:tc>
        <w:tc>
          <w:tcPr>
            <w:tcW w:w="855" w:type="dxa"/>
            <w:vAlign w:val="center"/>
          </w:tcPr>
          <w:p>
            <w:pPr>
              <w:pStyle w:val="7"/>
              <w:spacing w:before="15"/>
              <w:jc w:val="center"/>
              <w:rPr>
                <w:rFonts w:hint="eastAsia" w:ascii="仿宋_GB2312" w:hAnsi="仿宋_GB2312" w:eastAsia="仿宋_GB2312" w:cs="仿宋_GB2312"/>
                <w:sz w:val="24"/>
                <w:szCs w:val="22"/>
                <w:lang w:val="zh-CN" w:eastAsia="zh-CN" w:bidi="zh-CN"/>
              </w:rPr>
            </w:pPr>
            <w:r>
              <w:rPr>
                <w:rFonts w:hint="eastAsia" w:ascii="仿宋_GB2312" w:hAnsi="仿宋_GB2312" w:eastAsia="仿宋_GB2312" w:cs="仿宋_GB2312"/>
                <w:sz w:val="24"/>
                <w:szCs w:val="22"/>
                <w:lang w:val="zh-CN" w:eastAsia="zh-CN" w:bidi="zh-CN"/>
              </w:rPr>
              <w:t>2</w:t>
            </w:r>
          </w:p>
        </w:tc>
        <w:tc>
          <w:tcPr>
            <w:tcW w:w="840" w:type="dxa"/>
            <w:vAlign w:val="top"/>
          </w:tcPr>
          <w:p>
            <w:pPr>
              <w:pStyle w:val="7"/>
              <w:rPr>
                <w:rFonts w:ascii="Times New Roman"/>
                <w:sz w:val="24"/>
              </w:rPr>
            </w:pPr>
          </w:p>
        </w:tc>
        <w:tc>
          <w:tcPr>
            <w:tcW w:w="855" w:type="dxa"/>
            <w:vAlign w:val="top"/>
          </w:tcPr>
          <w:p>
            <w:pPr>
              <w:pStyle w:val="7"/>
              <w:spacing w:before="96"/>
              <w:ind w:left="29"/>
              <w:jc w:val="center"/>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9" w:hRule="atLeast"/>
        </w:trPr>
        <w:tc>
          <w:tcPr>
            <w:tcW w:w="690" w:type="dxa"/>
            <w:vMerge w:val="continue"/>
            <w:tcBorders>
              <w:top w:val="nil"/>
            </w:tcBorders>
            <w:vAlign w:val="top"/>
          </w:tcPr>
          <w:p>
            <w:pPr>
              <w:spacing w:line="240" w:lineRule="auto"/>
              <w:rPr>
                <w:rFonts w:hint="eastAsia" w:ascii="黑体" w:hAnsi="黑体" w:eastAsia="黑体" w:cs="黑体"/>
                <w:b/>
                <w:bCs/>
                <w:sz w:val="2"/>
                <w:szCs w:val="2"/>
              </w:rPr>
            </w:pPr>
          </w:p>
        </w:tc>
        <w:tc>
          <w:tcPr>
            <w:tcW w:w="840" w:type="dxa"/>
            <w:vMerge w:val="continue"/>
            <w:tcBorders>
              <w:top w:val="nil"/>
            </w:tcBorders>
            <w:vAlign w:val="top"/>
          </w:tcPr>
          <w:p>
            <w:pPr>
              <w:spacing w:line="240" w:lineRule="auto"/>
              <w:rPr>
                <w:rFonts w:hint="eastAsia" w:ascii="黑体" w:hAnsi="黑体" w:eastAsia="黑体" w:cs="黑体"/>
                <w:b/>
                <w:bCs/>
                <w:sz w:val="2"/>
                <w:szCs w:val="2"/>
              </w:rPr>
            </w:pPr>
          </w:p>
        </w:tc>
        <w:tc>
          <w:tcPr>
            <w:tcW w:w="825" w:type="dxa"/>
            <w:vMerge w:val="continue"/>
            <w:tcBorders>
              <w:top w:val="nil"/>
            </w:tcBorders>
            <w:vAlign w:val="top"/>
          </w:tcPr>
          <w:p>
            <w:pPr>
              <w:spacing w:line="240" w:lineRule="auto"/>
              <w:rPr>
                <w:rFonts w:hint="eastAsia" w:ascii="黑体" w:hAnsi="黑体" w:eastAsia="黑体" w:cs="黑体"/>
                <w:b/>
                <w:bCs/>
                <w:sz w:val="2"/>
                <w:szCs w:val="2"/>
              </w:rPr>
            </w:pP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设置能源资源管理岗位</w:t>
            </w:r>
          </w:p>
        </w:tc>
        <w:tc>
          <w:tcPr>
            <w:tcW w:w="481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设置能源资源管理岗位，明确专人负责的， 得2分。</w:t>
            </w:r>
          </w:p>
        </w:tc>
        <w:tc>
          <w:tcPr>
            <w:tcW w:w="855" w:type="dxa"/>
            <w:vAlign w:val="center"/>
          </w:tcPr>
          <w:p>
            <w:pPr>
              <w:pStyle w:val="7"/>
              <w:spacing w:before="15"/>
              <w:jc w:val="center"/>
              <w:rPr>
                <w:rFonts w:hint="eastAsia" w:ascii="仿宋_GB2312" w:hAnsi="仿宋_GB2312" w:eastAsia="仿宋_GB2312" w:cs="仿宋_GB2312"/>
                <w:sz w:val="24"/>
                <w:szCs w:val="22"/>
                <w:lang w:val="zh-CN" w:eastAsia="zh-CN" w:bidi="zh-CN"/>
              </w:rPr>
            </w:pPr>
            <w:r>
              <w:rPr>
                <w:rFonts w:hint="eastAsia" w:ascii="仿宋_GB2312" w:hAnsi="仿宋_GB2312" w:eastAsia="仿宋_GB2312" w:cs="仿宋_GB2312"/>
                <w:sz w:val="24"/>
                <w:szCs w:val="22"/>
                <w:lang w:val="zh-CN" w:eastAsia="zh-CN" w:bidi="zh-CN"/>
              </w:rPr>
              <w:t>2</w:t>
            </w:r>
          </w:p>
        </w:tc>
        <w:tc>
          <w:tcPr>
            <w:tcW w:w="840" w:type="dxa"/>
            <w:vAlign w:val="top"/>
          </w:tcPr>
          <w:p>
            <w:pPr>
              <w:pStyle w:val="7"/>
              <w:rPr>
                <w:rFonts w:ascii="Times New Roman"/>
                <w:sz w:val="24"/>
              </w:rPr>
            </w:pPr>
          </w:p>
        </w:tc>
        <w:tc>
          <w:tcPr>
            <w:tcW w:w="855" w:type="dxa"/>
            <w:vAlign w:val="top"/>
          </w:tcPr>
          <w:p>
            <w:pPr>
              <w:pStyle w:val="7"/>
              <w:spacing w:before="38"/>
              <w:ind w:left="29"/>
              <w:jc w:val="center"/>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9" w:hRule="atLeast"/>
        </w:trPr>
        <w:tc>
          <w:tcPr>
            <w:tcW w:w="690" w:type="dxa"/>
            <w:vMerge w:val="continue"/>
            <w:tcBorders>
              <w:top w:val="nil"/>
            </w:tcBorders>
            <w:vAlign w:val="top"/>
          </w:tcPr>
          <w:p>
            <w:pPr>
              <w:spacing w:line="240" w:lineRule="auto"/>
              <w:rPr>
                <w:rFonts w:hint="eastAsia" w:ascii="黑体" w:hAnsi="黑体" w:eastAsia="黑体" w:cs="黑体"/>
                <w:b/>
                <w:bCs/>
                <w:sz w:val="2"/>
                <w:szCs w:val="2"/>
              </w:rPr>
            </w:pPr>
          </w:p>
        </w:tc>
        <w:tc>
          <w:tcPr>
            <w:tcW w:w="840" w:type="dxa"/>
            <w:vMerge w:val="continue"/>
            <w:tcBorders>
              <w:top w:val="nil"/>
            </w:tcBorders>
            <w:vAlign w:val="top"/>
          </w:tcPr>
          <w:p>
            <w:pPr>
              <w:spacing w:line="240" w:lineRule="auto"/>
              <w:rPr>
                <w:rFonts w:hint="eastAsia" w:ascii="黑体" w:hAnsi="黑体" w:eastAsia="黑体" w:cs="黑体"/>
                <w:b/>
                <w:bCs/>
                <w:sz w:val="2"/>
                <w:szCs w:val="2"/>
              </w:rPr>
            </w:pPr>
          </w:p>
        </w:tc>
        <w:tc>
          <w:tcPr>
            <w:tcW w:w="825" w:type="dxa"/>
            <w:vAlign w:val="top"/>
          </w:tcPr>
          <w:p>
            <w:pPr>
              <w:pStyle w:val="7"/>
              <w:spacing w:before="1" w:line="240" w:lineRule="auto"/>
              <w:ind w:left="187" w:right="140"/>
              <w:jc w:val="both"/>
              <w:rPr>
                <w:rFonts w:hint="eastAsia" w:ascii="黑体" w:hAnsi="黑体" w:eastAsia="黑体" w:cs="黑体"/>
                <w:b w:val="0"/>
                <w:bCs w:val="0"/>
                <w:sz w:val="24"/>
              </w:rPr>
            </w:pPr>
            <w:bookmarkStart w:id="0" w:name="_GoBack"/>
            <w:bookmarkEnd w:id="0"/>
            <w:r>
              <w:rPr>
                <w:rFonts w:hint="eastAsia" w:ascii="黑体" w:hAnsi="黑体" w:eastAsia="黑体" w:cs="黑体"/>
                <w:b w:val="0"/>
                <w:bCs w:val="0"/>
                <w:sz w:val="24"/>
              </w:rPr>
              <w:t>管理</w:t>
            </w:r>
            <w:r>
              <w:rPr>
                <w:rFonts w:hint="eastAsia" w:ascii="黑体" w:hAnsi="黑体" w:eastAsia="黑体" w:cs="黑体"/>
                <w:b w:val="0"/>
                <w:bCs w:val="0"/>
                <w:sz w:val="24"/>
                <w:lang w:eastAsia="zh-CN"/>
              </w:rPr>
              <w:t>制度</w:t>
            </w:r>
          </w:p>
          <w:p>
            <w:pPr>
              <w:pStyle w:val="7"/>
              <w:spacing w:before="1" w:line="240" w:lineRule="auto"/>
              <w:ind w:left="187" w:right="140"/>
              <w:jc w:val="both"/>
              <w:rPr>
                <w:rFonts w:hint="eastAsia" w:ascii="黑体" w:hAnsi="黑体" w:eastAsia="黑体" w:cs="黑体"/>
                <w:b/>
                <w:bCs/>
                <w:sz w:val="24"/>
                <w:lang w:eastAsia="zh-CN"/>
              </w:rPr>
            </w:pPr>
            <w:r>
              <w:rPr>
                <w:rFonts w:hint="eastAsia" w:ascii="黑体" w:hAnsi="黑体" w:eastAsia="黑体" w:cs="黑体"/>
                <w:b w:val="0"/>
                <w:bCs w:val="0"/>
                <w:sz w:val="24"/>
                <w:lang w:val="en-US" w:eastAsia="zh-CN"/>
              </w:rPr>
              <w:t>17</w:t>
            </w:r>
            <w:r>
              <w:rPr>
                <w:rFonts w:hint="eastAsia" w:ascii="黑体" w:hAnsi="黑体" w:eastAsia="黑体" w:cs="黑体"/>
                <w:b w:val="0"/>
                <w:bCs w:val="0"/>
                <w:sz w:val="24"/>
              </w:rPr>
              <w:t>分</w:t>
            </w:r>
            <w:r>
              <w:rPr>
                <w:rFonts w:hint="eastAsia" w:ascii="黑体" w:hAnsi="黑体" w:eastAsia="黑体" w:cs="黑体"/>
                <w:b w:val="0"/>
                <w:bCs w:val="0"/>
                <w:sz w:val="24"/>
                <w:lang w:val="en-US" w:eastAsia="zh-CN"/>
              </w:rPr>
              <w:t xml:space="preserve">                                                                                                                                                                                                                                                                </w:t>
            </w:r>
          </w:p>
        </w:tc>
        <w:tc>
          <w:tcPr>
            <w:tcW w:w="442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制定节约能源资源实施方案。有下属单位的，还需要明确年度节约能源资源目标。</w:t>
            </w:r>
          </w:p>
        </w:tc>
        <w:tc>
          <w:tcPr>
            <w:tcW w:w="4815" w:type="dxa"/>
            <w:vAlign w:val="center"/>
          </w:tcPr>
          <w:p>
            <w:pPr>
              <w:pStyle w:val="7"/>
              <w:spacing w:before="15"/>
              <w:jc w:val="both"/>
              <w:rPr>
                <w:rFonts w:hint="eastAsia" w:ascii="仿宋_GB2312" w:hAnsi="仿宋_GB2312" w:eastAsia="仿宋_GB2312" w:cs="仿宋_GB2312"/>
                <w:sz w:val="24"/>
              </w:rPr>
            </w:pPr>
            <w:r>
              <w:rPr>
                <w:rFonts w:hint="eastAsia" w:ascii="仿宋_GB2312" w:hAnsi="仿宋_GB2312" w:eastAsia="仿宋_GB2312" w:cs="仿宋_GB2312"/>
                <w:sz w:val="24"/>
              </w:rPr>
              <w:t>制定节约能源资源实施方案的，得4分；有下属单位的，未明确年度节约能源资源目标的，扣2分。</w:t>
            </w:r>
          </w:p>
        </w:tc>
        <w:tc>
          <w:tcPr>
            <w:tcW w:w="855" w:type="dxa"/>
            <w:vAlign w:val="center"/>
          </w:tcPr>
          <w:p>
            <w:pPr>
              <w:pStyle w:val="7"/>
              <w:spacing w:before="15"/>
              <w:jc w:val="center"/>
              <w:rPr>
                <w:rFonts w:hint="eastAsia" w:ascii="仿宋_GB2312" w:hAnsi="仿宋_GB2312" w:eastAsia="仿宋_GB2312" w:cs="仿宋_GB2312"/>
                <w:sz w:val="24"/>
                <w:szCs w:val="22"/>
                <w:lang w:val="en-US" w:eastAsia="zh-CN" w:bidi="zh-CN"/>
              </w:rPr>
            </w:pPr>
            <w:r>
              <w:rPr>
                <w:rFonts w:hint="eastAsia" w:ascii="仿宋_GB2312" w:hAnsi="仿宋_GB2312" w:eastAsia="仿宋_GB2312" w:cs="仿宋_GB2312"/>
                <w:sz w:val="24"/>
                <w:szCs w:val="22"/>
                <w:lang w:val="en-US" w:eastAsia="zh-CN" w:bidi="zh-CN"/>
              </w:rPr>
              <w:t>4</w:t>
            </w:r>
          </w:p>
        </w:tc>
        <w:tc>
          <w:tcPr>
            <w:tcW w:w="840" w:type="dxa"/>
            <w:vAlign w:val="top"/>
          </w:tcPr>
          <w:p>
            <w:pPr>
              <w:pStyle w:val="7"/>
              <w:rPr>
                <w:rFonts w:ascii="Times New Roman"/>
                <w:sz w:val="24"/>
              </w:rPr>
            </w:pPr>
          </w:p>
        </w:tc>
        <w:tc>
          <w:tcPr>
            <w:tcW w:w="855" w:type="dxa"/>
            <w:vAlign w:val="top"/>
          </w:tcPr>
          <w:p>
            <w:pPr>
              <w:pStyle w:val="7"/>
              <w:spacing w:before="247"/>
              <w:ind w:left="29"/>
              <w:jc w:val="center"/>
              <w:rPr>
                <w:rFonts w:hint="eastAsia" w:ascii="Microsoft JhengHei" w:eastAsia="Microsoft JhengHei"/>
                <w:b/>
                <w:sz w:val="31"/>
              </w:rPr>
            </w:pPr>
            <w:r>
              <w:rPr>
                <w:rFonts w:hint="eastAsia" w:ascii="Microsoft JhengHei" w:eastAsia="Microsoft JhengHei"/>
                <w:b/>
                <w:w w:val="101"/>
                <w:sz w:val="31"/>
              </w:rPr>
              <w:t>＊</w:t>
            </w:r>
          </w:p>
        </w:tc>
      </w:tr>
    </w:tbl>
    <w:p>
      <w:pPr>
        <w:spacing w:after="0"/>
        <w:jc w:val="center"/>
        <w:rPr>
          <w:rFonts w:hint="eastAsia" w:ascii="Microsoft JhengHei" w:eastAsia="Microsoft JhengHei"/>
          <w:sz w:val="31"/>
        </w:rPr>
        <w:sectPr>
          <w:type w:val="continuous"/>
          <w:pgSz w:w="16840" w:h="11910" w:orient="landscape"/>
          <w:pgMar w:top="1580" w:right="1280" w:bottom="280" w:left="1180" w:header="720" w:footer="720" w:gutter="0"/>
          <w:cols w:space="720" w:num="1"/>
        </w:sectPr>
      </w:pPr>
    </w:p>
    <w:p>
      <w:pPr>
        <w:pStyle w:val="4"/>
        <w:spacing w:before="4"/>
        <w:rPr>
          <w:rFonts w:ascii="Times New Roman"/>
          <w:sz w:val="26"/>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79" w:hRule="atLeast"/>
        </w:trPr>
        <w:tc>
          <w:tcPr>
            <w:tcW w:w="690" w:type="dxa"/>
            <w:vMerge w:val="restart"/>
            <w:vAlign w:val="top"/>
          </w:tcPr>
          <w:p>
            <w:pPr>
              <w:pStyle w:val="7"/>
              <w:rPr>
                <w:rFonts w:ascii="Times New Roman"/>
                <w:sz w:val="24"/>
              </w:rPr>
            </w:pPr>
          </w:p>
        </w:tc>
        <w:tc>
          <w:tcPr>
            <w:tcW w:w="840" w:type="dxa"/>
            <w:vMerge w:val="restart"/>
            <w:vAlign w:val="top"/>
          </w:tcPr>
          <w:p>
            <w:pPr>
              <w:pStyle w:val="7"/>
              <w:rPr>
                <w:rFonts w:ascii="Times New Roman"/>
                <w:sz w:val="24"/>
              </w:rPr>
            </w:pPr>
          </w:p>
        </w:tc>
        <w:tc>
          <w:tcPr>
            <w:tcW w:w="825" w:type="dxa"/>
            <w:vMerge w:val="restart"/>
            <w:vAlign w:val="top"/>
          </w:tcPr>
          <w:p>
            <w:pPr>
              <w:pStyle w:val="7"/>
              <w:rPr>
                <w:rFonts w:ascii="Times New Roman"/>
                <w:sz w:val="24"/>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8.制定能源资源消费统计、定额管理、节能、节水、生活垃圾分类、绿色消费以及用能设备设施节能操作规程等节约能源资源的管理制度。</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制定节能、节水、生活垃圾分类、绿色消费、节能监管系统以及设备设施操作规程等节约能源资源的管理制度，制定1项得1分，累计最高得4分。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4</w:t>
            </w:r>
          </w:p>
        </w:tc>
        <w:tc>
          <w:tcPr>
            <w:tcW w:w="840" w:type="dxa"/>
            <w:vAlign w:val="top"/>
          </w:tcPr>
          <w:p>
            <w:pPr>
              <w:pStyle w:val="7"/>
              <w:rPr>
                <w:rFonts w:ascii="Times New Roman"/>
                <w:sz w:val="24"/>
              </w:rPr>
            </w:pPr>
          </w:p>
        </w:tc>
        <w:tc>
          <w:tcPr>
            <w:tcW w:w="855" w:type="dxa"/>
            <w:vAlign w:val="top"/>
          </w:tcPr>
          <w:p>
            <w:pPr>
              <w:pStyle w:val="7"/>
              <w:spacing w:before="3"/>
              <w:rPr>
                <w:rFonts w:ascii="Times New Roman"/>
                <w:sz w:val="46"/>
              </w:rPr>
            </w:pPr>
          </w:p>
          <w:p>
            <w:pPr>
              <w:pStyle w:val="7"/>
              <w:spacing w:before="1"/>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9.通过规章制度或合同约定，对物业管理 提出能源资源节约管理目标和服务要求。</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通过规章制度或合同约定，对物业管理提出节能、节水、生活垃圾分类管理目标和服务要求的，得2分。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10.按照《公共机构能源资源计量器具配备和管理要求》，实行能源资源分户、分区、分项计量，建立能源资源计量器具台账。</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1.实行能源资源分户、分区、分项计量的， 得2分。</w:t>
            </w: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2.建立能源资源计量器具台账的，得2分。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4</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6"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11.按照《公共机构能源资源消费统计调查制度》要求，建立能源资源消费统计台账，定期报送、分析和公示能源资源消费状况。</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按照《公共机构能源资源消费统计调查制度》要求，建立能源资源消费统计台账，定期报送、分析和公示能源资源消费状况的，得3分。定期报送、分析、公示能源资源消费状况，每项1分。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3</w:t>
            </w:r>
          </w:p>
        </w:tc>
        <w:tc>
          <w:tcPr>
            <w:tcW w:w="840" w:type="dxa"/>
            <w:vAlign w:val="top"/>
          </w:tcPr>
          <w:p>
            <w:pPr>
              <w:pStyle w:val="7"/>
              <w:rPr>
                <w:rFonts w:ascii="Times New Roman"/>
                <w:sz w:val="24"/>
              </w:rPr>
            </w:pPr>
          </w:p>
        </w:tc>
        <w:tc>
          <w:tcPr>
            <w:tcW w:w="855" w:type="dxa"/>
            <w:vAlign w:val="top"/>
          </w:tcPr>
          <w:p>
            <w:pPr>
              <w:pStyle w:val="7"/>
              <w:spacing w:before="4"/>
              <w:rPr>
                <w:rFonts w:ascii="Times New Roman"/>
                <w:sz w:val="42"/>
              </w:rPr>
            </w:pPr>
          </w:p>
          <w:p>
            <w:pPr>
              <w:pStyle w:val="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restart"/>
            <w:vAlign w:val="top"/>
          </w:tcPr>
          <w:p>
            <w:pPr>
              <w:pStyle w:val="7"/>
              <w:rPr>
                <w:rFonts w:ascii="Times New Roman"/>
                <w:sz w:val="26"/>
              </w:rPr>
            </w:pPr>
          </w:p>
          <w:p>
            <w:pPr>
              <w:pStyle w:val="7"/>
              <w:rPr>
                <w:rFonts w:ascii="Times New Roman"/>
                <w:sz w:val="26"/>
              </w:rPr>
            </w:pPr>
          </w:p>
          <w:p>
            <w:pPr>
              <w:pStyle w:val="7"/>
              <w:spacing w:before="7"/>
              <w:rPr>
                <w:rFonts w:ascii="Times New Roman"/>
                <w:sz w:val="20"/>
              </w:rPr>
            </w:pPr>
          </w:p>
          <w:p>
            <w:pPr>
              <w:pStyle w:val="7"/>
              <w:ind w:left="232"/>
              <w:rPr>
                <w:rFonts w:hint="eastAsia" w:ascii="Microsoft JhengHei" w:eastAsia="Microsoft JhengHei"/>
                <w:b/>
                <w:sz w:val="24"/>
              </w:rPr>
            </w:pPr>
            <w:r>
              <w:rPr>
                <w:rFonts w:hint="eastAsia" w:ascii="黑体" w:hAnsi="黑体" w:eastAsia="黑体" w:cs="黑体"/>
                <w:b w:val="0"/>
                <w:bCs/>
                <w:sz w:val="24"/>
              </w:rPr>
              <w:t>三</w:t>
            </w:r>
          </w:p>
        </w:tc>
        <w:tc>
          <w:tcPr>
            <w:tcW w:w="840" w:type="dxa"/>
            <w:vMerge w:val="restart"/>
            <w:vAlign w:val="top"/>
          </w:tcPr>
          <w:p>
            <w:pPr>
              <w:pStyle w:val="7"/>
              <w:spacing w:before="4"/>
              <w:rPr>
                <w:rFonts w:ascii="Times New Roman"/>
                <w:sz w:val="38"/>
              </w:rPr>
            </w:pPr>
          </w:p>
          <w:p>
            <w:pPr>
              <w:pStyle w:val="7"/>
              <w:spacing w:line="240" w:lineRule="auto"/>
              <w:ind w:right="125"/>
              <w:jc w:val="center"/>
              <w:rPr>
                <w:rFonts w:hint="eastAsia" w:ascii="Microsoft JhengHei" w:eastAsia="Microsoft JhengHei"/>
                <w:b/>
                <w:sz w:val="24"/>
              </w:rPr>
            </w:pPr>
            <w:r>
              <w:rPr>
                <w:rFonts w:hint="eastAsia" w:ascii="黑体" w:hAnsi="黑体" w:eastAsia="黑体" w:cs="黑体"/>
                <w:b w:val="0"/>
                <w:bCs w:val="0"/>
                <w:sz w:val="24"/>
              </w:rPr>
              <w:t>推行绿色办公25分</w:t>
            </w:r>
          </w:p>
        </w:tc>
        <w:tc>
          <w:tcPr>
            <w:tcW w:w="825" w:type="dxa"/>
            <w:vMerge w:val="restart"/>
            <w:vAlign w:val="top"/>
          </w:tcPr>
          <w:p>
            <w:pPr>
              <w:pStyle w:val="7"/>
              <w:rPr>
                <w:rFonts w:ascii="Times New Roman"/>
                <w:sz w:val="26"/>
              </w:rPr>
            </w:pPr>
          </w:p>
          <w:p>
            <w:pPr>
              <w:pStyle w:val="7"/>
              <w:spacing w:before="8"/>
              <w:rPr>
                <w:rFonts w:ascii="Times New Roman"/>
                <w:sz w:val="26"/>
              </w:rPr>
            </w:pPr>
          </w:p>
          <w:p>
            <w:pPr>
              <w:pStyle w:val="7"/>
              <w:spacing w:before="1" w:line="240" w:lineRule="auto"/>
              <w:ind w:right="110"/>
              <w:jc w:val="center"/>
              <w:rPr>
                <w:rFonts w:hint="eastAsia" w:ascii="Microsoft JhengHei" w:eastAsia="Microsoft JhengHei"/>
                <w:b/>
                <w:sz w:val="24"/>
              </w:rPr>
            </w:pPr>
            <w:r>
              <w:rPr>
                <w:rFonts w:hint="eastAsia" w:ascii="黑体" w:hAnsi="黑体" w:eastAsia="黑体" w:cs="黑体"/>
                <w:b w:val="0"/>
                <w:bCs w:val="0"/>
                <w:sz w:val="24"/>
              </w:rPr>
              <w:t>行为节约10分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12.推进合同能源管理或能源托管模式应用。</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在节约型机关创建活动中，积极推进合同能源管理或能源托管模式应用的，得2分。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2</w:t>
            </w:r>
          </w:p>
        </w:tc>
        <w:tc>
          <w:tcPr>
            <w:tcW w:w="840" w:type="dxa"/>
            <w:vAlign w:val="top"/>
          </w:tcPr>
          <w:p>
            <w:pPr>
              <w:pStyle w:val="7"/>
              <w:ind w:right="230"/>
              <w:jc w:val="right"/>
              <w:rPr>
                <w:w w:val="200"/>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13.使用再生纸、再生耗材等循环再生办公用品 推进无纸化办公。</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推进无纸化办公，使用再生纸、再生耗材等循环再生办公用品，复印打印设备有明显“节约用纸</w:t>
            </w: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“双面打印”等标识的，得1分。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1</w:t>
            </w:r>
          </w:p>
        </w:tc>
        <w:tc>
          <w:tcPr>
            <w:tcW w:w="840" w:type="dxa"/>
            <w:vAlign w:val="top"/>
          </w:tcPr>
          <w:p>
            <w:pPr>
              <w:pStyle w:val="7"/>
              <w:rPr>
                <w:rFonts w:ascii="Times New Roman"/>
                <w:sz w:val="24"/>
              </w:rPr>
            </w:pPr>
          </w:p>
        </w:tc>
        <w:tc>
          <w:tcPr>
            <w:tcW w:w="855" w:type="dxa"/>
            <w:vAlign w:val="top"/>
          </w:tcPr>
          <w:p>
            <w:pPr>
              <w:pStyle w:val="7"/>
              <w:spacing w:before="4"/>
              <w:rPr>
                <w:rFonts w:ascii="Times New Roman"/>
                <w:sz w:val="29"/>
              </w:rPr>
            </w:pPr>
          </w:p>
          <w:p>
            <w:pPr>
              <w:pStyle w:val="7"/>
              <w:ind w:right="245"/>
              <w:jc w:val="right"/>
              <w:rPr>
                <w:rFonts w:hint="eastAsia" w:ascii="Microsoft JhengHei" w:eastAsia="Microsoft JhengHei"/>
                <w:b/>
                <w:sz w:val="31"/>
              </w:rPr>
            </w:pPr>
            <w:r>
              <w:rPr>
                <w:rFonts w:hint="eastAsia" w:ascii="Microsoft JhengHei" w:eastAsia="Microsoft JhengHei"/>
                <w:b/>
                <w:w w:val="101"/>
                <w:sz w:val="31"/>
              </w:rPr>
              <w:t>＊</w:t>
            </w:r>
          </w:p>
        </w:tc>
      </w:tr>
    </w:tbl>
    <w:p>
      <w:pPr>
        <w:spacing w:after="0"/>
        <w:jc w:val="right"/>
        <w:rPr>
          <w:rFonts w:hint="eastAsia" w:ascii="Microsoft JhengHei" w:eastAsia="Microsoft JhengHei"/>
          <w:sz w:val="31"/>
        </w:rPr>
        <w:sectPr>
          <w:pgSz w:w="16840" w:h="11910" w:orient="landscape"/>
          <w:pgMar w:top="1100" w:right="1280" w:bottom="280" w:left="1180" w:header="720" w:footer="720" w:gutter="0"/>
          <w:cols w:space="720" w:num="1"/>
        </w:sectPr>
      </w:pPr>
    </w:p>
    <w:p>
      <w:pPr>
        <w:pStyle w:val="4"/>
        <w:spacing w:before="4"/>
        <w:rPr>
          <w:rFonts w:ascii="Times New Roman"/>
          <w:sz w:val="26"/>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9" w:hRule="atLeast"/>
        </w:trPr>
        <w:tc>
          <w:tcPr>
            <w:tcW w:w="690" w:type="dxa"/>
            <w:vMerge w:val="restart"/>
            <w:vAlign w:val="top"/>
          </w:tcPr>
          <w:p>
            <w:pPr>
              <w:pStyle w:val="7"/>
              <w:rPr>
                <w:rFonts w:ascii="Times New Roman"/>
                <w:sz w:val="24"/>
              </w:rPr>
            </w:pPr>
          </w:p>
        </w:tc>
        <w:tc>
          <w:tcPr>
            <w:tcW w:w="840" w:type="dxa"/>
            <w:vMerge w:val="restart"/>
            <w:vAlign w:val="top"/>
          </w:tcPr>
          <w:p>
            <w:pPr>
              <w:pStyle w:val="7"/>
              <w:rPr>
                <w:rFonts w:ascii="Times New Roman"/>
                <w:sz w:val="24"/>
              </w:rPr>
            </w:pPr>
          </w:p>
        </w:tc>
        <w:tc>
          <w:tcPr>
            <w:tcW w:w="825" w:type="dxa"/>
            <w:vMerge w:val="restart"/>
            <w:vAlign w:val="top"/>
          </w:tcPr>
          <w:p>
            <w:pPr>
              <w:pStyle w:val="7"/>
              <w:rPr>
                <w:rFonts w:ascii="Times New Roman"/>
                <w:sz w:val="24"/>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14.禁止使用一次性纸杯、塑料袋等一次性办公用品。</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禁止使用一次性纸杯、塑料袋等一次性办公用品，来客和会务统一使用瓷杯和玻璃杯的，得1分。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spacing w:before="322"/>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15.电梯节能。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禁止三层以下办公场所使用电梯，倡导多走楼梯，少乘电梯的，得1分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0"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16.利用自然光源节能。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充分利用自然采光的，得1分。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spacing w:before="3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17.利用自然通风节能。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充分利用自然通风的，得1分。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spacing w:before="3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5"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18.实现高效照明节能。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实现高效照明光源使用率100%的，得1分。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spacing w:before="3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19.空调温度节能。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执行夏季室内空调温度设置不得低于26摄氏度的空调温度控制标准的，得1分。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spacing w:before="9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5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20.采取有效节水管理措施节能。</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100％使用节水型器具，采用感应式节水龙头等节水管理措施，无明显跑冒滴漏现象的，得1分。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restart"/>
            <w:vAlign w:val="top"/>
          </w:tcPr>
          <w:p>
            <w:pPr>
              <w:pStyle w:val="7"/>
              <w:rPr>
                <w:rFonts w:ascii="Times New Roman"/>
                <w:sz w:val="26"/>
              </w:rPr>
            </w:pPr>
          </w:p>
          <w:p>
            <w:pPr>
              <w:pStyle w:val="7"/>
              <w:rPr>
                <w:rFonts w:ascii="Times New Roman"/>
                <w:sz w:val="26"/>
              </w:rPr>
            </w:pPr>
          </w:p>
          <w:p>
            <w:pPr>
              <w:pStyle w:val="7"/>
              <w:spacing w:before="4"/>
              <w:rPr>
                <w:rFonts w:ascii="Times New Roman"/>
                <w:sz w:val="31"/>
              </w:rPr>
            </w:pPr>
          </w:p>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绿色出行</w:t>
            </w:r>
          </w:p>
          <w:p>
            <w:pPr>
              <w:pStyle w:val="7"/>
              <w:spacing w:line="240" w:lineRule="auto"/>
              <w:ind w:right="140"/>
              <w:jc w:val="center"/>
              <w:rPr>
                <w:rFonts w:hint="eastAsia" w:ascii="Microsoft JhengHei" w:eastAsia="Microsoft JhengHei"/>
                <w:b/>
                <w:sz w:val="24"/>
              </w:rPr>
            </w:pPr>
            <w:r>
              <w:rPr>
                <w:rFonts w:hint="eastAsia" w:ascii="黑体" w:hAnsi="黑体" w:eastAsia="黑体" w:cs="黑体"/>
                <w:b w:val="0"/>
                <w:bCs w:val="0"/>
                <w:sz w:val="24"/>
              </w:rPr>
              <w:t>8分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21.鼓励干部职工践行“135”等低碳出行方式。</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有明显措施鼓励干部职工践行“135”等低碳出行方式，公共场所有明显“低碳出行”标识的，得2分。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val="en-US" w:eastAsia="zh-CN"/>
              </w:rPr>
              <w:t>2</w:t>
            </w:r>
          </w:p>
        </w:tc>
        <w:tc>
          <w:tcPr>
            <w:tcW w:w="840" w:type="dxa"/>
            <w:vAlign w:val="top"/>
          </w:tcPr>
          <w:p>
            <w:pPr>
              <w:pStyle w:val="7"/>
              <w:rPr>
                <w:rFonts w:ascii="Times New Roman"/>
                <w:sz w:val="24"/>
              </w:rPr>
            </w:pPr>
          </w:p>
        </w:tc>
        <w:tc>
          <w:tcPr>
            <w:tcW w:w="855" w:type="dxa"/>
            <w:vAlign w:val="top"/>
          </w:tcPr>
          <w:p>
            <w:pPr>
              <w:pStyle w:val="7"/>
              <w:spacing w:before="24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22.设置新能源汽车专用停车位。</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在党政机关集中办公区和有条件的党政机关建设新能源汽车专用停车位的，得1分。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23.新能源汽车充电桩建设。</w:t>
            </w:r>
          </w:p>
        </w:tc>
        <w:tc>
          <w:tcPr>
            <w:tcW w:w="481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完成上级下达的新能源汽车充电桩建设任务的，得2分。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val="en-US" w:eastAsia="zh-CN"/>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bl>
    <w:p>
      <w:pPr>
        <w:spacing w:after="0"/>
        <w:rPr>
          <w:rFonts w:ascii="Times New Roman"/>
          <w:sz w:val="24"/>
        </w:rPr>
      </w:pPr>
    </w:p>
    <w:p>
      <w:pPr>
        <w:spacing w:after="0"/>
        <w:rPr>
          <w:rFonts w:ascii="Times New Roman"/>
          <w:sz w:val="24"/>
        </w:rPr>
      </w:pPr>
    </w:p>
    <w:p>
      <w:pPr>
        <w:spacing w:after="0"/>
        <w:rPr>
          <w:rFonts w:ascii="Times New Roman"/>
          <w:sz w:val="24"/>
        </w:rPr>
      </w:pPr>
    </w:p>
    <w:p>
      <w:pPr>
        <w:spacing w:after="0"/>
        <w:rPr>
          <w:rFonts w:ascii="Times New Roman"/>
          <w:sz w:val="24"/>
        </w:rPr>
      </w:pPr>
    </w:p>
    <w:p>
      <w:pPr>
        <w:spacing w:after="0"/>
        <w:rPr>
          <w:rFonts w:ascii="Times New Roman"/>
          <w:sz w:val="24"/>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4" w:hRule="atLeast"/>
        </w:trPr>
        <w:tc>
          <w:tcPr>
            <w:tcW w:w="690" w:type="dxa"/>
            <w:vMerge w:val="restart"/>
            <w:vAlign w:val="center"/>
          </w:tcPr>
          <w:p>
            <w:pPr>
              <w:pStyle w:val="7"/>
              <w:jc w:val="center"/>
              <w:rPr>
                <w:rFonts w:ascii="Times New Roman"/>
                <w:sz w:val="24"/>
              </w:rPr>
            </w:pPr>
          </w:p>
        </w:tc>
        <w:tc>
          <w:tcPr>
            <w:tcW w:w="840" w:type="dxa"/>
            <w:vMerge w:val="restart"/>
            <w:vAlign w:val="center"/>
          </w:tcPr>
          <w:p>
            <w:pPr>
              <w:pStyle w:val="7"/>
              <w:jc w:val="center"/>
              <w:rPr>
                <w:rFonts w:ascii="Times New Roman"/>
                <w:sz w:val="24"/>
              </w:rPr>
            </w:pPr>
          </w:p>
        </w:tc>
        <w:tc>
          <w:tcPr>
            <w:tcW w:w="825" w:type="dxa"/>
            <w:vMerge w:val="restart"/>
            <w:vAlign w:val="center"/>
          </w:tcPr>
          <w:p>
            <w:pPr>
              <w:pStyle w:val="7"/>
              <w:jc w:val="center"/>
              <w:rPr>
                <w:rFonts w:ascii="Times New Roman"/>
                <w:sz w:val="24"/>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24.公务用车单车油耗核算。</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实行公务用车单车油耗核算，建立统计台账管理的，得2分。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2</w:t>
            </w:r>
          </w:p>
        </w:tc>
        <w:tc>
          <w:tcPr>
            <w:tcW w:w="840" w:type="dxa"/>
            <w:vAlign w:val="top"/>
          </w:tcPr>
          <w:p>
            <w:pPr>
              <w:pStyle w:val="7"/>
              <w:rPr>
                <w:rFonts w:ascii="Times New Roman"/>
                <w:sz w:val="24"/>
              </w:rPr>
            </w:pPr>
          </w:p>
        </w:tc>
        <w:tc>
          <w:tcPr>
            <w:tcW w:w="855" w:type="dxa"/>
            <w:vAlign w:val="top"/>
          </w:tcPr>
          <w:p>
            <w:pPr>
              <w:pStyle w:val="7"/>
              <w:spacing w:before="6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5" w:hRule="atLeast"/>
        </w:trPr>
        <w:tc>
          <w:tcPr>
            <w:tcW w:w="690" w:type="dxa"/>
            <w:vMerge w:val="continue"/>
            <w:tcBorders>
              <w:top w:val="nil"/>
            </w:tcBorders>
            <w:vAlign w:val="center"/>
          </w:tcPr>
          <w:p>
            <w:pPr>
              <w:jc w:val="center"/>
              <w:rPr>
                <w:sz w:val="2"/>
                <w:szCs w:val="2"/>
              </w:rPr>
            </w:pPr>
          </w:p>
        </w:tc>
        <w:tc>
          <w:tcPr>
            <w:tcW w:w="840" w:type="dxa"/>
            <w:vMerge w:val="continue"/>
            <w:tcBorders>
              <w:top w:val="nil"/>
            </w:tcBorders>
            <w:vAlign w:val="center"/>
          </w:tcPr>
          <w:p>
            <w:pPr>
              <w:jc w:val="center"/>
              <w:rPr>
                <w:sz w:val="2"/>
                <w:szCs w:val="2"/>
              </w:rPr>
            </w:pPr>
          </w:p>
        </w:tc>
        <w:tc>
          <w:tcPr>
            <w:tcW w:w="825" w:type="dxa"/>
            <w:vMerge w:val="continue"/>
            <w:tcBorders>
              <w:top w:val="nil"/>
            </w:tcBorders>
            <w:vAlign w:val="center"/>
          </w:tcPr>
          <w:p>
            <w:pPr>
              <w:jc w:val="cente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25.公务用车出行记录。</w:t>
            </w:r>
          </w:p>
        </w:tc>
        <w:tc>
          <w:tcPr>
            <w:tcW w:w="481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公务用车建立清晰的出行记录的，得1分。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1</w:t>
            </w:r>
          </w:p>
        </w:tc>
        <w:tc>
          <w:tcPr>
            <w:tcW w:w="840" w:type="dxa"/>
            <w:vAlign w:val="top"/>
          </w:tcPr>
          <w:p>
            <w:pPr>
              <w:pStyle w:val="7"/>
              <w:rPr>
                <w:rFonts w:ascii="Times New Roman"/>
                <w:sz w:val="24"/>
              </w:rPr>
            </w:pPr>
          </w:p>
        </w:tc>
        <w:tc>
          <w:tcPr>
            <w:tcW w:w="855" w:type="dxa"/>
            <w:vAlign w:val="top"/>
          </w:tcPr>
          <w:p>
            <w:pPr>
              <w:pStyle w:val="7"/>
              <w:spacing w:before="9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9" w:hRule="atLeast"/>
        </w:trPr>
        <w:tc>
          <w:tcPr>
            <w:tcW w:w="69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4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25"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绿色采购</w:t>
            </w:r>
          </w:p>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4分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26.按照《海南省绿色产品政府采购实施意见（试行）》要求，强制绿色采购。</w:t>
            </w:r>
          </w:p>
        </w:tc>
        <w:tc>
          <w:tcPr>
            <w:tcW w:w="481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带头采购更多节能、节水、环保、再生等绿色产品的，得2分。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2</w:t>
            </w:r>
          </w:p>
        </w:tc>
        <w:tc>
          <w:tcPr>
            <w:tcW w:w="840" w:type="dxa"/>
            <w:vAlign w:val="top"/>
          </w:tcPr>
          <w:p>
            <w:pPr>
              <w:pStyle w:val="7"/>
              <w:rPr>
                <w:rFonts w:ascii="Times New Roman"/>
                <w:sz w:val="24"/>
              </w:rPr>
            </w:pPr>
          </w:p>
        </w:tc>
        <w:tc>
          <w:tcPr>
            <w:tcW w:w="855" w:type="dxa"/>
            <w:vAlign w:val="top"/>
          </w:tcPr>
          <w:p>
            <w:pPr>
              <w:pStyle w:val="7"/>
              <w:spacing w:before="24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4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25"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27.公务用车采购。</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除特殊情况外，党政机关新增和更换的公务用车强制采购国产清洁能源汽车的，得分。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2</w:t>
            </w:r>
          </w:p>
        </w:tc>
        <w:tc>
          <w:tcPr>
            <w:tcW w:w="840" w:type="dxa"/>
            <w:vAlign w:val="top"/>
          </w:tcPr>
          <w:p>
            <w:pPr>
              <w:pStyle w:val="7"/>
              <w:rPr>
                <w:rFonts w:ascii="Times New Roman"/>
                <w:sz w:val="24"/>
              </w:rPr>
            </w:pPr>
          </w:p>
        </w:tc>
        <w:tc>
          <w:tcPr>
            <w:tcW w:w="855" w:type="dxa"/>
            <w:vAlign w:val="top"/>
          </w:tcPr>
          <w:p>
            <w:pPr>
              <w:pStyle w:val="7"/>
              <w:spacing w:before="112"/>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24" w:hRule="atLeast"/>
        </w:trPr>
        <w:tc>
          <w:tcPr>
            <w:tcW w:w="69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4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25"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绿色食堂</w:t>
            </w:r>
          </w:p>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3分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28.反对食品浪费、节约粮食。</w:t>
            </w:r>
          </w:p>
        </w:tc>
        <w:tc>
          <w:tcPr>
            <w:tcW w:w="481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食堂有“光盘行动”等明显标识的，得分。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1</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5" w:hRule="atLeast"/>
        </w:trPr>
        <w:tc>
          <w:tcPr>
            <w:tcW w:w="69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40"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825" w:type="dxa"/>
            <w:vMerge w:val="continue"/>
            <w:tcBorders>
              <w:top w:val="nil"/>
            </w:tcBorders>
            <w:vAlign w:val="center"/>
          </w:tcPr>
          <w:p>
            <w:pPr>
              <w:pStyle w:val="7"/>
              <w:spacing w:line="240" w:lineRule="auto"/>
              <w:ind w:right="140"/>
              <w:jc w:val="center"/>
              <w:rPr>
                <w:rFonts w:hint="eastAsia" w:ascii="黑体" w:hAnsi="黑体" w:eastAsia="黑体" w:cs="黑体"/>
                <w:b w:val="0"/>
                <w:bCs w:val="0"/>
                <w:sz w:val="24"/>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29.推广节气、节水、净化油烟、污水处理等厨房设备。</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有食堂的机关要推广应用一级能效燃气灶具，节水型洗菜器具，安装高效油烟净化处</w:t>
            </w: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理器，安装污水处理设备的，每项0.5分， 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690"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四</w:t>
            </w:r>
          </w:p>
        </w:tc>
        <w:tc>
          <w:tcPr>
            <w:tcW w:w="840"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实行生活垃圾分类28分</w:t>
            </w:r>
          </w:p>
        </w:tc>
        <w:tc>
          <w:tcPr>
            <w:tcW w:w="825"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源头减量</w:t>
            </w:r>
          </w:p>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9分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30.采取源头减量化措施。</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开展节约粮食或旧物再利用等生活垃圾源头减量化措施、活动的，得2分。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110"/>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31.使用循环再生办公用品。</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使用再生纸、再生墨盒等循环再生办公用品的，得2分。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6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4"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32.限制使用一次性办公用品。</w:t>
            </w:r>
          </w:p>
        </w:tc>
        <w:tc>
          <w:tcPr>
            <w:tcW w:w="481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限制使用一次性签字笔、纸杯等的，得2分。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82"/>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33.禁止使用不可降解一次性塑料制品。</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禁止使用不可降解塑料袋、塑料杯等制品的，得3分。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3</w:t>
            </w:r>
          </w:p>
        </w:tc>
        <w:tc>
          <w:tcPr>
            <w:tcW w:w="840" w:type="dxa"/>
            <w:vAlign w:val="top"/>
          </w:tcPr>
          <w:p>
            <w:pPr>
              <w:pStyle w:val="7"/>
              <w:ind w:right="230"/>
              <w:jc w:val="right"/>
              <w:rPr>
                <w:w w:val="200"/>
                <w:sz w:val="24"/>
              </w:rPr>
            </w:pPr>
          </w:p>
        </w:tc>
        <w:tc>
          <w:tcPr>
            <w:tcW w:w="855" w:type="dxa"/>
            <w:vAlign w:val="top"/>
          </w:tcPr>
          <w:p>
            <w:pPr>
              <w:pStyle w:val="7"/>
              <w:spacing w:before="112"/>
              <w:ind w:right="245"/>
              <w:jc w:val="right"/>
              <w:rPr>
                <w:rFonts w:hint="eastAsia" w:ascii="Microsoft JhengHei" w:eastAsia="Microsoft JhengHei"/>
                <w:b/>
                <w:sz w:val="31"/>
              </w:rPr>
            </w:pPr>
            <w:r>
              <w:rPr>
                <w:rFonts w:hint="eastAsia" w:ascii="Microsoft JhengHei" w:eastAsia="Microsoft JhengHei"/>
                <w:b/>
                <w:w w:val="101"/>
                <w:sz w:val="31"/>
              </w:rPr>
              <w:t>＊</w:t>
            </w:r>
          </w:p>
        </w:tc>
      </w:tr>
    </w:tbl>
    <w:p>
      <w:pPr>
        <w:spacing w:after="0"/>
        <w:rPr>
          <w:rFonts w:ascii="Times New Roman"/>
          <w:sz w:val="24"/>
        </w:rPr>
        <w:sectPr>
          <w:pgSz w:w="16840" w:h="11910" w:orient="landscape"/>
          <w:pgMar w:top="1100" w:right="1280" w:bottom="280" w:left="1180" w:header="720" w:footer="720" w:gutter="0"/>
          <w:cols w:space="720" w:num="1"/>
        </w:sectPr>
      </w:pPr>
    </w:p>
    <w:p>
      <w:pPr>
        <w:pStyle w:val="4"/>
        <w:spacing w:before="4"/>
        <w:rPr>
          <w:rFonts w:ascii="Times New Roman"/>
          <w:sz w:val="26"/>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4" w:hRule="atLeast"/>
        </w:trPr>
        <w:tc>
          <w:tcPr>
            <w:tcW w:w="690" w:type="dxa"/>
            <w:vMerge w:val="restart"/>
            <w:vAlign w:val="top"/>
          </w:tcPr>
          <w:p>
            <w:pPr>
              <w:pStyle w:val="7"/>
              <w:spacing w:line="240" w:lineRule="auto"/>
              <w:ind w:right="140"/>
              <w:jc w:val="center"/>
              <w:rPr>
                <w:rFonts w:hint="eastAsia" w:ascii="黑体" w:hAnsi="黑体" w:eastAsia="黑体" w:cs="黑体"/>
                <w:b w:val="0"/>
                <w:bCs w:val="0"/>
                <w:sz w:val="24"/>
              </w:rPr>
            </w:pPr>
          </w:p>
        </w:tc>
        <w:tc>
          <w:tcPr>
            <w:tcW w:w="840" w:type="dxa"/>
            <w:vMerge w:val="restart"/>
            <w:vAlign w:val="top"/>
          </w:tcPr>
          <w:p>
            <w:pPr>
              <w:pStyle w:val="7"/>
              <w:spacing w:line="240" w:lineRule="auto"/>
              <w:ind w:right="140"/>
              <w:jc w:val="center"/>
              <w:rPr>
                <w:rFonts w:hint="eastAsia" w:ascii="黑体" w:hAnsi="黑体" w:eastAsia="黑体" w:cs="黑体"/>
                <w:b w:val="0"/>
                <w:bCs w:val="0"/>
                <w:sz w:val="24"/>
              </w:rPr>
            </w:pPr>
          </w:p>
        </w:tc>
        <w:tc>
          <w:tcPr>
            <w:tcW w:w="825" w:type="dxa"/>
            <w:vMerge w:val="restart"/>
            <w:vAlign w:val="center"/>
          </w:tcPr>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分类投放</w:t>
            </w:r>
          </w:p>
          <w:p>
            <w:pPr>
              <w:pStyle w:val="7"/>
              <w:spacing w:line="240" w:lineRule="auto"/>
              <w:ind w:right="140"/>
              <w:jc w:val="center"/>
              <w:rPr>
                <w:rFonts w:hint="eastAsia" w:ascii="黑体" w:hAnsi="黑体" w:eastAsia="黑体" w:cs="黑体"/>
                <w:b w:val="0"/>
                <w:bCs w:val="0"/>
                <w:sz w:val="24"/>
              </w:rPr>
            </w:pPr>
            <w:r>
              <w:rPr>
                <w:rFonts w:hint="eastAsia" w:ascii="黑体" w:hAnsi="黑体" w:eastAsia="黑体" w:cs="黑体"/>
                <w:b w:val="0"/>
                <w:bCs w:val="0"/>
                <w:sz w:val="24"/>
              </w:rPr>
              <w:t>9分</w:t>
            </w:r>
          </w:p>
        </w:tc>
        <w:tc>
          <w:tcPr>
            <w:tcW w:w="442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34.按生活垃圾分类标准合理配置垃圾分类容器设施。</w:t>
            </w:r>
          </w:p>
        </w:tc>
        <w:tc>
          <w:tcPr>
            <w:tcW w:w="481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办公区或公共区按海南省生活垃圾分类标准合理配置垃圾分类容器设施的，得3分。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lang w:val="en-US" w:eastAsia="zh-CN"/>
              </w:rPr>
              <w:t>3</w:t>
            </w:r>
          </w:p>
        </w:tc>
        <w:tc>
          <w:tcPr>
            <w:tcW w:w="840" w:type="dxa"/>
            <w:vAlign w:val="top"/>
          </w:tcPr>
          <w:p>
            <w:pPr>
              <w:pStyle w:val="7"/>
              <w:rPr>
                <w:rFonts w:ascii="Times New Roman"/>
                <w:sz w:val="24"/>
              </w:rPr>
            </w:pPr>
          </w:p>
        </w:tc>
        <w:tc>
          <w:tcPr>
            <w:tcW w:w="855" w:type="dxa"/>
            <w:vAlign w:val="top"/>
          </w:tcPr>
          <w:p>
            <w:pPr>
              <w:pStyle w:val="7"/>
              <w:spacing w:before="248"/>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9"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35.垃圾集中投放点张贴垃圾分类投放指南。</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垃圾集中投放点张贴垃圾分类投放指南的， 得2分。在垃圾集中投放点未张贴垃圾分类投放指南的，每发现一处扣1分，扣完止。</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0"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36.分类投放生活垃圾。</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分类投放生活垃圾的，得4分。每发现一起不按照规定投放的扣1分，扣完为止。</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4</w:t>
            </w:r>
          </w:p>
        </w:tc>
        <w:tc>
          <w:tcPr>
            <w:tcW w:w="840" w:type="dxa"/>
            <w:vAlign w:val="top"/>
          </w:tcPr>
          <w:p>
            <w:pPr>
              <w:pStyle w:val="7"/>
              <w:rPr>
                <w:rFonts w:ascii="Times New Roman"/>
                <w:sz w:val="24"/>
              </w:rPr>
            </w:pPr>
          </w:p>
        </w:tc>
        <w:tc>
          <w:tcPr>
            <w:tcW w:w="855" w:type="dxa"/>
            <w:vAlign w:val="top"/>
          </w:tcPr>
          <w:p>
            <w:pPr>
              <w:pStyle w:val="7"/>
              <w:spacing w:before="67"/>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9"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restart"/>
            <w:vAlign w:val="center"/>
          </w:tcPr>
          <w:p>
            <w:pPr>
              <w:pStyle w:val="7"/>
              <w:spacing w:line="175" w:lineRule="auto"/>
              <w:ind w:right="11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分类收运10分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37.建立垃圾分类清运合帐，定期公示垃圾清运量。</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建立垃圾分类清运台帐定期公示垃圾清运量的，得2分。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9"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38.有害垃圾存放、收运。</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有害垃圾单独存放，与具备处理资质的企业签订收运处置协议的，得2分。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85"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39.可回收物回收、收运。</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可回收物统一回收，与具备回收资质的企业签订收运处置协议的，得2分。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9"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40.餐厨垃圾处置。</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餐厨垃圾按国家及属地要求规范收运处置的，得2分。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9" w:hRule="atLeast"/>
        </w:trPr>
        <w:tc>
          <w:tcPr>
            <w:tcW w:w="69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rPr>
                <w:rFonts w:hint="eastAsia" w:ascii="黑体" w:hAnsi="黑体" w:eastAsia="黑体" w:cs="黑体"/>
                <w:b w:val="0"/>
                <w:bCs w:val="0"/>
                <w:sz w:val="24"/>
                <w:szCs w:val="22"/>
                <w:lang w:val="zh-CN" w:eastAsia="zh-CN" w:bidi="zh-CN"/>
              </w:rPr>
            </w:pPr>
          </w:p>
        </w:tc>
        <w:tc>
          <w:tcPr>
            <w:tcW w:w="825" w:type="dxa"/>
            <w:vMerge w:val="continue"/>
            <w:tcBorders>
              <w:top w:val="nil"/>
            </w:tcBorders>
            <w:vAlign w:val="center"/>
          </w:tcPr>
          <w:p>
            <w:pPr>
              <w:jc w:val="center"/>
              <w:rPr>
                <w:rFonts w:hint="eastAsia" w:ascii="黑体" w:hAnsi="黑体" w:eastAsia="黑体" w:cs="黑体"/>
                <w:b w:val="0"/>
                <w:bCs w:val="0"/>
                <w:sz w:val="24"/>
                <w:szCs w:val="22"/>
                <w:lang w:val="zh-CN" w:eastAsia="zh-CN" w:bidi="zh-CN"/>
              </w:rPr>
            </w:pPr>
          </w:p>
        </w:tc>
        <w:tc>
          <w:tcPr>
            <w:tcW w:w="4425" w:type="dxa"/>
            <w:vAlign w:val="center"/>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41.鼓励安装应用餐厨垃圾就地处理设备，厨余垃圾就地消化。</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有食堂的单位安装应用餐厨垃圾就地处理设备，厨余垃圾就地消化的，得2分。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690" w:type="dxa"/>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40" w:type="dxa"/>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25" w:type="dxa"/>
            <w:vAlign w:val="center"/>
          </w:tcPr>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宣传实践</w:t>
            </w:r>
          </w:p>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9分</w:t>
            </w:r>
          </w:p>
        </w:tc>
        <w:tc>
          <w:tcPr>
            <w:tcW w:w="4425" w:type="dxa"/>
            <w:vAlign w:val="center"/>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42.开展各类节能宣传实践活动。</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结合全国节能宣传周、全国低碳日、世界水日、中国水周活动，组织开展形式多样的宣传实践活动，开展 1项得 1分，累计最高得</w:t>
            </w: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4</w:t>
            </w:r>
          </w:p>
        </w:tc>
        <w:tc>
          <w:tcPr>
            <w:tcW w:w="840" w:type="dxa"/>
            <w:vAlign w:val="top"/>
          </w:tcPr>
          <w:p>
            <w:pPr>
              <w:pStyle w:val="7"/>
              <w:rPr>
                <w:rFonts w:ascii="Times New Roman"/>
                <w:sz w:val="24"/>
              </w:rPr>
            </w:pPr>
          </w:p>
        </w:tc>
        <w:tc>
          <w:tcPr>
            <w:tcW w:w="855" w:type="dxa"/>
            <w:vAlign w:val="top"/>
          </w:tcPr>
          <w:p>
            <w:pPr>
              <w:pStyle w:val="7"/>
              <w:spacing w:before="322"/>
              <w:ind w:right="245"/>
              <w:jc w:val="right"/>
              <w:rPr>
                <w:rFonts w:hint="eastAsia" w:ascii="Microsoft JhengHei" w:eastAsia="Microsoft JhengHei"/>
                <w:b/>
                <w:sz w:val="31"/>
              </w:rPr>
            </w:pPr>
            <w:r>
              <w:rPr>
                <w:rFonts w:hint="eastAsia" w:ascii="Microsoft JhengHei" w:eastAsia="Microsoft JhengHei"/>
                <w:b/>
                <w:w w:val="101"/>
                <w:sz w:val="31"/>
              </w:rPr>
              <w:t>＊</w:t>
            </w:r>
          </w:p>
        </w:tc>
      </w:tr>
    </w:tbl>
    <w:p>
      <w:pPr>
        <w:spacing w:after="0"/>
        <w:jc w:val="right"/>
        <w:rPr>
          <w:rFonts w:hint="eastAsia" w:ascii="Microsoft JhengHei" w:eastAsia="Microsoft JhengHei"/>
          <w:sz w:val="31"/>
        </w:rPr>
        <w:sectPr>
          <w:pgSz w:w="16840" w:h="11910" w:orient="landscape"/>
          <w:pgMar w:top="1100" w:right="1280" w:bottom="280" w:left="1180" w:header="720" w:footer="720" w:gutter="0"/>
          <w:cols w:space="720" w:num="1"/>
        </w:sectPr>
      </w:pPr>
    </w:p>
    <w:p>
      <w:pPr>
        <w:pStyle w:val="4"/>
        <w:spacing w:before="4"/>
        <w:rPr>
          <w:rFonts w:ascii="Times New Roman"/>
          <w:sz w:val="26"/>
        </w:rPr>
      </w:pPr>
    </w:p>
    <w:tbl>
      <w:tblPr>
        <w:tblW w:w="14145" w:type="dxa"/>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840"/>
        <w:gridCol w:w="825"/>
        <w:gridCol w:w="4425"/>
        <w:gridCol w:w="4815"/>
        <w:gridCol w:w="855"/>
        <w:gridCol w:w="84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690" w:type="dxa"/>
            <w:vMerge w:val="restart"/>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五</w:t>
            </w:r>
          </w:p>
        </w:tc>
        <w:tc>
          <w:tcPr>
            <w:tcW w:w="840" w:type="dxa"/>
            <w:vMerge w:val="restart"/>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开展宣传教育13分</w:t>
            </w:r>
          </w:p>
        </w:tc>
        <w:tc>
          <w:tcPr>
            <w:tcW w:w="825" w:type="dxa"/>
            <w:vMerge w:val="restart"/>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4425" w:type="dxa"/>
            <w:vAlign w:val="top"/>
          </w:tcPr>
          <w:p>
            <w:pPr>
              <w:pStyle w:val="7"/>
              <w:spacing w:before="15"/>
              <w:jc w:val="both"/>
              <w:rPr>
                <w:rFonts w:hint="eastAsia" w:ascii="仿宋_GB2312" w:hAnsi="仿宋_GB2312" w:eastAsia="仿宋_GB2312" w:cs="仿宋_GB2312"/>
                <w:sz w:val="24"/>
                <w:lang w:val="en-US" w:eastAsia="zh-CN"/>
              </w:rPr>
            </w:pP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43.张贴节电、随手关灯、少使用电、空调温度设定提醒标志。</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张贴设备节电、随手关灯、节约用水、减少使用电梯、空调温度设定、垃圾分类投放等</w:t>
            </w:r>
          </w:p>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提醒标识，有1类标识得1分，累计最高得3分。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3</w:t>
            </w:r>
          </w:p>
        </w:tc>
        <w:tc>
          <w:tcPr>
            <w:tcW w:w="840" w:type="dxa"/>
            <w:vAlign w:val="top"/>
          </w:tcPr>
          <w:p>
            <w:pPr>
              <w:pStyle w:val="7"/>
              <w:rPr>
                <w:rFonts w:ascii="Times New Roman"/>
                <w:sz w:val="24"/>
              </w:rPr>
            </w:pPr>
          </w:p>
        </w:tc>
        <w:tc>
          <w:tcPr>
            <w:tcW w:w="855" w:type="dxa"/>
            <w:vAlign w:val="top"/>
          </w:tcPr>
          <w:p>
            <w:pPr>
              <w:pStyle w:val="7"/>
              <w:spacing w:before="322"/>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2" w:hRule="atLeast"/>
        </w:trPr>
        <w:tc>
          <w:tcPr>
            <w:tcW w:w="690" w:type="dxa"/>
            <w:vMerge w:val="continue"/>
            <w:tcBorders>
              <w:top w:val="nil"/>
            </w:tcBorders>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25" w:type="dxa"/>
            <w:vMerge w:val="continue"/>
            <w:tcBorders>
              <w:top w:val="nil"/>
            </w:tcBorders>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442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44.在新闻媒体或主管部门宣传报道节约能源资源经验做法。</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在新闻媒体或主管部门宣传平台报道本单位节约能源资源经验做法的，得2分。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110"/>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59" w:hRule="atLeast"/>
        </w:trPr>
        <w:tc>
          <w:tcPr>
            <w:tcW w:w="690" w:type="dxa"/>
            <w:vMerge w:val="continue"/>
            <w:tcBorders>
              <w:top w:val="nil"/>
            </w:tcBorders>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40" w:type="dxa"/>
            <w:vMerge w:val="continue"/>
            <w:tcBorders>
              <w:top w:val="nil"/>
            </w:tcBorders>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tc>
        <w:tc>
          <w:tcPr>
            <w:tcW w:w="825" w:type="dxa"/>
            <w:vMerge w:val="restart"/>
            <w:vAlign w:val="top"/>
          </w:tcPr>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p>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教育培训</w:t>
            </w:r>
          </w:p>
          <w:p>
            <w:pPr>
              <w:pStyle w:val="7"/>
              <w:spacing w:line="240" w:lineRule="auto"/>
              <w:ind w:right="140"/>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4分</w:t>
            </w:r>
          </w:p>
        </w:tc>
        <w:tc>
          <w:tcPr>
            <w:tcW w:w="442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45.将节能、节水、垃圾分类等内容纳入干部职工培训体系。</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将绿色发展、节能节水、垃圾分类等内容纳入干部职工培训体系的，得2分。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173"/>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9" w:hRule="atLeast"/>
        </w:trPr>
        <w:tc>
          <w:tcPr>
            <w:tcW w:w="690" w:type="dxa"/>
            <w:vMerge w:val="continue"/>
            <w:tcBorders>
              <w:top w:val="nil"/>
            </w:tcBorders>
            <w:vAlign w:val="top"/>
          </w:tcPr>
          <w:p>
            <w:pPr>
              <w:rPr>
                <w:sz w:val="2"/>
                <w:szCs w:val="2"/>
              </w:rPr>
            </w:pPr>
          </w:p>
        </w:tc>
        <w:tc>
          <w:tcPr>
            <w:tcW w:w="840" w:type="dxa"/>
            <w:vMerge w:val="continue"/>
            <w:tcBorders>
              <w:top w:val="nil"/>
            </w:tcBorders>
            <w:vAlign w:val="top"/>
          </w:tcPr>
          <w:p>
            <w:pPr>
              <w:rPr>
                <w:sz w:val="2"/>
                <w:szCs w:val="2"/>
              </w:rPr>
            </w:pPr>
          </w:p>
        </w:tc>
        <w:tc>
          <w:tcPr>
            <w:tcW w:w="825" w:type="dxa"/>
            <w:vMerge w:val="continue"/>
            <w:tcBorders>
              <w:top w:val="nil"/>
            </w:tcBorders>
            <w:vAlign w:val="top"/>
          </w:tcPr>
          <w:p>
            <w:pPr>
              <w:rPr>
                <w:sz w:val="2"/>
                <w:szCs w:val="2"/>
              </w:rPr>
            </w:pPr>
          </w:p>
        </w:tc>
        <w:tc>
          <w:tcPr>
            <w:tcW w:w="442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46.举办节能低碳等生态文明建设知识讲座、能源管理与运行岗位培训等教育培训活动。</w:t>
            </w:r>
          </w:p>
        </w:tc>
        <w:tc>
          <w:tcPr>
            <w:tcW w:w="4815" w:type="dxa"/>
            <w:vAlign w:val="top"/>
          </w:tcPr>
          <w:p>
            <w:pPr>
              <w:pStyle w:val="7"/>
              <w:spacing w:before="15"/>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每年至少举办一次面向干部职工的节能低碳等生态文明建设知识讲座或岗位培训的，得2分。</w:t>
            </w:r>
          </w:p>
        </w:tc>
        <w:tc>
          <w:tcPr>
            <w:tcW w:w="855" w:type="dxa"/>
            <w:vAlign w:val="center"/>
          </w:tcPr>
          <w:p>
            <w:pPr>
              <w:pStyle w:val="7"/>
              <w:spacing w:before="75" w:line="249" w:lineRule="auto"/>
              <w:ind w:right="81"/>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840" w:type="dxa"/>
            <w:vAlign w:val="top"/>
          </w:tcPr>
          <w:p>
            <w:pPr>
              <w:pStyle w:val="7"/>
              <w:rPr>
                <w:rFonts w:ascii="Times New Roman"/>
                <w:sz w:val="24"/>
              </w:rPr>
            </w:pPr>
          </w:p>
        </w:tc>
        <w:tc>
          <w:tcPr>
            <w:tcW w:w="855" w:type="dxa"/>
            <w:vAlign w:val="top"/>
          </w:tcPr>
          <w:p>
            <w:pPr>
              <w:pStyle w:val="7"/>
              <w:spacing w:before="323"/>
              <w:ind w:right="245"/>
              <w:jc w:val="right"/>
              <w:rPr>
                <w:rFonts w:hint="eastAsia" w:ascii="Microsoft JhengHei" w:eastAsia="Microsoft JhengHei"/>
                <w:b/>
                <w:sz w:val="31"/>
              </w:rPr>
            </w:pPr>
            <w:r>
              <w:rPr>
                <w:rFonts w:hint="eastAsia" w:ascii="Microsoft JhengHei" w:eastAsia="Microsoft JhengHei"/>
                <w:b/>
                <w:w w:val="101"/>
                <w:sz w:val="3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4" w:hRule="atLeast"/>
        </w:trPr>
        <w:tc>
          <w:tcPr>
            <w:tcW w:w="690" w:type="dxa"/>
            <w:vAlign w:val="center"/>
          </w:tcPr>
          <w:p>
            <w:pPr>
              <w:pStyle w:val="7"/>
              <w:spacing w:before="1"/>
              <w:jc w:val="center"/>
              <w:rPr>
                <w:rFonts w:hint="eastAsia" w:ascii="黑体" w:hAnsi="黑体" w:eastAsia="黑体" w:cs="黑体"/>
                <w:b w:val="0"/>
                <w:bCs w:val="0"/>
                <w:sz w:val="24"/>
                <w:szCs w:val="22"/>
                <w:lang w:val="zh-CN" w:eastAsia="zh-CN" w:bidi="zh-CN"/>
              </w:rPr>
            </w:pPr>
            <w:r>
              <w:rPr>
                <w:rFonts w:hint="eastAsia" w:ascii="黑体" w:hAnsi="黑体" w:eastAsia="黑体" w:cs="黑体"/>
                <w:b w:val="0"/>
                <w:bCs w:val="0"/>
                <w:sz w:val="24"/>
                <w:szCs w:val="22"/>
                <w:lang w:val="zh-CN" w:eastAsia="zh-CN" w:bidi="zh-CN"/>
              </w:rPr>
              <w:t>备</w:t>
            </w:r>
          </w:p>
          <w:p>
            <w:pPr>
              <w:pStyle w:val="7"/>
              <w:spacing w:before="1"/>
              <w:jc w:val="center"/>
              <w:rPr>
                <w:rFonts w:hint="eastAsia" w:ascii="Microsoft JhengHei" w:eastAsia="Microsoft JhengHei"/>
                <w:b/>
                <w:sz w:val="24"/>
              </w:rPr>
            </w:pPr>
            <w:r>
              <w:rPr>
                <w:rFonts w:hint="eastAsia" w:ascii="黑体" w:hAnsi="黑体" w:eastAsia="黑体" w:cs="黑体"/>
                <w:b w:val="0"/>
                <w:bCs w:val="0"/>
                <w:sz w:val="24"/>
                <w:szCs w:val="22"/>
                <w:lang w:val="zh-CN" w:eastAsia="zh-CN" w:bidi="zh-CN"/>
              </w:rPr>
              <w:t>注</w:t>
            </w:r>
          </w:p>
        </w:tc>
        <w:tc>
          <w:tcPr>
            <w:tcW w:w="13455" w:type="dxa"/>
            <w:gridSpan w:val="7"/>
            <w:vAlign w:val="top"/>
          </w:tcPr>
          <w:p>
            <w:pPr>
              <w:pStyle w:val="7"/>
              <w:spacing w:line="244" w:lineRule="auto"/>
              <w:ind w:left="127" w:right="112" w:firstLine="480"/>
              <w:rPr>
                <w:spacing w:val="-3"/>
                <w:w w:val="105"/>
                <w:sz w:val="24"/>
              </w:rPr>
            </w:pPr>
          </w:p>
          <w:p>
            <w:pPr>
              <w:pStyle w:val="7"/>
              <w:spacing w:line="244" w:lineRule="auto"/>
              <w:ind w:right="112" w:firstLine="492" w:firstLineChars="200"/>
              <w:rPr>
                <w:rFonts w:hint="eastAsia" w:ascii="仿宋_GB2312" w:hAnsi="仿宋_GB2312" w:eastAsia="仿宋_GB2312" w:cs="仿宋_GB2312"/>
                <w:sz w:val="24"/>
              </w:rPr>
            </w:pPr>
            <w:r>
              <w:rPr>
                <w:rFonts w:hint="eastAsia" w:ascii="仿宋_GB2312" w:hAnsi="仿宋_GB2312" w:eastAsia="仿宋_GB2312" w:cs="仿宋_GB2312"/>
                <w:spacing w:val="-3"/>
                <w:w w:val="105"/>
                <w:sz w:val="24"/>
              </w:rPr>
              <w:t>1</w:t>
            </w:r>
            <w:r>
              <w:rPr>
                <w:rFonts w:hint="eastAsia" w:ascii="仿宋_GB2312" w:hAnsi="仿宋_GB2312" w:eastAsia="仿宋_GB2312" w:cs="仿宋_GB2312"/>
                <w:spacing w:val="-3"/>
                <w:w w:val="105"/>
                <w:sz w:val="24"/>
                <w:lang w:val="en-US" w:eastAsia="zh-CN"/>
              </w:rPr>
              <w:t>.</w:t>
            </w:r>
            <w:r>
              <w:rPr>
                <w:rFonts w:hint="eastAsia" w:ascii="仿宋_GB2312" w:hAnsi="仿宋_GB2312" w:eastAsia="仿宋_GB2312" w:cs="仿宋_GB2312"/>
                <w:spacing w:val="-3"/>
                <w:w w:val="105"/>
                <w:sz w:val="24"/>
              </w:rPr>
              <w:t>节约型机关评价采取定量与定性评价相结合的方式，实行百分制。总分累计得分在 80分(含</w:t>
            </w:r>
            <w:r>
              <w:rPr>
                <w:rFonts w:hint="eastAsia" w:ascii="仿宋_GB2312" w:hAnsi="仿宋_GB2312" w:eastAsia="仿宋_GB2312" w:cs="仿宋_GB2312"/>
                <w:spacing w:val="-21"/>
                <w:w w:val="105"/>
                <w:sz w:val="24"/>
              </w:rPr>
              <w:t>)以上的机关，评定为节约</w:t>
            </w:r>
            <w:r>
              <w:rPr>
                <w:rFonts w:hint="eastAsia" w:ascii="仿宋_GB2312" w:hAnsi="仿宋_GB2312" w:eastAsia="仿宋_GB2312" w:cs="仿宋_GB2312"/>
                <w:w w:val="110"/>
                <w:sz w:val="24"/>
              </w:rPr>
              <w:t>型机关。</w:t>
            </w:r>
          </w:p>
          <w:p>
            <w:pPr>
              <w:pStyle w:val="7"/>
              <w:spacing w:before="63" w:line="194" w:lineRule="auto"/>
              <w:ind w:right="712" w:firstLine="476" w:firstLineChars="200"/>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lang w:val="en-US" w:eastAsia="zh-CN"/>
              </w:rPr>
              <w:t>2.</w:t>
            </w:r>
            <w:r>
              <w:rPr>
                <w:rFonts w:hint="eastAsia" w:ascii="仿宋_GB2312" w:hAnsi="仿宋_GB2312" w:eastAsia="仿宋_GB2312" w:cs="仿宋_GB2312"/>
                <w:spacing w:val="-1"/>
                <w:sz w:val="24"/>
              </w:rPr>
              <w:t>节约能源资源目标管理项目中三项指标属于必须完成项。如有一项节能目标未完成，则不予评定为节约型机关。</w:t>
            </w:r>
          </w:p>
          <w:p>
            <w:pPr>
              <w:pStyle w:val="7"/>
              <w:spacing w:before="63" w:line="194" w:lineRule="auto"/>
              <w:ind w:right="712" w:firstLine="476" w:firstLineChars="200"/>
              <w:rPr>
                <w:rFonts w:hint="eastAsia" w:ascii="仿宋_GB2312" w:hAnsi="仿宋_GB2312" w:eastAsia="仿宋_GB2312" w:cs="仿宋_GB2312"/>
                <w:sz w:val="24"/>
              </w:rPr>
            </w:pPr>
            <w:r>
              <w:rPr>
                <w:rFonts w:hint="eastAsia" w:ascii="仿宋_GB2312" w:hAnsi="仿宋_GB2312" w:eastAsia="仿宋_GB2312" w:cs="仿宋_GB2312"/>
                <w:spacing w:val="-1"/>
                <w:sz w:val="24"/>
              </w:rPr>
              <w:t>3</w:t>
            </w:r>
            <w:r>
              <w:rPr>
                <w:rFonts w:hint="eastAsia" w:ascii="仿宋_GB2312" w:hAnsi="仿宋_GB2312" w:eastAsia="仿宋_GB2312" w:cs="仿宋_GB2312"/>
                <w:spacing w:val="-1"/>
                <w:sz w:val="24"/>
                <w:lang w:val="en-US" w:eastAsia="zh-CN"/>
              </w:rPr>
              <w:t>.</w:t>
            </w:r>
            <w:r>
              <w:rPr>
                <w:rFonts w:hint="eastAsia" w:ascii="仿宋_GB2312" w:hAnsi="仿宋_GB2312" w:eastAsia="仿宋_GB2312" w:cs="仿宋_GB2312"/>
                <w:spacing w:val="-1"/>
                <w:sz w:val="24"/>
              </w:rPr>
              <w:t>对于独立办公类型的公共机构须逐项进行评价打分，满分为 10 分</w:t>
            </w:r>
            <w:r>
              <w:rPr>
                <w:rFonts w:hint="eastAsia" w:ascii="仿宋_GB2312" w:hAnsi="仿宋_GB2312" w:eastAsia="仿宋_GB2312" w:cs="仿宋_GB2312"/>
                <w:sz w:val="24"/>
              </w:rPr>
              <w:t>。</w:t>
            </w:r>
          </w:p>
          <w:p>
            <w:pPr>
              <w:pStyle w:val="7"/>
              <w:spacing w:line="375" w:lineRule="exact"/>
              <w:ind w:firstLine="476" w:firstLineChars="200"/>
              <w:rPr>
                <w:sz w:val="24"/>
              </w:rPr>
            </w:pPr>
            <w:r>
              <w:rPr>
                <w:rFonts w:hint="eastAsia" w:ascii="仿宋_GB2312" w:hAnsi="仿宋_GB2312" w:eastAsia="仿宋_GB2312" w:cs="仿宋_GB2312"/>
                <w:spacing w:val="-1"/>
                <w:sz w:val="24"/>
              </w:rPr>
              <w:t>4</w:t>
            </w:r>
            <w:r>
              <w:rPr>
                <w:rFonts w:hint="eastAsia" w:ascii="仿宋_GB2312" w:hAnsi="仿宋_GB2312" w:eastAsia="仿宋_GB2312" w:cs="仿宋_GB2312"/>
                <w:spacing w:val="-1"/>
                <w:sz w:val="24"/>
                <w:lang w:val="en-US" w:eastAsia="zh-CN"/>
              </w:rPr>
              <w:t>.</w:t>
            </w:r>
            <w:r>
              <w:rPr>
                <w:rFonts w:hint="eastAsia" w:ascii="仿宋_GB2312" w:hAnsi="仿宋_GB2312" w:eastAsia="仿宋_GB2312" w:cs="仿宋_GB2312"/>
                <w:spacing w:val="-1"/>
                <w:sz w:val="24"/>
              </w:rPr>
              <w:t>对于集中办</w:t>
            </w:r>
            <w:r>
              <w:rPr>
                <w:rFonts w:hint="eastAsia" w:ascii="仿宋_GB2312" w:hAnsi="仿宋_GB2312" w:eastAsia="仿宋_GB2312" w:cs="仿宋_GB2312"/>
                <w:sz w:val="24"/>
              </w:rPr>
              <w:t>公类型的公共机构仅对备注＊项目进行评价打分，其得分=备注＊项累计得分/6×10。</w:t>
            </w:r>
          </w:p>
        </w:tc>
      </w:tr>
    </w:tbl>
    <w:p>
      <w:pPr>
        <w:pStyle w:val="4"/>
        <w:rPr>
          <w:rFonts w:ascii="Times New Roman"/>
          <w:sz w:val="20"/>
        </w:rPr>
      </w:pPr>
    </w:p>
    <w:sectPr>
      <w:pgSz w:w="16840" w:h="11910" w:orient="landscape"/>
      <w:pgMar w:top="1100" w:right="1280" w:bottom="280" w:left="11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1290" w:lineRule="exact"/>
      <w:ind w:left="129"/>
      <w:outlineLvl w:val="1"/>
    </w:pPr>
    <w:rPr>
      <w:rFonts w:ascii="宋体" w:hAnsi="宋体" w:eastAsia="宋体" w:cs="宋体"/>
      <w:sz w:val="109"/>
      <w:szCs w:val="109"/>
      <w:lang w:val="zh-CN" w:eastAsia="zh-CN" w:bidi="zh-CN"/>
    </w:rPr>
  </w:style>
  <w:style w:type="paragraph" w:styleId="3">
    <w:name w:val="heading 2"/>
    <w:basedOn w:val="1"/>
    <w:next w:val="1"/>
    <w:qFormat/>
    <w:uiPriority w:val="1"/>
    <w:pPr>
      <w:spacing w:before="180"/>
      <w:ind w:left="1519" w:right="1421" w:hanging="1515"/>
      <w:outlineLvl w:val="2"/>
    </w:pPr>
    <w:rPr>
      <w:rFonts w:ascii="宋体" w:hAnsi="宋体" w:eastAsia="宋体" w:cs="宋体"/>
      <w:sz w:val="43"/>
      <w:szCs w:val="43"/>
      <w:lang w:val="zh-CN" w:eastAsia="zh-CN" w:bidi="zh-CN"/>
    </w:rPr>
  </w:style>
  <w:style w:type="character" w:default="1" w:styleId="5">
    <w:name w:val="Default Paragraph Font"/>
    <w:unhideWhenUsed/>
    <w:uiPriority w:val="1"/>
  </w:style>
  <w:style w:type="paragraph" w:styleId="4">
    <w:name w:val="Body Text"/>
    <w:basedOn w:val="1"/>
    <w:qFormat/>
    <w:uiPriority w:val="1"/>
    <w:rPr>
      <w:rFonts w:ascii="仿宋" w:hAnsi="仿宋" w:eastAsia="仿宋" w:cs="仿宋"/>
      <w:sz w:val="31"/>
      <w:szCs w:val="31"/>
      <w:lang w:val="zh-CN" w:eastAsia="zh-CN" w:bidi="zh-CN"/>
    </w:rPr>
  </w:style>
  <w:style w:type="paragraph" w:customStyle="1"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2020-05-29T07:26:00Z</dcterms:created>
  <dc:creator>ft</dc:creator>
  <cp:keywords>ft</cp:keywords>
  <cp:lastModifiedBy>王扬力</cp:lastModifiedBy>
  <dcterms:modified xsi:type="dcterms:W3CDTF">2020-09-15T12:58:08Z</dcterms:modified>
  <dc:subject>ft</dc:subject>
  <dc:title>海南省机关事务管理局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Foxit OFDToPDF 1.0</vt:lpwstr>
  </property>
  <property fmtid="{D5CDD505-2E9C-101B-9397-08002B2CF9AE}" pid="4" name="LastSaved">
    <vt:filetime>2024-05-13T00:00:00Z</vt:filetime>
  </property>
  <property fmtid="{D5CDD505-2E9C-101B-9397-08002B2CF9AE}" pid="5" name="KSOProductBuildVer">
    <vt:lpwstr>2052-9.1.0.4569</vt:lpwstr>
  </property>
</Properties>
</file>