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仿宋_GB2312" w:eastAsia="黑体" w:cs="仿宋_GB2312"/>
          <w:szCs w:val="32"/>
        </w:rPr>
      </w:pPr>
      <w:bookmarkStart w:id="0" w:name="正文"/>
    </w:p>
    <w:p>
      <w:pPr>
        <w:jc w:val="center"/>
        <w:rPr>
          <w:rFonts w:ascii="黑体" w:hAnsi="仿宋_GB2312" w:eastAsia="黑体" w:cs="仿宋_GB2312"/>
          <w:szCs w:val="32"/>
        </w:rPr>
      </w:pPr>
    </w:p>
    <w:p>
      <w:pPr>
        <w:jc w:val="center"/>
        <w:rPr>
          <w:rFonts w:ascii="宋体" w:hAnsi="宋体" w:eastAsia="宋体"/>
          <w:b/>
          <w:bCs/>
          <w:sz w:val="44"/>
          <w:szCs w:val="44"/>
        </w:rPr>
      </w:pPr>
    </w:p>
    <w:p>
      <w:pPr>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lang w:eastAsia="zh-CN"/>
        </w:rPr>
        <w:t>白沙黎族自治县科学技术协会基层</w:t>
      </w:r>
      <w:r>
        <w:rPr>
          <w:rFonts w:hint="eastAsia" w:ascii="方正小标宋简体" w:hAnsi="宋体" w:eastAsia="方正小标宋简体"/>
          <w:bCs/>
          <w:sz w:val="44"/>
          <w:szCs w:val="44"/>
        </w:rPr>
        <w:t>科普活动</w:t>
      </w:r>
    </w:p>
    <w:p>
      <w:pPr>
        <w:jc w:val="center"/>
        <w:rPr>
          <w:rFonts w:ascii="方正小标宋简体" w:hAnsi="宋体" w:eastAsia="方正小标宋简体"/>
          <w:bCs/>
          <w:sz w:val="44"/>
          <w:szCs w:val="44"/>
        </w:rPr>
      </w:pPr>
      <w:r>
        <w:rPr>
          <w:rFonts w:hint="eastAsia" w:ascii="方正小标宋简体" w:hAnsi="宋体" w:eastAsia="方正小标宋简体"/>
          <w:bCs/>
          <w:sz w:val="44"/>
          <w:szCs w:val="44"/>
        </w:rPr>
        <w:t>项目绩效评价报告</w:t>
      </w:r>
    </w:p>
    <w:p>
      <w:pPr>
        <w:rPr>
          <w:rFonts w:eastAsia="黑体"/>
          <w:sz w:val="28"/>
          <w:szCs w:val="28"/>
        </w:rPr>
      </w:pPr>
    </w:p>
    <w:p>
      <w:pPr>
        <w:spacing w:line="360" w:lineRule="auto"/>
        <w:rPr>
          <w:rFonts w:ascii="宋体" w:hAnsi="宋体" w:eastAsia="宋体"/>
          <w:sz w:val="28"/>
          <w:szCs w:val="28"/>
        </w:rPr>
      </w:pPr>
    </w:p>
    <w:p>
      <w:pPr>
        <w:spacing w:line="480" w:lineRule="auto"/>
        <w:ind w:firstLine="1740" w:firstLineChars="544"/>
        <w:jc w:val="left"/>
        <w:rPr>
          <w:rFonts w:hAnsi="宋体"/>
          <w:szCs w:val="32"/>
          <w:u w:val="single"/>
        </w:rPr>
      </w:pPr>
      <w:r>
        <w:rPr>
          <w:rFonts w:hint="eastAsia" w:hAnsi="宋体"/>
          <w:szCs w:val="32"/>
        </w:rPr>
        <w:t>评价类型：</w:t>
      </w:r>
      <w:r>
        <w:rPr>
          <w:rFonts w:hint="eastAsia" w:hAnsi="宋体"/>
          <w:spacing w:val="-20"/>
          <w:szCs w:val="32"/>
          <w:u w:val="single"/>
        </w:rPr>
        <w:t>□</w:t>
      </w:r>
      <w:r>
        <w:rPr>
          <w:rFonts w:hint="eastAsia" w:hAnsi="宋体"/>
          <w:szCs w:val="32"/>
          <w:u w:val="single"/>
        </w:rPr>
        <w:t xml:space="preserve">实施过程评价  </w:t>
      </w:r>
      <w:r>
        <w:rPr>
          <w:rFonts w:hint="eastAsia" w:ascii="宋体" w:hAnsi="宋体" w:eastAsia="宋体" w:cs="宋体"/>
          <w:szCs w:val="32"/>
          <w:u w:val="single"/>
        </w:rPr>
        <w:t>√</w:t>
      </w:r>
      <w:r>
        <w:rPr>
          <w:rFonts w:hint="eastAsia" w:hAnsi="宋体"/>
          <w:szCs w:val="32"/>
          <w:u w:val="single"/>
        </w:rPr>
        <w:t>完成结果评价</w:t>
      </w:r>
    </w:p>
    <w:p>
      <w:pPr>
        <w:spacing w:line="480" w:lineRule="auto"/>
        <w:ind w:left="1600" w:firstLine="140" w:firstLineChars="44"/>
        <w:jc w:val="left"/>
        <w:rPr>
          <w:rFonts w:hAnsi="宋体"/>
          <w:szCs w:val="32"/>
          <w:u w:val="single"/>
        </w:rPr>
      </w:pPr>
      <w:r>
        <w:rPr>
          <w:rFonts w:hint="eastAsia" w:hAnsi="宋体"/>
          <w:szCs w:val="32"/>
        </w:rPr>
        <w:t>项目名称：</w:t>
      </w:r>
      <w:r>
        <w:rPr>
          <w:rFonts w:hAnsi="宋体"/>
          <w:szCs w:val="32"/>
          <w:u w:val="single"/>
        </w:rPr>
        <w:t xml:space="preserve">  </w:t>
      </w:r>
      <w:r>
        <w:rPr>
          <w:rFonts w:hint="eastAsia" w:hAnsi="宋体"/>
          <w:szCs w:val="32"/>
          <w:u w:val="single"/>
          <w:lang w:val="en-US" w:eastAsia="zh-CN"/>
        </w:rPr>
        <w:t xml:space="preserve">  2019年基层科普行动计划</w:t>
      </w:r>
      <w:r>
        <w:rPr>
          <w:rFonts w:hAnsi="宋体"/>
          <w:szCs w:val="32"/>
          <w:u w:val="single"/>
        </w:rPr>
        <w:t xml:space="preserve"> </w:t>
      </w:r>
      <w:r>
        <w:rPr>
          <w:rFonts w:hint="eastAsia" w:hAnsi="宋体"/>
          <w:szCs w:val="32"/>
          <w:u w:val="single"/>
          <w:lang w:val="en-US" w:eastAsia="zh-CN"/>
        </w:rPr>
        <w:t xml:space="preserve">  </w:t>
      </w:r>
      <w:r>
        <w:rPr>
          <w:rFonts w:hAnsi="宋体"/>
          <w:szCs w:val="32"/>
          <w:u w:val="single"/>
        </w:rPr>
        <w:t xml:space="preserve"> </w:t>
      </w:r>
    </w:p>
    <w:p>
      <w:pPr>
        <w:spacing w:line="480" w:lineRule="auto"/>
        <w:ind w:left="1600" w:firstLine="140" w:firstLineChars="44"/>
        <w:jc w:val="left"/>
        <w:rPr>
          <w:rFonts w:hAnsi="宋体"/>
          <w:szCs w:val="32"/>
        </w:rPr>
      </w:pPr>
      <w:r>
        <w:rPr>
          <w:rFonts w:hint="eastAsia" w:hAnsi="宋体"/>
          <w:szCs w:val="32"/>
        </w:rPr>
        <w:t>项目单位：</w:t>
      </w:r>
      <w:r>
        <w:rPr>
          <w:rFonts w:hAnsi="宋体"/>
          <w:szCs w:val="32"/>
          <w:u w:val="single"/>
        </w:rPr>
        <w:t xml:space="preserve">   </w:t>
      </w:r>
      <w:r>
        <w:rPr>
          <w:rFonts w:hint="eastAsia" w:hAnsi="宋体"/>
          <w:szCs w:val="32"/>
          <w:u w:val="single"/>
          <w:lang w:val="en-US" w:eastAsia="zh-CN"/>
        </w:rPr>
        <w:t>白沙黎族自治县科学技术协会</w:t>
      </w:r>
      <w:r>
        <w:rPr>
          <w:rFonts w:hAnsi="宋体"/>
          <w:szCs w:val="32"/>
          <w:u w:val="single"/>
        </w:rPr>
        <w:t xml:space="preserve">  </w:t>
      </w:r>
    </w:p>
    <w:p>
      <w:pPr>
        <w:spacing w:line="480" w:lineRule="auto"/>
        <w:ind w:left="1600" w:firstLine="140" w:firstLineChars="44"/>
        <w:jc w:val="left"/>
        <w:rPr>
          <w:rFonts w:hAnsi="宋体"/>
          <w:szCs w:val="32"/>
        </w:rPr>
      </w:pPr>
      <w:r>
        <w:rPr>
          <w:rFonts w:hint="eastAsia" w:hAnsi="宋体"/>
          <w:szCs w:val="32"/>
        </w:rPr>
        <w:t>主管部门：</w:t>
      </w:r>
      <w:r>
        <w:rPr>
          <w:rFonts w:hAnsi="宋体"/>
          <w:szCs w:val="32"/>
          <w:u w:val="single"/>
        </w:rPr>
        <w:t xml:space="preserve"> </w:t>
      </w:r>
      <w:r>
        <w:rPr>
          <w:rFonts w:hint="eastAsia" w:hAnsi="宋体"/>
          <w:szCs w:val="32"/>
          <w:u w:val="single"/>
          <w:lang w:eastAsia="zh-CN"/>
        </w:rPr>
        <w:t>白沙黎族自治县科学技术协会</w:t>
      </w:r>
      <w:r>
        <w:rPr>
          <w:rFonts w:hAnsi="宋体"/>
          <w:szCs w:val="32"/>
          <w:u w:val="single"/>
        </w:rPr>
        <w:t xml:space="preserve">                              </w:t>
      </w:r>
    </w:p>
    <w:p>
      <w:pPr>
        <w:spacing w:line="480" w:lineRule="auto"/>
        <w:ind w:left="1600" w:firstLine="140" w:firstLineChars="44"/>
        <w:jc w:val="left"/>
        <w:rPr>
          <w:rFonts w:hAnsi="宋体"/>
          <w:szCs w:val="32"/>
          <w:u w:val="single"/>
        </w:rPr>
      </w:pPr>
      <w:r>
        <w:rPr>
          <w:rFonts w:hint="eastAsia" w:hAnsi="宋体"/>
          <w:szCs w:val="32"/>
        </w:rPr>
        <w:t>评价时间：</w:t>
      </w:r>
      <w:r>
        <w:rPr>
          <w:rFonts w:hAnsi="宋体"/>
          <w:szCs w:val="32"/>
          <w:u w:val="single"/>
        </w:rPr>
        <w:t>20</w:t>
      </w:r>
      <w:r>
        <w:rPr>
          <w:rFonts w:hint="eastAsia" w:hAnsi="宋体"/>
          <w:szCs w:val="32"/>
          <w:u w:val="single"/>
          <w:lang w:val="en-US" w:eastAsia="zh-CN"/>
        </w:rPr>
        <w:t>20</w:t>
      </w:r>
      <w:r>
        <w:rPr>
          <w:rFonts w:hint="eastAsia" w:hAnsi="宋体"/>
          <w:szCs w:val="32"/>
          <w:u w:val="single"/>
        </w:rPr>
        <w:t>年</w:t>
      </w:r>
      <w:r>
        <w:rPr>
          <w:rFonts w:hint="eastAsia" w:hAnsi="宋体"/>
          <w:szCs w:val="32"/>
          <w:u w:val="single"/>
          <w:lang w:val="en-US" w:eastAsia="zh-CN"/>
        </w:rPr>
        <w:t>8</w:t>
      </w:r>
      <w:r>
        <w:rPr>
          <w:rFonts w:hint="eastAsia" w:hAnsi="宋体"/>
          <w:szCs w:val="32"/>
          <w:u w:val="single"/>
        </w:rPr>
        <w:t>月</w:t>
      </w:r>
      <w:r>
        <w:rPr>
          <w:rFonts w:hint="eastAsia" w:hAnsi="宋体"/>
          <w:szCs w:val="32"/>
          <w:u w:val="single"/>
          <w:lang w:val="en-US" w:eastAsia="zh-CN"/>
        </w:rPr>
        <w:t>10日</w:t>
      </w:r>
    </w:p>
    <w:p>
      <w:pPr>
        <w:spacing w:line="480" w:lineRule="auto"/>
        <w:ind w:left="1600" w:firstLine="140" w:firstLineChars="44"/>
        <w:jc w:val="left"/>
        <w:rPr>
          <w:rFonts w:hAnsi="宋体"/>
          <w:szCs w:val="32"/>
          <w:u w:val="single"/>
        </w:rPr>
      </w:pPr>
      <w:r>
        <w:rPr>
          <w:rFonts w:hint="eastAsia" w:hAnsi="宋体"/>
          <w:szCs w:val="32"/>
        </w:rPr>
        <w:t>组织方式：</w:t>
      </w:r>
      <w:r>
        <w:rPr>
          <w:rFonts w:hint="eastAsia" w:hAnsi="宋体"/>
          <w:spacing w:val="-20"/>
          <w:szCs w:val="32"/>
          <w:u w:val="single"/>
        </w:rPr>
        <w:t>□</w:t>
      </w:r>
      <w:r>
        <w:rPr>
          <w:rFonts w:hint="eastAsia" w:hAnsi="宋体"/>
          <w:szCs w:val="32"/>
          <w:u w:val="single"/>
        </w:rPr>
        <w:t xml:space="preserve">主管部门           </w:t>
      </w:r>
      <w:r>
        <w:rPr>
          <w:rFonts w:hint="eastAsia" w:ascii="宋体" w:hAnsi="宋体" w:eastAsia="宋体" w:cs="宋体"/>
          <w:spacing w:val="-20"/>
          <w:szCs w:val="32"/>
          <w:u w:val="single"/>
        </w:rPr>
        <w:sym w:font="Wingdings 2" w:char="0052"/>
      </w:r>
      <w:r>
        <w:rPr>
          <w:rFonts w:hint="eastAsia" w:hAnsi="宋体"/>
          <w:szCs w:val="32"/>
          <w:u w:val="single"/>
        </w:rPr>
        <w:t>项目单位</w:t>
      </w:r>
    </w:p>
    <w:p>
      <w:pPr>
        <w:spacing w:line="480" w:lineRule="auto"/>
        <w:ind w:left="1600" w:firstLine="140" w:firstLineChars="44"/>
        <w:jc w:val="left"/>
        <w:rPr>
          <w:rFonts w:hAnsi="宋体"/>
          <w:szCs w:val="32"/>
        </w:rPr>
      </w:pPr>
      <w:r>
        <w:rPr>
          <w:rFonts w:hint="eastAsia" w:hAnsi="宋体"/>
          <w:szCs w:val="32"/>
        </w:rPr>
        <w:t>评价机构：</w:t>
      </w:r>
      <w:r>
        <w:rPr>
          <w:rFonts w:hint="eastAsia" w:hAnsi="宋体"/>
          <w:spacing w:val="-20"/>
          <w:szCs w:val="32"/>
          <w:u w:val="single"/>
        </w:rPr>
        <w:t>□</w:t>
      </w:r>
      <w:r>
        <w:rPr>
          <w:rFonts w:hint="eastAsia" w:hAnsi="宋体"/>
          <w:szCs w:val="32"/>
          <w:u w:val="single"/>
        </w:rPr>
        <w:t xml:space="preserve">中介机构 </w:t>
      </w:r>
      <w:r>
        <w:rPr>
          <w:rFonts w:hint="eastAsia" w:hAnsi="宋体"/>
          <w:spacing w:val="-20"/>
          <w:szCs w:val="32"/>
          <w:u w:val="single"/>
        </w:rPr>
        <w:t>□</w:t>
      </w:r>
      <w:r>
        <w:rPr>
          <w:rFonts w:hint="eastAsia" w:hAnsi="宋体"/>
          <w:szCs w:val="32"/>
          <w:u w:val="single"/>
        </w:rPr>
        <w:t xml:space="preserve">专家组 </w:t>
      </w:r>
      <w:r>
        <w:rPr>
          <w:rFonts w:hint="eastAsia" w:ascii="宋体" w:hAnsi="宋体" w:eastAsia="宋体" w:cs="宋体"/>
          <w:spacing w:val="-20"/>
          <w:szCs w:val="32"/>
          <w:u w:val="single"/>
        </w:rPr>
        <w:sym w:font="Wingdings 2" w:char="0052"/>
      </w:r>
      <w:r>
        <w:rPr>
          <w:rFonts w:hint="eastAsia" w:hAnsi="宋体"/>
          <w:szCs w:val="32"/>
          <w:u w:val="single"/>
        </w:rPr>
        <w:t>项目单位评价组</w:t>
      </w:r>
    </w:p>
    <w:p>
      <w:pPr>
        <w:spacing w:line="480" w:lineRule="auto"/>
        <w:ind w:left="1600" w:firstLine="140" w:firstLineChars="44"/>
        <w:jc w:val="left"/>
        <w:rPr>
          <w:rFonts w:hAnsi="宋体"/>
          <w:szCs w:val="32"/>
        </w:rPr>
      </w:pPr>
    </w:p>
    <w:p>
      <w:pPr>
        <w:spacing w:line="480" w:lineRule="auto"/>
        <w:ind w:left="1600" w:firstLine="620" w:firstLineChars="194"/>
        <w:jc w:val="left"/>
        <w:rPr>
          <w:rFonts w:hint="default" w:hAnsi="宋体" w:eastAsia="仿宋_GB2312"/>
          <w:szCs w:val="32"/>
          <w:lang w:val="en-US" w:eastAsia="zh-CN"/>
        </w:rPr>
      </w:pPr>
      <w:r>
        <w:rPr>
          <w:rFonts w:hint="eastAsia" w:hAnsi="宋体"/>
          <w:szCs w:val="32"/>
        </w:rPr>
        <w:t>评价单位（盖章）：</w:t>
      </w:r>
      <w:r>
        <w:rPr>
          <w:rFonts w:hint="eastAsia" w:hAnsi="宋体"/>
          <w:szCs w:val="32"/>
          <w:lang w:val="en-US" w:eastAsia="zh-CN"/>
        </w:rPr>
        <w:t>白沙黎族自治县科学技术协会</w:t>
      </w:r>
    </w:p>
    <w:p>
      <w:pPr>
        <w:spacing w:line="480" w:lineRule="auto"/>
        <w:ind w:left="1600" w:firstLine="620" w:firstLineChars="194"/>
        <w:jc w:val="left"/>
        <w:rPr>
          <w:rFonts w:hAnsi="宋体"/>
          <w:szCs w:val="32"/>
        </w:rPr>
      </w:pPr>
      <w:r>
        <w:rPr>
          <w:rFonts w:hint="eastAsia" w:hAnsi="宋体"/>
          <w:szCs w:val="32"/>
        </w:rPr>
        <w:t>上报时间：</w:t>
      </w:r>
      <w:r>
        <w:rPr>
          <w:rFonts w:hAnsi="宋体"/>
          <w:szCs w:val="32"/>
        </w:rPr>
        <w:t>20</w:t>
      </w:r>
      <w:r>
        <w:rPr>
          <w:rFonts w:hint="eastAsia" w:hAnsi="宋体"/>
          <w:szCs w:val="32"/>
          <w:lang w:val="en-US" w:eastAsia="zh-CN"/>
        </w:rPr>
        <w:t>20</w:t>
      </w:r>
      <w:r>
        <w:rPr>
          <w:rFonts w:hint="eastAsia" w:hAnsi="宋体"/>
          <w:szCs w:val="32"/>
        </w:rPr>
        <w:t>年</w:t>
      </w:r>
      <w:r>
        <w:rPr>
          <w:rFonts w:hint="eastAsia" w:hAnsi="宋体"/>
          <w:szCs w:val="32"/>
          <w:lang w:val="en-US" w:eastAsia="zh-CN"/>
        </w:rPr>
        <w:t>8</w:t>
      </w:r>
      <w:r>
        <w:rPr>
          <w:rFonts w:hint="eastAsia" w:hAnsi="宋体"/>
          <w:szCs w:val="32"/>
        </w:rPr>
        <w:t>月</w:t>
      </w:r>
      <w:r>
        <w:rPr>
          <w:rFonts w:hint="eastAsia" w:hAnsi="宋体"/>
          <w:szCs w:val="32"/>
          <w:lang w:val="en-US" w:eastAsia="zh-CN"/>
        </w:rPr>
        <w:t>19</w:t>
      </w:r>
      <w:r>
        <w:rPr>
          <w:rFonts w:hint="eastAsia" w:hAnsi="宋体"/>
          <w:szCs w:val="32"/>
        </w:rPr>
        <w:t>日</w:t>
      </w:r>
    </w:p>
    <w:p>
      <w:pPr>
        <w:tabs>
          <w:tab w:val="left" w:pos="720"/>
          <w:tab w:val="left" w:pos="3600"/>
        </w:tabs>
        <w:spacing w:line="360" w:lineRule="auto"/>
        <w:jc w:val="center"/>
        <w:rPr>
          <w:rFonts w:hint="default" w:hAnsi="仿宋_GB2312" w:eastAsia="仿宋_GB2312" w:cs="仿宋_GB2312"/>
          <w:b/>
          <w:bCs/>
          <w:sz w:val="36"/>
          <w:szCs w:val="36"/>
          <w:lang w:val="en-US" w:eastAsia="zh-CN"/>
        </w:rPr>
      </w:pPr>
      <w:r>
        <w:rPr>
          <w:rFonts w:hint="eastAsia" w:hAnsi="仿宋_GB2312" w:cs="仿宋_GB2312"/>
          <w:b/>
          <w:bCs/>
          <w:sz w:val="36"/>
          <w:szCs w:val="36"/>
          <w:lang w:val="en-US" w:eastAsia="zh-CN"/>
        </w:rPr>
        <w:t>项目基本信息</w:t>
      </w:r>
    </w:p>
    <w:p>
      <w:pPr>
        <w:tabs>
          <w:tab w:val="left" w:pos="720"/>
          <w:tab w:val="left" w:pos="3600"/>
        </w:tabs>
        <w:spacing w:line="360" w:lineRule="auto"/>
        <w:jc w:val="left"/>
        <w:rPr>
          <w:rFonts w:hAnsi="仿宋_GB2312" w:cs="仿宋_GB2312"/>
          <w:szCs w:val="32"/>
        </w:rPr>
      </w:pPr>
    </w:p>
    <w:tbl>
      <w:tblPr>
        <w:tblStyle w:val="5"/>
        <w:tblW w:w="10545" w:type="dxa"/>
        <w:tblInd w:w="0" w:type="dxa"/>
        <w:shd w:val="clear" w:color="auto" w:fill="auto"/>
        <w:tblLayout w:type="fixed"/>
        <w:tblCellMar>
          <w:top w:w="0" w:type="dxa"/>
          <w:left w:w="0" w:type="dxa"/>
          <w:bottom w:w="0" w:type="dxa"/>
          <w:right w:w="0" w:type="dxa"/>
        </w:tblCellMar>
      </w:tblPr>
      <w:tblGrid>
        <w:gridCol w:w="1757"/>
        <w:gridCol w:w="4"/>
        <w:gridCol w:w="855"/>
        <w:gridCol w:w="898"/>
        <w:gridCol w:w="1262"/>
        <w:gridCol w:w="495"/>
        <w:gridCol w:w="495"/>
        <w:gridCol w:w="1262"/>
        <w:gridCol w:w="733"/>
        <w:gridCol w:w="1024"/>
        <w:gridCol w:w="476"/>
        <w:gridCol w:w="1284"/>
      </w:tblGrid>
      <w:tr>
        <w:tblPrEx>
          <w:tblLayout w:type="fixed"/>
          <w:tblCellMar>
            <w:top w:w="0" w:type="dxa"/>
            <w:left w:w="0" w:type="dxa"/>
            <w:bottom w:w="0" w:type="dxa"/>
            <w:right w:w="0" w:type="dxa"/>
          </w:tblCellMar>
        </w:tblPrEx>
        <w:trPr>
          <w:trHeight w:val="567" w:hRule="atLeast"/>
        </w:trPr>
        <w:tc>
          <w:tcPr>
            <w:tcW w:w="10545"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1" w:firstLineChars="100"/>
              <w:jc w:val="both"/>
              <w:textAlignment w:val="center"/>
              <w:rPr>
                <w:rFonts w:hint="default"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一、项目基本情况</w:t>
            </w:r>
          </w:p>
        </w:tc>
      </w:tr>
      <w:tr>
        <w:tblPrEx>
          <w:tblLayout w:type="fixed"/>
          <w:tblCellMar>
            <w:top w:w="0" w:type="dxa"/>
            <w:left w:w="0" w:type="dxa"/>
            <w:bottom w:w="0" w:type="dxa"/>
            <w:right w:w="0" w:type="dxa"/>
          </w:tblCellMar>
        </w:tblPrEx>
        <w:trPr>
          <w:trHeight w:val="567" w:hRule="atLeast"/>
        </w:trPr>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项目实施单位</w:t>
            </w:r>
          </w:p>
        </w:tc>
        <w:tc>
          <w:tcPr>
            <w:tcW w:w="351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白沙黎族自治县科学技术协会</w:t>
            </w:r>
          </w:p>
        </w:tc>
        <w:tc>
          <w:tcPr>
            <w:tcW w:w="17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主管部门</w:t>
            </w:r>
          </w:p>
        </w:tc>
        <w:tc>
          <w:tcPr>
            <w:tcW w:w="35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80" w:firstLineChars="200"/>
              <w:jc w:val="center"/>
              <w:textAlignment w:val="center"/>
              <w:rPr>
                <w:rFonts w:hint="eastAsia" w:ascii="宋体" w:hAnsi="宋体" w:eastAsia="宋体" w:cs="宋体"/>
                <w:b w:val="0"/>
                <w:bCs w:val="0"/>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567" w:hRule="atLeast"/>
        </w:trPr>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项目负责人</w:t>
            </w:r>
          </w:p>
        </w:tc>
        <w:tc>
          <w:tcPr>
            <w:tcW w:w="351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80" w:firstLineChars="200"/>
              <w:jc w:val="center"/>
              <w:textAlignment w:val="center"/>
              <w:rPr>
                <w:rFonts w:hint="default"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邢福顺</w:t>
            </w:r>
          </w:p>
        </w:tc>
        <w:tc>
          <w:tcPr>
            <w:tcW w:w="17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联系电话</w:t>
            </w:r>
          </w:p>
        </w:tc>
        <w:tc>
          <w:tcPr>
            <w:tcW w:w="35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80" w:firstLineChars="200"/>
              <w:jc w:val="center"/>
              <w:textAlignment w:val="center"/>
              <w:rPr>
                <w:rFonts w:hint="default"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27723426</w:t>
            </w:r>
          </w:p>
        </w:tc>
      </w:tr>
      <w:tr>
        <w:tblPrEx>
          <w:tblLayout w:type="fixed"/>
          <w:tblCellMar>
            <w:top w:w="0" w:type="dxa"/>
            <w:left w:w="0" w:type="dxa"/>
            <w:bottom w:w="0" w:type="dxa"/>
            <w:right w:w="0" w:type="dxa"/>
          </w:tblCellMar>
        </w:tblPrEx>
        <w:trPr>
          <w:trHeight w:val="567" w:hRule="atLeast"/>
        </w:trPr>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地址</w:t>
            </w:r>
          </w:p>
        </w:tc>
        <w:tc>
          <w:tcPr>
            <w:tcW w:w="527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80" w:firstLineChars="200"/>
              <w:jc w:val="center"/>
              <w:textAlignment w:val="center"/>
              <w:rPr>
                <w:rFonts w:hint="default"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白沙县政府办公大楼一楼</w:t>
            </w:r>
          </w:p>
        </w:tc>
        <w:tc>
          <w:tcPr>
            <w:tcW w:w="17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邮编</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80" w:firstLineChars="200"/>
              <w:jc w:val="center"/>
              <w:textAlignment w:val="center"/>
              <w:rPr>
                <w:rFonts w:hint="default"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572800</w:t>
            </w:r>
          </w:p>
        </w:tc>
      </w:tr>
      <w:tr>
        <w:tblPrEx>
          <w:tblLayout w:type="fixed"/>
          <w:tblCellMar>
            <w:top w:w="0" w:type="dxa"/>
            <w:left w:w="0" w:type="dxa"/>
            <w:bottom w:w="0" w:type="dxa"/>
            <w:right w:w="0" w:type="dxa"/>
          </w:tblCellMar>
        </w:tblPrEx>
        <w:trPr>
          <w:trHeight w:val="567" w:hRule="atLeast"/>
        </w:trPr>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项目类型</w:t>
            </w:r>
          </w:p>
        </w:tc>
        <w:tc>
          <w:tcPr>
            <w:tcW w:w="8788"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80" w:firstLineChars="200"/>
              <w:jc w:val="center"/>
              <w:textAlignment w:val="center"/>
              <w:rPr>
                <w:rFonts w:hint="default"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经常性项目（</w:t>
            </w:r>
            <w:r>
              <w:rPr>
                <w:rFonts w:hint="default" w:ascii="Arial" w:hAnsi="Arial" w:eastAsia="宋体" w:cs="Arial"/>
                <w:b w:val="0"/>
                <w:bCs w:val="0"/>
                <w:i w:val="0"/>
                <w:color w:val="000000"/>
                <w:kern w:val="0"/>
                <w:sz w:val="24"/>
                <w:szCs w:val="24"/>
                <w:u w:val="none"/>
                <w:lang w:val="en-US" w:eastAsia="zh-CN" w:bidi="ar"/>
              </w:rPr>
              <w:t>√</w:t>
            </w:r>
            <w:r>
              <w:rPr>
                <w:rFonts w:hint="eastAsia" w:ascii="宋体" w:hAnsi="宋体" w:eastAsia="宋体" w:cs="宋体"/>
                <w:b w:val="0"/>
                <w:bCs w:val="0"/>
                <w:i w:val="0"/>
                <w:color w:val="000000"/>
                <w:kern w:val="0"/>
                <w:sz w:val="24"/>
                <w:szCs w:val="24"/>
                <w:u w:val="none"/>
                <w:lang w:val="en-US" w:eastAsia="zh-CN" w:bidi="ar"/>
              </w:rPr>
              <w:t>）   一次性项目（</w:t>
            </w:r>
            <w:r>
              <w:rPr>
                <w:rFonts w:hint="default" w:ascii="Arial" w:hAnsi="Arial" w:eastAsia="宋体" w:cs="Arial"/>
                <w:b w:val="0"/>
                <w:bCs w:val="0"/>
                <w:i w:val="0"/>
                <w:color w:val="000000"/>
                <w:kern w:val="0"/>
                <w:sz w:val="24"/>
                <w:szCs w:val="24"/>
                <w:u w:val="none"/>
                <w:lang w:val="en-US" w:eastAsia="zh-CN" w:bidi="ar"/>
              </w:rPr>
              <w:t>√</w:t>
            </w:r>
            <w:r>
              <w:rPr>
                <w:rFonts w:hint="eastAsia" w:ascii="宋体" w:hAnsi="宋体" w:eastAsia="宋体" w:cs="宋体"/>
                <w:b w:val="0"/>
                <w:bCs w:val="0"/>
                <w:i w:val="0"/>
                <w:color w:val="000000"/>
                <w:kern w:val="0"/>
                <w:sz w:val="24"/>
                <w:szCs w:val="24"/>
                <w:u w:val="none"/>
                <w:lang w:val="en-US" w:eastAsia="zh-CN" w:bidi="ar"/>
              </w:rPr>
              <w:t>）</w:t>
            </w:r>
          </w:p>
        </w:tc>
      </w:tr>
      <w:tr>
        <w:tblPrEx>
          <w:tblLayout w:type="fixed"/>
          <w:tblCellMar>
            <w:top w:w="0" w:type="dxa"/>
            <w:left w:w="0" w:type="dxa"/>
            <w:bottom w:w="0" w:type="dxa"/>
            <w:right w:w="0" w:type="dxa"/>
          </w:tblCellMar>
        </w:tblPrEx>
        <w:trPr>
          <w:trHeight w:val="567" w:hRule="atLeast"/>
        </w:trPr>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计划投资</w:t>
            </w:r>
          </w:p>
        </w:tc>
        <w:tc>
          <w:tcPr>
            <w:tcW w:w="17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25</w:t>
            </w:r>
          </w:p>
        </w:tc>
        <w:tc>
          <w:tcPr>
            <w:tcW w:w="17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实际到位</w:t>
            </w:r>
          </w:p>
        </w:tc>
        <w:tc>
          <w:tcPr>
            <w:tcW w:w="17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25</w:t>
            </w:r>
          </w:p>
        </w:tc>
        <w:tc>
          <w:tcPr>
            <w:tcW w:w="17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实际使用</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sz w:val="24"/>
                <w:szCs w:val="24"/>
                <w:u w:val="none"/>
                <w:lang w:val="en-US" w:eastAsia="zh-CN"/>
              </w:rPr>
              <w:t>24.78</w:t>
            </w:r>
          </w:p>
        </w:tc>
      </w:tr>
      <w:tr>
        <w:tblPrEx>
          <w:shd w:val="clear" w:color="auto" w:fill="auto"/>
          <w:tblLayout w:type="fixed"/>
          <w:tblCellMar>
            <w:top w:w="0" w:type="dxa"/>
            <w:left w:w="0" w:type="dxa"/>
            <w:bottom w:w="0" w:type="dxa"/>
            <w:right w:w="0" w:type="dxa"/>
          </w:tblCellMar>
        </w:tblPrEx>
        <w:trPr>
          <w:trHeight w:val="567" w:hRule="atLeast"/>
        </w:trPr>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其中：省财政</w:t>
            </w:r>
          </w:p>
        </w:tc>
        <w:tc>
          <w:tcPr>
            <w:tcW w:w="17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80" w:firstLineChars="200"/>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17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其中：省财政</w:t>
            </w:r>
          </w:p>
        </w:tc>
        <w:tc>
          <w:tcPr>
            <w:tcW w:w="17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80" w:firstLineChars="200"/>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17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其中：省财政</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80" w:firstLineChars="200"/>
              <w:jc w:val="center"/>
              <w:textAlignment w:val="center"/>
              <w:rPr>
                <w:rFonts w:hint="eastAsia" w:ascii="宋体" w:hAnsi="宋体" w:eastAsia="宋体" w:cs="宋体"/>
                <w:b w:val="0"/>
                <w:bCs w:val="0"/>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567" w:hRule="atLeast"/>
        </w:trPr>
        <w:tc>
          <w:tcPr>
            <w:tcW w:w="1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县财政</w:t>
            </w:r>
          </w:p>
        </w:tc>
        <w:tc>
          <w:tcPr>
            <w:tcW w:w="17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25</w:t>
            </w:r>
          </w:p>
        </w:tc>
        <w:tc>
          <w:tcPr>
            <w:tcW w:w="17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县财政</w:t>
            </w:r>
          </w:p>
        </w:tc>
        <w:tc>
          <w:tcPr>
            <w:tcW w:w="17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25</w:t>
            </w:r>
          </w:p>
        </w:tc>
        <w:tc>
          <w:tcPr>
            <w:tcW w:w="17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县财政</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25</w:t>
            </w:r>
          </w:p>
        </w:tc>
      </w:tr>
      <w:tr>
        <w:tblPrEx>
          <w:tblLayout w:type="fixed"/>
          <w:tblCellMar>
            <w:top w:w="0" w:type="dxa"/>
            <w:left w:w="0" w:type="dxa"/>
            <w:bottom w:w="0" w:type="dxa"/>
            <w:right w:w="0" w:type="dxa"/>
          </w:tblCellMar>
        </w:tblPrEx>
        <w:trPr>
          <w:trHeight w:val="567" w:hRule="atLeast"/>
        </w:trPr>
        <w:tc>
          <w:tcPr>
            <w:tcW w:w="10545"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1" w:firstLineChars="100"/>
              <w:jc w:val="both"/>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b/>
                <w:bCs/>
                <w:i w:val="0"/>
                <w:color w:val="000000"/>
                <w:kern w:val="0"/>
                <w:sz w:val="24"/>
                <w:szCs w:val="24"/>
                <w:u w:val="none"/>
                <w:lang w:val="en-US" w:eastAsia="zh-CN" w:bidi="ar"/>
              </w:rPr>
              <w:t>二、绩效评价指标得分</w:t>
            </w:r>
          </w:p>
        </w:tc>
      </w:tr>
      <w:tr>
        <w:tblPrEx>
          <w:shd w:val="clear" w:color="auto" w:fill="auto"/>
          <w:tblLayout w:type="fixed"/>
          <w:tblCellMar>
            <w:top w:w="0" w:type="dxa"/>
            <w:left w:w="0" w:type="dxa"/>
            <w:bottom w:w="0" w:type="dxa"/>
            <w:right w:w="0" w:type="dxa"/>
          </w:tblCellMar>
        </w:tblPrEx>
        <w:trPr>
          <w:trHeight w:val="510" w:hRule="atLeast"/>
        </w:trPr>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一级指标</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分值</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二级指标</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分值</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三级指标</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分值</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评价得分</w:t>
            </w:r>
          </w:p>
        </w:tc>
      </w:tr>
      <w:tr>
        <w:tblPrEx>
          <w:shd w:val="clear" w:color="auto" w:fill="auto"/>
          <w:tblLayout w:type="fixed"/>
          <w:tblCellMar>
            <w:top w:w="0" w:type="dxa"/>
            <w:left w:w="0" w:type="dxa"/>
            <w:bottom w:w="0" w:type="dxa"/>
            <w:right w:w="0" w:type="dxa"/>
          </w:tblCellMar>
        </w:tblPrEx>
        <w:trPr>
          <w:trHeight w:val="510" w:hRule="atLeast"/>
        </w:trPr>
        <w:tc>
          <w:tcPr>
            <w:tcW w:w="1761"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项目决策</w:t>
            </w:r>
          </w:p>
        </w:tc>
        <w:tc>
          <w:tcPr>
            <w:tcW w:w="85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项目目标</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项目内容</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r>
      <w:tr>
        <w:tblPrEx>
          <w:tblLayout w:type="fixed"/>
          <w:tblCellMar>
            <w:top w:w="0" w:type="dxa"/>
            <w:left w:w="0" w:type="dxa"/>
            <w:bottom w:w="0" w:type="dxa"/>
            <w:right w:w="0" w:type="dxa"/>
          </w:tblCellMar>
        </w:tblPrEx>
        <w:trPr>
          <w:trHeight w:val="510" w:hRule="atLeast"/>
        </w:trPr>
        <w:tc>
          <w:tcPr>
            <w:tcW w:w="1761"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160"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决策过程</w:t>
            </w:r>
          </w:p>
        </w:tc>
        <w:tc>
          <w:tcPr>
            <w:tcW w:w="990"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决策依据</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r>
      <w:tr>
        <w:tblPrEx>
          <w:tblLayout w:type="fixed"/>
          <w:tblCellMar>
            <w:top w:w="0" w:type="dxa"/>
            <w:left w:w="0" w:type="dxa"/>
            <w:bottom w:w="0" w:type="dxa"/>
            <w:right w:w="0" w:type="dxa"/>
          </w:tblCellMar>
        </w:tblPrEx>
        <w:trPr>
          <w:trHeight w:val="510" w:hRule="atLeast"/>
        </w:trPr>
        <w:tc>
          <w:tcPr>
            <w:tcW w:w="1761"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160"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990"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决策程序</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r>
      <w:tr>
        <w:tblPrEx>
          <w:tblLayout w:type="fixed"/>
          <w:tblCellMar>
            <w:top w:w="0" w:type="dxa"/>
            <w:left w:w="0" w:type="dxa"/>
            <w:bottom w:w="0" w:type="dxa"/>
            <w:right w:w="0" w:type="dxa"/>
          </w:tblCellMar>
        </w:tblPrEx>
        <w:trPr>
          <w:trHeight w:val="510" w:hRule="atLeast"/>
        </w:trPr>
        <w:tc>
          <w:tcPr>
            <w:tcW w:w="1761"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160"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资金分配</w:t>
            </w:r>
          </w:p>
        </w:tc>
        <w:tc>
          <w:tcPr>
            <w:tcW w:w="990"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分配办法</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r>
      <w:tr>
        <w:tblPrEx>
          <w:tblLayout w:type="fixed"/>
          <w:tblCellMar>
            <w:top w:w="0" w:type="dxa"/>
            <w:left w:w="0" w:type="dxa"/>
            <w:bottom w:w="0" w:type="dxa"/>
            <w:right w:w="0" w:type="dxa"/>
          </w:tblCellMar>
        </w:tblPrEx>
        <w:trPr>
          <w:trHeight w:val="510" w:hRule="atLeast"/>
        </w:trPr>
        <w:tc>
          <w:tcPr>
            <w:tcW w:w="1761"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5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160"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990"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分配结果</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r>
      <w:tr>
        <w:tblPrEx>
          <w:tblLayout w:type="fixed"/>
          <w:tblCellMar>
            <w:top w:w="0" w:type="dxa"/>
            <w:left w:w="0" w:type="dxa"/>
            <w:bottom w:w="0" w:type="dxa"/>
            <w:right w:w="0" w:type="dxa"/>
          </w:tblCellMar>
        </w:tblPrEx>
        <w:trPr>
          <w:trHeight w:val="510" w:hRule="atLeast"/>
        </w:trPr>
        <w:tc>
          <w:tcPr>
            <w:tcW w:w="1761"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项目管理</w:t>
            </w:r>
          </w:p>
        </w:tc>
        <w:tc>
          <w:tcPr>
            <w:tcW w:w="85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25</w:t>
            </w:r>
          </w:p>
        </w:tc>
        <w:tc>
          <w:tcPr>
            <w:tcW w:w="2160"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资金到吗</w:t>
            </w:r>
          </w:p>
        </w:tc>
        <w:tc>
          <w:tcPr>
            <w:tcW w:w="990"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到位率</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r>
      <w:tr>
        <w:tblPrEx>
          <w:tblLayout w:type="fixed"/>
          <w:tblCellMar>
            <w:top w:w="0" w:type="dxa"/>
            <w:left w:w="0" w:type="dxa"/>
            <w:bottom w:w="0" w:type="dxa"/>
            <w:right w:w="0" w:type="dxa"/>
          </w:tblCellMar>
        </w:tblPrEx>
        <w:trPr>
          <w:trHeight w:val="510" w:hRule="atLeast"/>
        </w:trPr>
        <w:tc>
          <w:tcPr>
            <w:tcW w:w="1761"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160"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90"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到位时效</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r>
      <w:tr>
        <w:tblPrEx>
          <w:shd w:val="clear" w:color="auto" w:fill="auto"/>
          <w:tblLayout w:type="fixed"/>
          <w:tblCellMar>
            <w:top w:w="0" w:type="dxa"/>
            <w:left w:w="0" w:type="dxa"/>
            <w:bottom w:w="0" w:type="dxa"/>
            <w:right w:w="0" w:type="dxa"/>
          </w:tblCellMar>
        </w:tblPrEx>
        <w:trPr>
          <w:trHeight w:val="510" w:hRule="atLeast"/>
        </w:trPr>
        <w:tc>
          <w:tcPr>
            <w:tcW w:w="1761"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160"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资金管理</w:t>
            </w:r>
          </w:p>
        </w:tc>
        <w:tc>
          <w:tcPr>
            <w:tcW w:w="990"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资金使用</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r>
      <w:tr>
        <w:tblPrEx>
          <w:shd w:val="clear" w:color="auto" w:fill="auto"/>
          <w:tblLayout w:type="fixed"/>
          <w:tblCellMar>
            <w:top w:w="0" w:type="dxa"/>
            <w:left w:w="0" w:type="dxa"/>
            <w:bottom w:w="0" w:type="dxa"/>
            <w:right w:w="0" w:type="dxa"/>
          </w:tblCellMar>
        </w:tblPrEx>
        <w:trPr>
          <w:trHeight w:val="510" w:hRule="atLeast"/>
        </w:trPr>
        <w:tc>
          <w:tcPr>
            <w:tcW w:w="1761"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160"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90"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财务管理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r>
      <w:tr>
        <w:tblPrEx>
          <w:shd w:val="clear" w:color="auto" w:fill="auto"/>
          <w:tblLayout w:type="fixed"/>
          <w:tblCellMar>
            <w:top w:w="0" w:type="dxa"/>
            <w:left w:w="0" w:type="dxa"/>
            <w:bottom w:w="0" w:type="dxa"/>
            <w:right w:w="0" w:type="dxa"/>
          </w:tblCellMar>
        </w:tblPrEx>
        <w:trPr>
          <w:trHeight w:val="510" w:hRule="atLeast"/>
        </w:trPr>
        <w:tc>
          <w:tcPr>
            <w:tcW w:w="1761"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160"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组织实施</w:t>
            </w:r>
          </w:p>
        </w:tc>
        <w:tc>
          <w:tcPr>
            <w:tcW w:w="990"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组织机构</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r>
      <w:tr>
        <w:tblPrEx>
          <w:tblLayout w:type="fixed"/>
          <w:tblCellMar>
            <w:top w:w="0" w:type="dxa"/>
            <w:left w:w="0" w:type="dxa"/>
            <w:bottom w:w="0" w:type="dxa"/>
            <w:right w:w="0" w:type="dxa"/>
          </w:tblCellMar>
        </w:tblPrEx>
        <w:trPr>
          <w:trHeight w:val="510" w:hRule="atLeast"/>
        </w:trPr>
        <w:tc>
          <w:tcPr>
            <w:tcW w:w="1761"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85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160"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90"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管理制度</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r>
      <w:tr>
        <w:tblPrEx>
          <w:tblLayout w:type="fixed"/>
          <w:tblCellMar>
            <w:top w:w="0" w:type="dxa"/>
            <w:left w:w="0" w:type="dxa"/>
            <w:bottom w:w="0" w:type="dxa"/>
            <w:right w:w="0" w:type="dxa"/>
          </w:tblCellMar>
        </w:tblPrEx>
        <w:trPr>
          <w:trHeight w:val="510" w:hRule="atLeast"/>
        </w:trPr>
        <w:tc>
          <w:tcPr>
            <w:tcW w:w="1761"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项目绩效</w:t>
            </w:r>
          </w:p>
        </w:tc>
        <w:tc>
          <w:tcPr>
            <w:tcW w:w="85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55</w:t>
            </w:r>
          </w:p>
        </w:tc>
        <w:tc>
          <w:tcPr>
            <w:tcW w:w="2160"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项目产出</w:t>
            </w:r>
          </w:p>
        </w:tc>
        <w:tc>
          <w:tcPr>
            <w:tcW w:w="990"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产出数量</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4.95</w:t>
            </w:r>
          </w:p>
        </w:tc>
      </w:tr>
      <w:tr>
        <w:tblPrEx>
          <w:tblLayout w:type="fixed"/>
          <w:tblCellMar>
            <w:top w:w="0" w:type="dxa"/>
            <w:left w:w="0" w:type="dxa"/>
            <w:bottom w:w="0" w:type="dxa"/>
            <w:right w:w="0" w:type="dxa"/>
          </w:tblCellMar>
        </w:tblPrEx>
        <w:trPr>
          <w:trHeight w:val="510" w:hRule="atLeast"/>
        </w:trPr>
        <w:tc>
          <w:tcPr>
            <w:tcW w:w="1761"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160"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90"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产出质量</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r>
      <w:tr>
        <w:tblPrEx>
          <w:tblLayout w:type="fixed"/>
          <w:tblCellMar>
            <w:top w:w="0" w:type="dxa"/>
            <w:left w:w="0" w:type="dxa"/>
            <w:bottom w:w="0" w:type="dxa"/>
            <w:right w:w="0" w:type="dxa"/>
          </w:tblCellMar>
        </w:tblPrEx>
        <w:trPr>
          <w:trHeight w:val="510" w:hRule="atLeast"/>
        </w:trPr>
        <w:tc>
          <w:tcPr>
            <w:tcW w:w="1761"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160"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90"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产出时效</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r>
      <w:tr>
        <w:tblPrEx>
          <w:shd w:val="clear" w:color="auto" w:fill="auto"/>
          <w:tblLayout w:type="fixed"/>
          <w:tblCellMar>
            <w:top w:w="0" w:type="dxa"/>
            <w:left w:w="0" w:type="dxa"/>
            <w:bottom w:w="0" w:type="dxa"/>
            <w:right w:w="0" w:type="dxa"/>
          </w:tblCellMar>
        </w:tblPrEx>
        <w:trPr>
          <w:trHeight w:val="510" w:hRule="atLeast"/>
        </w:trPr>
        <w:tc>
          <w:tcPr>
            <w:tcW w:w="1761"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160"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90"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产出成本</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r>
      <w:tr>
        <w:tblPrEx>
          <w:tblLayout w:type="fixed"/>
          <w:tblCellMar>
            <w:top w:w="0" w:type="dxa"/>
            <w:left w:w="0" w:type="dxa"/>
            <w:bottom w:w="0" w:type="dxa"/>
            <w:right w:w="0" w:type="dxa"/>
          </w:tblCellMar>
        </w:tblPrEx>
        <w:trPr>
          <w:trHeight w:val="510" w:hRule="atLeast"/>
        </w:trPr>
        <w:tc>
          <w:tcPr>
            <w:tcW w:w="1761"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160"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项目效果</w:t>
            </w:r>
          </w:p>
        </w:tc>
        <w:tc>
          <w:tcPr>
            <w:tcW w:w="990"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40</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经济效益</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r>
      <w:tr>
        <w:tblPrEx>
          <w:tblLayout w:type="fixed"/>
          <w:tblCellMar>
            <w:top w:w="0" w:type="dxa"/>
            <w:left w:w="0" w:type="dxa"/>
            <w:bottom w:w="0" w:type="dxa"/>
            <w:right w:w="0" w:type="dxa"/>
          </w:tblCellMar>
        </w:tblPrEx>
        <w:trPr>
          <w:trHeight w:val="510" w:hRule="atLeast"/>
        </w:trPr>
        <w:tc>
          <w:tcPr>
            <w:tcW w:w="1761"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160"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90"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社会效益</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r>
      <w:tr>
        <w:tblPrEx>
          <w:tblLayout w:type="fixed"/>
          <w:tblCellMar>
            <w:top w:w="0" w:type="dxa"/>
            <w:left w:w="0" w:type="dxa"/>
            <w:bottom w:w="0" w:type="dxa"/>
            <w:right w:w="0" w:type="dxa"/>
          </w:tblCellMar>
        </w:tblPrEx>
        <w:trPr>
          <w:trHeight w:val="510" w:hRule="atLeast"/>
        </w:trPr>
        <w:tc>
          <w:tcPr>
            <w:tcW w:w="1761"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160"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90"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环境效益</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r>
      <w:tr>
        <w:tblPrEx>
          <w:tblLayout w:type="fixed"/>
          <w:tblCellMar>
            <w:top w:w="0" w:type="dxa"/>
            <w:left w:w="0" w:type="dxa"/>
            <w:bottom w:w="0" w:type="dxa"/>
            <w:right w:w="0" w:type="dxa"/>
          </w:tblCellMar>
        </w:tblPrEx>
        <w:trPr>
          <w:trHeight w:val="510" w:hRule="atLeast"/>
        </w:trPr>
        <w:tc>
          <w:tcPr>
            <w:tcW w:w="1761"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8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160"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90"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可持续性影响</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r>
      <w:tr>
        <w:tblPrEx>
          <w:tblLayout w:type="fixed"/>
          <w:tblCellMar>
            <w:top w:w="0" w:type="dxa"/>
            <w:left w:w="0" w:type="dxa"/>
            <w:bottom w:w="0" w:type="dxa"/>
            <w:right w:w="0" w:type="dxa"/>
          </w:tblCellMar>
        </w:tblPrEx>
        <w:trPr>
          <w:trHeight w:val="510" w:hRule="atLeast"/>
        </w:trPr>
        <w:tc>
          <w:tcPr>
            <w:tcW w:w="1761"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85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160"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90"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服务对象满意度</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r>
      <w:tr>
        <w:tblPrEx>
          <w:shd w:val="clear" w:color="auto" w:fill="auto"/>
          <w:tblLayout w:type="fixed"/>
          <w:tblCellMar>
            <w:top w:w="0" w:type="dxa"/>
            <w:left w:w="0" w:type="dxa"/>
            <w:bottom w:w="0" w:type="dxa"/>
            <w:right w:w="0" w:type="dxa"/>
          </w:tblCellMar>
        </w:tblPrEx>
        <w:trPr>
          <w:trHeight w:val="510" w:hRule="atLeast"/>
        </w:trPr>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合计</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100</w:t>
            </w:r>
          </w:p>
        </w:tc>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91.95</w:t>
            </w:r>
          </w:p>
        </w:tc>
      </w:tr>
      <w:tr>
        <w:tblPrEx>
          <w:shd w:val="clear" w:color="auto" w:fill="auto"/>
          <w:tblLayout w:type="fixed"/>
          <w:tblCellMar>
            <w:top w:w="0" w:type="dxa"/>
            <w:left w:w="0" w:type="dxa"/>
            <w:bottom w:w="0" w:type="dxa"/>
            <w:right w:w="0" w:type="dxa"/>
          </w:tblCellMar>
        </w:tblPrEx>
        <w:trPr>
          <w:trHeight w:val="510" w:hRule="atLeast"/>
        </w:trPr>
        <w:tc>
          <w:tcPr>
            <w:tcW w:w="7761"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评级等次</w:t>
            </w:r>
          </w:p>
        </w:tc>
        <w:tc>
          <w:tcPr>
            <w:tcW w:w="278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良好</w:t>
            </w:r>
          </w:p>
        </w:tc>
      </w:tr>
      <w:tr>
        <w:tblPrEx>
          <w:shd w:val="clear" w:color="auto" w:fill="auto"/>
          <w:tblLayout w:type="fixed"/>
          <w:tblCellMar>
            <w:top w:w="0" w:type="dxa"/>
            <w:left w:w="0" w:type="dxa"/>
            <w:bottom w:w="0" w:type="dxa"/>
            <w:right w:w="0" w:type="dxa"/>
          </w:tblCellMar>
        </w:tblPrEx>
        <w:trPr>
          <w:trHeight w:val="510" w:hRule="atLeast"/>
        </w:trPr>
        <w:tc>
          <w:tcPr>
            <w:tcW w:w="10545"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566"/>
              </w:tabs>
              <w:ind w:firstLine="211" w:firstLineChars="100"/>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三、评级人员</w:t>
            </w:r>
          </w:p>
        </w:tc>
      </w:tr>
      <w:tr>
        <w:tblPrEx>
          <w:tblLayout w:type="fixed"/>
          <w:tblCellMar>
            <w:top w:w="0" w:type="dxa"/>
            <w:left w:w="0" w:type="dxa"/>
            <w:bottom w:w="0" w:type="dxa"/>
            <w:right w:w="0" w:type="dxa"/>
          </w:tblCellMar>
        </w:tblPrEx>
        <w:trPr>
          <w:trHeight w:val="510" w:hRule="atLeast"/>
        </w:trPr>
        <w:tc>
          <w:tcPr>
            <w:tcW w:w="26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姓名</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职务/职称</w:t>
            </w:r>
          </w:p>
        </w:tc>
        <w:tc>
          <w:tcPr>
            <w:tcW w:w="477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单位</w:t>
            </w:r>
          </w:p>
        </w:tc>
      </w:tr>
      <w:tr>
        <w:tblPrEx>
          <w:shd w:val="clear" w:color="auto" w:fill="auto"/>
          <w:tblLayout w:type="fixed"/>
          <w:tblCellMar>
            <w:top w:w="0" w:type="dxa"/>
            <w:left w:w="0" w:type="dxa"/>
            <w:bottom w:w="0" w:type="dxa"/>
            <w:right w:w="0" w:type="dxa"/>
          </w:tblCellMar>
        </w:tblPrEx>
        <w:trPr>
          <w:trHeight w:val="510" w:hRule="atLeast"/>
        </w:trPr>
        <w:tc>
          <w:tcPr>
            <w:tcW w:w="26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钟祥发</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副主席</w:t>
            </w:r>
          </w:p>
        </w:tc>
        <w:tc>
          <w:tcPr>
            <w:tcW w:w="477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白沙黎族自治县科学技术协会</w:t>
            </w:r>
          </w:p>
        </w:tc>
      </w:tr>
      <w:tr>
        <w:tblPrEx>
          <w:shd w:val="clear" w:color="auto" w:fill="auto"/>
          <w:tblLayout w:type="fixed"/>
          <w:tblCellMar>
            <w:top w:w="0" w:type="dxa"/>
            <w:left w:w="0" w:type="dxa"/>
            <w:bottom w:w="0" w:type="dxa"/>
            <w:right w:w="0" w:type="dxa"/>
          </w:tblCellMar>
        </w:tblPrEx>
        <w:trPr>
          <w:trHeight w:val="510" w:hRule="atLeast"/>
        </w:trPr>
        <w:tc>
          <w:tcPr>
            <w:tcW w:w="26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吴初月</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股长</w:t>
            </w:r>
          </w:p>
        </w:tc>
        <w:tc>
          <w:tcPr>
            <w:tcW w:w="477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白沙黎族自治县科学技术协会</w:t>
            </w:r>
          </w:p>
        </w:tc>
      </w:tr>
      <w:tr>
        <w:tblPrEx>
          <w:tblLayout w:type="fixed"/>
          <w:tblCellMar>
            <w:top w:w="0" w:type="dxa"/>
            <w:left w:w="0" w:type="dxa"/>
            <w:bottom w:w="0" w:type="dxa"/>
            <w:right w:w="0" w:type="dxa"/>
          </w:tblCellMar>
        </w:tblPrEx>
        <w:trPr>
          <w:trHeight w:val="510" w:hRule="atLeast"/>
        </w:trPr>
        <w:tc>
          <w:tcPr>
            <w:tcW w:w="26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李达洲</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科普志愿者</w:t>
            </w:r>
          </w:p>
        </w:tc>
        <w:tc>
          <w:tcPr>
            <w:tcW w:w="477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白沙黎族自治县科学技术协会</w:t>
            </w:r>
          </w:p>
        </w:tc>
      </w:tr>
      <w:tr>
        <w:tblPrEx>
          <w:shd w:val="clear" w:color="auto" w:fill="auto"/>
          <w:tblLayout w:type="fixed"/>
          <w:tblCellMar>
            <w:top w:w="0" w:type="dxa"/>
            <w:left w:w="0" w:type="dxa"/>
            <w:bottom w:w="0" w:type="dxa"/>
            <w:right w:w="0" w:type="dxa"/>
          </w:tblCellMar>
        </w:tblPrEx>
        <w:trPr>
          <w:trHeight w:val="3845" w:hRule="atLeast"/>
        </w:trPr>
        <w:tc>
          <w:tcPr>
            <w:tcW w:w="10545"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310" w:firstLineChars="110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ind w:firstLine="2310" w:firstLineChars="1100"/>
              <w:jc w:val="center"/>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ind w:firstLine="4320" w:firstLineChars="180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评级工作组组长（签字）：</w:t>
            </w:r>
            <w:bookmarkStart w:id="1" w:name="_GoBack"/>
            <w:bookmarkEnd w:id="1"/>
          </w:p>
          <w:p>
            <w:pPr>
              <w:keepNext w:val="0"/>
              <w:keepLines w:val="0"/>
              <w:widowControl/>
              <w:suppressLineNumbers w:val="0"/>
              <w:ind w:firstLine="2640" w:firstLineChars="110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ind w:firstLine="2640" w:firstLineChars="110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ind w:firstLine="2640" w:firstLineChars="110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ind w:firstLine="4320" w:firstLineChars="180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项目单位负责人（签字并盖章）：</w:t>
            </w:r>
          </w:p>
          <w:p>
            <w:pPr>
              <w:keepNext w:val="0"/>
              <w:keepLines w:val="0"/>
              <w:widowControl/>
              <w:suppressLineNumbers w:val="0"/>
              <w:ind w:firstLine="4320" w:firstLineChars="180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ind w:firstLine="8160" w:firstLineChars="340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2020年8月10日</w:t>
            </w:r>
          </w:p>
        </w:tc>
      </w:tr>
    </w:tbl>
    <w:p>
      <w:pPr>
        <w:spacing w:line="530" w:lineRule="exact"/>
        <w:jc w:val="left"/>
        <w:rPr>
          <w:rFonts w:ascii="黑体" w:hAnsi="仿宋_GB2312" w:eastAsia="黑体" w:cs="仿宋_GB2312"/>
          <w:szCs w:val="32"/>
        </w:rPr>
      </w:pPr>
    </w:p>
    <w:p>
      <w:pPr>
        <w:spacing w:line="530" w:lineRule="exact"/>
        <w:jc w:val="left"/>
        <w:rPr>
          <w:rFonts w:ascii="黑体" w:hAnsi="仿宋_GB2312" w:eastAsia="黑体" w:cs="仿宋_GB2312"/>
          <w:szCs w:val="32"/>
        </w:rPr>
      </w:pPr>
    </w:p>
    <w:p>
      <w:pPr>
        <w:spacing w:line="530" w:lineRule="exact"/>
        <w:jc w:val="left"/>
        <w:rPr>
          <w:rFonts w:ascii="黑体" w:hAnsi="仿宋_GB2312" w:eastAsia="黑体" w:cs="仿宋_GB2312"/>
          <w:szCs w:val="32"/>
        </w:rPr>
      </w:pPr>
    </w:p>
    <w:bookmarkEnd w:id="0"/>
    <w:p>
      <w:pPr>
        <w:keepNext w:val="0"/>
        <w:keepLines w:val="0"/>
        <w:pageBreakBefore w:val="0"/>
        <w:widowControl w:val="0"/>
        <w:kinsoku/>
        <w:wordWrap/>
        <w:overflowPunct/>
        <w:topLinePunct w:val="0"/>
        <w:autoSpaceDE/>
        <w:autoSpaceDN/>
        <w:bidi w:val="0"/>
        <w:spacing w:line="560" w:lineRule="exact"/>
        <w:jc w:val="center"/>
        <w:textAlignment w:val="auto"/>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项目绩效评价报告</w:t>
      </w:r>
    </w:p>
    <w:p>
      <w:pPr>
        <w:keepNext w:val="0"/>
        <w:keepLines w:val="0"/>
        <w:pageBreakBefore w:val="0"/>
        <w:widowControl w:val="0"/>
        <w:kinsoku/>
        <w:wordWrap/>
        <w:overflowPunct/>
        <w:topLinePunct w:val="0"/>
        <w:autoSpaceDE/>
        <w:autoSpaceDN/>
        <w:bidi w:val="0"/>
        <w:spacing w:line="560" w:lineRule="exact"/>
        <w:ind w:firstLine="198"/>
        <w:textAlignment w:val="auto"/>
        <w:outlineLvl w:val="0"/>
        <w:rPr>
          <w:rFonts w:hint="eastAsia" w:ascii="仿宋_GB2312" w:hAnsi="仿宋_GB2312" w:eastAsia="仿宋_GB2312" w:cs="仿宋_GB2312"/>
          <w:bCs/>
          <w:color w:val="000000"/>
          <w:sz w:val="32"/>
          <w:szCs w:val="32"/>
        </w:rPr>
      </w:pPr>
    </w:p>
    <w:p>
      <w:pPr>
        <w:keepNext w:val="0"/>
        <w:keepLines w:val="0"/>
        <w:pageBreakBefore w:val="0"/>
        <w:widowControl w:val="0"/>
        <w:kinsoku/>
        <w:wordWrap/>
        <w:overflowPunct/>
        <w:topLinePunct w:val="0"/>
        <w:autoSpaceDE/>
        <w:autoSpaceDN/>
        <w:bidi w:val="0"/>
        <w:spacing w:line="560" w:lineRule="exact"/>
        <w:ind w:firstLine="643" w:firstLineChars="200"/>
        <w:textAlignment w:val="auto"/>
        <w:outlineLvl w:val="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一、项目概况</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outlineLvl w:val="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（一）项目基本性质、用途和主要内容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eastAsia" w:ascii="仿宋_GB2312" w:hAnsi="仿宋_GB2312" w:eastAsia="仿宋_GB2312" w:cs="仿宋_GB2312"/>
          <w:color w:val="FF0000"/>
          <w:sz w:val="32"/>
          <w:szCs w:val="32"/>
        </w:rPr>
      </w:pPr>
      <w:r>
        <w:rPr>
          <w:rFonts w:hint="eastAsia" w:hAnsi="仿宋_GB2312" w:cs="仿宋_GB2312"/>
          <w:color w:val="000000"/>
          <w:sz w:val="32"/>
          <w:szCs w:val="32"/>
          <w:lang w:val="en-US" w:eastAsia="zh-CN"/>
        </w:rPr>
        <w:t>根据</w:t>
      </w:r>
      <w:r>
        <w:rPr>
          <w:rFonts w:hint="eastAsia" w:ascii="仿宋_GB2312" w:hAnsi="仿宋_GB2312" w:eastAsia="仿宋_GB2312" w:cs="仿宋_GB2312"/>
          <w:color w:val="000000"/>
          <w:sz w:val="32"/>
          <w:szCs w:val="32"/>
        </w:rPr>
        <w:t>中国科协、财政部《</w:t>
      </w:r>
      <w:r>
        <w:rPr>
          <w:rFonts w:hint="eastAsia" w:ascii="仿宋_GB2312" w:hAnsi="仿宋_GB2312" w:eastAsia="仿宋_GB2312" w:cs="仿宋_GB2312"/>
          <w:sz w:val="32"/>
          <w:szCs w:val="32"/>
        </w:rPr>
        <w:t>关于组织实施科普惠农兴村计划的通知》（科协发计字[2006]41号）</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sz w:val="32"/>
          <w:szCs w:val="32"/>
        </w:rPr>
        <w:t>海南省科协制定下发了《关于组织实施2019年海南省“基层科普行动计划”项目的通知》（琼科协〔2019〕123号）</w:t>
      </w:r>
      <w:r>
        <w:rPr>
          <w:rFonts w:hint="eastAsia" w:ascii="仿宋_GB2312" w:hAnsi="仿宋_GB2312" w:eastAsia="仿宋_GB2312" w:cs="仿宋_GB2312"/>
          <w:sz w:val="32"/>
          <w:szCs w:val="32"/>
          <w:lang w:eastAsia="zh-CN"/>
        </w:rPr>
        <w:t>文件要求</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在全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组织开展了2019年“基层科普行动计划”项目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具体项目经费标准为：</w:t>
      </w:r>
      <w:r>
        <w:rPr>
          <w:rFonts w:hint="eastAsia" w:ascii="仿宋_GB2312" w:hAnsi="仿宋_GB2312" w:eastAsia="仿宋_GB2312" w:cs="仿宋_GB2312"/>
          <w:sz w:val="32"/>
          <w:szCs w:val="32"/>
          <w:lang w:val="en-US" w:eastAsia="zh-CN"/>
        </w:rPr>
        <w:t>科普示范基地</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lang w:val="en-US" w:eastAsia="zh-CN"/>
        </w:rPr>
        <w:t>5万元、</w:t>
      </w:r>
      <w:r>
        <w:rPr>
          <w:rFonts w:hint="eastAsia" w:ascii="仿宋_GB2312" w:hAnsi="仿宋_GB2312" w:eastAsia="仿宋_GB2312" w:cs="仿宋_GB2312"/>
          <w:sz w:val="32"/>
          <w:szCs w:val="32"/>
        </w:rPr>
        <w:t>科普示范学校项目</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eastAsia" w:hAnsi="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白沙</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科协是</w:t>
      </w:r>
      <w:r>
        <w:rPr>
          <w:rFonts w:hint="eastAsia" w:ascii="仿宋_GB2312" w:hAnsi="仿宋_GB2312" w:eastAsia="仿宋_GB2312" w:cs="仿宋_GB2312"/>
          <w:color w:val="000000"/>
          <w:sz w:val="32"/>
          <w:szCs w:val="32"/>
          <w:lang w:val="en-US" w:eastAsia="zh-CN"/>
        </w:rPr>
        <w:t>白沙</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基层科普行动计划实施、管理单位，具体负责计划的组织实施、管理服务、监督指导等工作</w:t>
      </w:r>
      <w:r>
        <w:rPr>
          <w:rFonts w:hint="eastAsia" w:hAnsi="仿宋_GB2312" w:cs="仿宋_GB2312"/>
          <w:color w:val="000000"/>
          <w:sz w:val="32"/>
          <w:szCs w:val="32"/>
          <w:lang w:eastAsia="zh-CN"/>
        </w:rPr>
        <w:t>。</w:t>
      </w:r>
      <w:r>
        <w:rPr>
          <w:rFonts w:hint="eastAsia" w:hAnsi="仿宋_GB2312" w:cs="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outlineLvl w:val="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（二）项目绩效目标</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1、通过</w:t>
      </w:r>
      <w:r>
        <w:rPr>
          <w:rFonts w:hint="eastAsia" w:hAnsi="仿宋_GB2312" w:cs="仿宋_GB2312"/>
          <w:bCs/>
          <w:color w:val="000000"/>
          <w:sz w:val="32"/>
          <w:szCs w:val="32"/>
          <w:lang w:val="en-US" w:eastAsia="zh-CN"/>
        </w:rPr>
        <w:t>科普示范学校</w:t>
      </w:r>
      <w:r>
        <w:rPr>
          <w:rFonts w:hint="eastAsia" w:ascii="仿宋_GB2312" w:hAnsi="仿宋_GB2312" w:eastAsia="仿宋_GB2312" w:cs="仿宋_GB2312"/>
          <w:bCs/>
          <w:color w:val="000000"/>
          <w:sz w:val="32"/>
          <w:szCs w:val="32"/>
          <w:lang w:val="en-US" w:eastAsia="zh-CN"/>
        </w:rPr>
        <w:t>的的创建开展一系列的科普活动</w:t>
      </w:r>
      <w:r>
        <w:rPr>
          <w:rFonts w:hint="eastAsia" w:hAnsi="仿宋_GB2312" w:cs="仿宋_GB2312"/>
          <w:bCs/>
          <w:color w:val="000000"/>
          <w:sz w:val="32"/>
          <w:szCs w:val="32"/>
          <w:lang w:val="en-US" w:eastAsia="zh-CN"/>
        </w:rPr>
        <w:t>，进一步</w:t>
      </w:r>
      <w:r>
        <w:rPr>
          <w:rFonts w:hint="eastAsia" w:ascii="仿宋_GB2312" w:hAnsi="仿宋_GB2312" w:eastAsia="仿宋_GB2312" w:cs="仿宋_GB2312"/>
          <w:bCs/>
          <w:color w:val="000000"/>
          <w:sz w:val="32"/>
          <w:szCs w:val="32"/>
          <w:lang w:val="en-US" w:eastAsia="zh-CN"/>
        </w:rPr>
        <w:t>完善</w:t>
      </w:r>
      <w:r>
        <w:rPr>
          <w:rFonts w:hint="eastAsia" w:hAnsi="仿宋_GB2312" w:cs="仿宋_GB2312"/>
          <w:bCs/>
          <w:color w:val="000000"/>
          <w:sz w:val="32"/>
          <w:szCs w:val="32"/>
          <w:lang w:val="en-US" w:eastAsia="zh-CN"/>
        </w:rPr>
        <w:t>和丰富白沙县学校科技</w:t>
      </w:r>
      <w:r>
        <w:rPr>
          <w:rFonts w:hint="eastAsia" w:ascii="仿宋_GB2312" w:hAnsi="仿宋_GB2312" w:eastAsia="仿宋_GB2312" w:cs="仿宋_GB2312"/>
          <w:bCs/>
          <w:color w:val="000000"/>
          <w:sz w:val="32"/>
          <w:szCs w:val="32"/>
          <w:lang w:val="en-US" w:eastAsia="zh-CN"/>
        </w:rPr>
        <w:t>教育</w:t>
      </w:r>
      <w:r>
        <w:rPr>
          <w:rFonts w:hint="eastAsia" w:hAnsi="仿宋_GB2312" w:cs="仿宋_GB2312"/>
          <w:bCs/>
          <w:color w:val="000000"/>
          <w:sz w:val="32"/>
          <w:szCs w:val="32"/>
          <w:lang w:val="en-US" w:eastAsia="zh-CN"/>
        </w:rPr>
        <w:t>的内容</w:t>
      </w:r>
      <w:r>
        <w:rPr>
          <w:rFonts w:hint="eastAsia" w:ascii="仿宋_GB2312" w:hAnsi="仿宋_GB2312" w:eastAsia="仿宋_GB2312" w:cs="仿宋_GB2312"/>
          <w:bCs/>
          <w:color w:val="000000"/>
          <w:sz w:val="32"/>
          <w:szCs w:val="32"/>
          <w:lang w:val="en-US" w:eastAsia="zh-CN"/>
        </w:rPr>
        <w:t>，提高学校科学教育质量，</w:t>
      </w:r>
      <w:r>
        <w:rPr>
          <w:rFonts w:hint="eastAsia" w:hAnsi="仿宋_GB2312" w:cs="仿宋_GB2312"/>
          <w:bCs/>
          <w:color w:val="000000"/>
          <w:sz w:val="32"/>
          <w:szCs w:val="32"/>
          <w:lang w:val="en-US" w:eastAsia="zh-CN"/>
        </w:rPr>
        <w:t>促进青少年学生科学素质的提升，</w:t>
      </w:r>
      <w:r>
        <w:rPr>
          <w:rFonts w:hint="eastAsia" w:ascii="仿宋_GB2312" w:hAnsi="仿宋_GB2312" w:eastAsia="仿宋_GB2312" w:cs="仿宋_GB2312"/>
          <w:bCs/>
          <w:color w:val="000000"/>
          <w:sz w:val="32"/>
          <w:szCs w:val="32"/>
          <w:lang w:val="en-US" w:eastAsia="zh-CN"/>
        </w:rPr>
        <w:t>培养</w:t>
      </w:r>
      <w:r>
        <w:rPr>
          <w:rFonts w:hint="eastAsia" w:hAnsi="仿宋_GB2312" w:cs="仿宋_GB2312"/>
          <w:bCs/>
          <w:color w:val="000000"/>
          <w:sz w:val="32"/>
          <w:szCs w:val="32"/>
          <w:lang w:val="en-US" w:eastAsia="zh-CN"/>
        </w:rPr>
        <w:t>青少年学生爱科学用科学的积极性</w:t>
      </w:r>
      <w:r>
        <w:rPr>
          <w:rFonts w:hint="eastAsia" w:ascii="仿宋_GB2312" w:hAnsi="仿宋_GB2312" w:eastAsia="仿宋_GB2312" w:cs="仿宋_GB2312"/>
          <w:bCs/>
          <w:color w:val="000000"/>
          <w:sz w:val="32"/>
          <w:szCs w:val="32"/>
          <w:lang w:val="en-US" w:eastAsia="zh-CN"/>
        </w:rPr>
        <w:t>，增强学习对科学技术的兴趣好爱好，初步认识科学的本质及科协技术与社会的关系，培养创新意识、实践能力和综合运用知识解决问题的能力。</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2、</w:t>
      </w:r>
      <w:r>
        <w:rPr>
          <w:rFonts w:hint="eastAsia" w:ascii="仿宋_GB2312" w:hAnsi="仿宋_GB2312" w:eastAsia="仿宋_GB2312" w:cs="仿宋_GB2312"/>
          <w:szCs w:val="32"/>
        </w:rPr>
        <w:t>通过科普示范基地</w:t>
      </w:r>
      <w:r>
        <w:rPr>
          <w:rFonts w:hint="eastAsia" w:hAnsi="仿宋_GB2312" w:cs="仿宋_GB2312"/>
          <w:szCs w:val="32"/>
          <w:lang w:val="en-US" w:eastAsia="zh-CN"/>
        </w:rPr>
        <w:t>的创建，推进白沙特色产业的发展，培训农民宣传科普知识</w:t>
      </w:r>
      <w:r>
        <w:rPr>
          <w:rFonts w:hint="eastAsia" w:ascii="仿宋_GB2312" w:hAnsi="仿宋_GB2312" w:eastAsia="仿宋_GB2312" w:cs="仿宋_GB2312"/>
          <w:szCs w:val="32"/>
        </w:rPr>
        <w:t>，为</w:t>
      </w:r>
      <w:r>
        <w:rPr>
          <w:rFonts w:hint="eastAsia" w:hAnsi="仿宋_GB2312" w:cs="仿宋_GB2312"/>
          <w:szCs w:val="32"/>
          <w:lang w:val="en-US" w:eastAsia="zh-CN"/>
        </w:rPr>
        <w:t>有机茶产业发展提供</w:t>
      </w:r>
      <w:r>
        <w:rPr>
          <w:rFonts w:hint="eastAsia" w:ascii="仿宋_GB2312" w:hAnsi="仿宋_GB2312" w:eastAsia="仿宋_GB2312" w:cs="仿宋_GB2312"/>
          <w:szCs w:val="32"/>
        </w:rPr>
        <w:t>新的技术支持，为脱贫增收做出积极贡献，产业扶贫示范带动效应较好。</w:t>
      </w:r>
      <w:r>
        <w:rPr>
          <w:rFonts w:hint="eastAsia" w:ascii="仿宋_GB2312" w:hAnsi="仿宋_GB2312" w:eastAsia="仿宋_GB2312" w:cs="仿宋_GB2312"/>
        </w:rPr>
        <w:t>基层科普行动计划项目的实施为我</w:t>
      </w:r>
      <w:r>
        <w:rPr>
          <w:rFonts w:hint="eastAsia" w:ascii="仿宋_GB2312" w:hAnsi="仿宋_GB2312" w:eastAsia="仿宋_GB2312" w:cs="仿宋_GB2312"/>
          <w:lang w:eastAsia="zh-CN"/>
        </w:rPr>
        <w:t>县</w:t>
      </w:r>
      <w:r>
        <w:rPr>
          <w:rFonts w:hint="eastAsia" w:ascii="仿宋_GB2312" w:hAnsi="仿宋_GB2312" w:eastAsia="仿宋_GB2312" w:cs="仿宋_GB2312"/>
        </w:rPr>
        <w:t>全民科学素质的提升和自贸区（港）建设提供了可靠保障。</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outlineLvl w:val="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二、项目资金使用及管理情况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（一）项目资金使用情况分析</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通过核对</w:t>
      </w:r>
      <w:r>
        <w:rPr>
          <w:rFonts w:hint="eastAsia" w:ascii="仿宋_GB2312" w:hAnsi="仿宋_GB2312" w:eastAsia="仿宋_GB2312" w:cs="仿宋_GB2312"/>
          <w:color w:val="000000"/>
          <w:sz w:val="32"/>
          <w:szCs w:val="32"/>
          <w:lang w:val="en-US" w:eastAsia="zh-CN"/>
        </w:rPr>
        <w:t>白沙县科协</w:t>
      </w:r>
      <w:r>
        <w:rPr>
          <w:rFonts w:hint="eastAsia" w:ascii="仿宋_GB2312" w:hAnsi="仿宋_GB2312" w:eastAsia="仿宋_GB2312" w:cs="仿宋_GB2312"/>
          <w:color w:val="000000"/>
          <w:sz w:val="32"/>
          <w:szCs w:val="32"/>
        </w:rPr>
        <w:t>提供的与被评价项目相关的预决算资料、资金支出情况、明细账、记账凭证等，</w:t>
      </w:r>
      <w:r>
        <w:rPr>
          <w:rFonts w:hint="eastAsia" w:ascii="仿宋_GB2312" w:hAnsi="仿宋_GB2312" w:eastAsia="仿宋_GB2312" w:cs="仿宋_GB2312"/>
          <w:color w:val="000000"/>
          <w:sz w:val="32"/>
          <w:szCs w:val="32"/>
          <w:lang w:val="en-US" w:eastAsia="zh-CN"/>
        </w:rPr>
        <w:t>25万元项目资金已支出</w:t>
      </w:r>
      <w:r>
        <w:rPr>
          <w:rFonts w:hint="eastAsia" w:ascii="仿宋_GB2312" w:hAnsi="仿宋_GB2312" w:eastAsia="仿宋_GB2312" w:cs="仿宋_GB2312"/>
          <w:color w:val="000000"/>
          <w:sz w:val="32"/>
          <w:szCs w:val="32"/>
          <w:highlight w:val="none"/>
          <w:lang w:val="en-US" w:eastAsia="zh-CN"/>
        </w:rPr>
        <w:t>2</w:t>
      </w:r>
      <w:r>
        <w:rPr>
          <w:rFonts w:hint="eastAsia" w:hAnsi="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lang w:val="en-US" w:eastAsia="zh-CN"/>
        </w:rPr>
        <w:t>.</w:t>
      </w:r>
      <w:r>
        <w:rPr>
          <w:rFonts w:hint="eastAsia" w:hAnsi="仿宋_GB2312" w:cs="仿宋_GB2312"/>
          <w:color w:val="000000"/>
          <w:sz w:val="32"/>
          <w:szCs w:val="32"/>
          <w:highlight w:val="none"/>
          <w:lang w:val="en-US" w:eastAsia="zh-CN"/>
        </w:rPr>
        <w:t>78</w:t>
      </w:r>
      <w:r>
        <w:rPr>
          <w:rFonts w:hint="eastAsia" w:ascii="仿宋_GB2312" w:hAnsi="仿宋_GB2312" w:eastAsia="仿宋_GB2312" w:cs="仿宋_GB2312"/>
          <w:color w:val="000000"/>
          <w:sz w:val="32"/>
          <w:szCs w:val="32"/>
        </w:rPr>
        <w:t>万元，资金结余</w:t>
      </w:r>
      <w:r>
        <w:rPr>
          <w:rFonts w:hint="eastAsia" w:hAnsi="仿宋_GB2312" w:cs="仿宋_GB2312"/>
          <w:color w:val="000000"/>
          <w:sz w:val="32"/>
          <w:szCs w:val="32"/>
          <w:highlight w:val="none"/>
          <w:lang w:val="en-US" w:eastAsia="zh-CN"/>
        </w:rPr>
        <w:t>0.21</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val="en-US" w:eastAsia="zh-CN"/>
        </w:rPr>
        <w:t>支出率</w:t>
      </w:r>
      <w:r>
        <w:rPr>
          <w:rFonts w:hint="eastAsia" w:hAnsi="仿宋_GB2312" w:cs="仿宋_GB2312"/>
          <w:color w:val="000000"/>
          <w:sz w:val="32"/>
          <w:szCs w:val="32"/>
          <w:lang w:val="en-US" w:eastAsia="zh-CN"/>
        </w:rPr>
        <w:t>99.15</w:t>
      </w:r>
      <w:r>
        <w:rPr>
          <w:rFonts w:hint="eastAsia" w:ascii="仿宋_GB2312" w:hAnsi="仿宋_GB2312" w:eastAsia="仿宋_GB2312" w:cs="仿宋_GB2312"/>
          <w:color w:val="000000"/>
          <w:sz w:val="32"/>
          <w:szCs w:val="32"/>
        </w:rPr>
        <w:t>%</w:t>
      </w:r>
      <w:r>
        <w:rPr>
          <w:rFonts w:hint="eastAsia" w:hAnsi="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支出基本</w:t>
      </w:r>
      <w:r>
        <w:rPr>
          <w:rFonts w:hint="eastAsia" w:ascii="仿宋_GB2312" w:hAnsi="仿宋_GB2312" w:eastAsia="仿宋_GB2312" w:cs="仿宋_GB2312"/>
          <w:color w:val="000000"/>
          <w:sz w:val="32"/>
          <w:szCs w:val="32"/>
        </w:rPr>
        <w:t>按照预算批复用途</w:t>
      </w:r>
      <w:r>
        <w:rPr>
          <w:rFonts w:hint="eastAsia" w:ascii="仿宋_GB2312" w:hAnsi="仿宋_GB2312" w:eastAsia="仿宋_GB2312" w:cs="仿宋_GB2312"/>
          <w:color w:val="000000"/>
          <w:sz w:val="32"/>
          <w:szCs w:val="32"/>
          <w:lang w:val="en-US" w:eastAsia="zh-CN"/>
        </w:rPr>
        <w:t>使用，未发现存在资金违规使用情况。</w:t>
      </w:r>
    </w:p>
    <w:p>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textAlignment w:val="auto"/>
        <w:outlineLvl w:val="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项目资金管理情况分析（包括管理制度、办法的制订及执行情况等）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sz w:val="32"/>
          <w:szCs w:val="32"/>
        </w:rPr>
        <w:t>按照省省科协</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财政厅《海南省基层科普行动计划实施细则》、《海南省基层科普行动计划专项资金管理暂行办法》、《海南省基层科普行动计划项目考核暂行办法》要求，对项目资金实行报账制管理，对复核合格的，按照财政国库管理的有关规定拨付专项资金；对复核不合格的，退回不予报账。有效规范了基层科普行动计划专项资金的管理，提高了资金使用效益，</w:t>
      </w:r>
      <w:r>
        <w:rPr>
          <w:rFonts w:hint="eastAsia" w:ascii="仿宋_GB2312" w:hAnsi="仿宋_GB2312" w:eastAsia="仿宋_GB2312" w:cs="仿宋_GB2312"/>
          <w:sz w:val="32"/>
          <w:szCs w:val="32"/>
          <w:lang w:eastAsia="zh-CN"/>
        </w:rPr>
        <w:t>多次</w:t>
      </w:r>
      <w:r>
        <w:rPr>
          <w:rFonts w:hint="eastAsia" w:ascii="仿宋_GB2312" w:hAnsi="仿宋_GB2312" w:eastAsia="仿宋_GB2312" w:cs="仿宋_GB2312"/>
          <w:sz w:val="32"/>
          <w:szCs w:val="32"/>
        </w:rPr>
        <w:t>进行实地考查项目实施进度时收集的材料来看，未发现违反上述规定的现象。同时</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科协按照省财政厅相关采购规章制度，按照流程对</w:t>
      </w:r>
      <w:r>
        <w:rPr>
          <w:rFonts w:hint="eastAsia" w:ascii="仿宋_GB2312" w:hAnsi="仿宋_GB2312" w:eastAsia="仿宋_GB2312" w:cs="仿宋_GB2312"/>
          <w:kern w:val="0"/>
          <w:sz w:val="32"/>
          <w:szCs w:val="32"/>
        </w:rPr>
        <w:t>科普信息化项目进行了采购。</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outlineLvl w:val="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三、项目组织实施情况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（一）项目组织情况分析（包括项目调整情况、完成验收等）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color w:val="000000"/>
          <w:sz w:val="32"/>
          <w:szCs w:val="32"/>
          <w:lang w:val="en-US" w:eastAsia="zh-CN"/>
        </w:rPr>
        <w:t>白沙县科协严格按照《</w:t>
      </w:r>
      <w:r>
        <w:rPr>
          <w:rFonts w:hint="eastAsia" w:ascii="仿宋_GB2312" w:hAnsi="仿宋_GB2312" w:eastAsia="仿宋_GB2312" w:cs="仿宋_GB2312"/>
          <w:sz w:val="32"/>
          <w:szCs w:val="32"/>
        </w:rPr>
        <w:t>关于组织实施2019年海南省“基层科普行动划项目的通知</w:t>
      </w:r>
      <w:r>
        <w:rPr>
          <w:rFonts w:hint="eastAsia" w:ascii="仿宋_GB2312" w:hAnsi="仿宋_GB2312" w:eastAsia="仿宋_GB2312" w:cs="仿宋_GB2312"/>
          <w:bCs/>
          <w:color w:val="000000"/>
          <w:sz w:val="32"/>
          <w:szCs w:val="32"/>
          <w:lang w:val="en-US" w:eastAsia="zh-CN"/>
        </w:rPr>
        <w:t>》的要求</w:t>
      </w:r>
      <w:r>
        <w:rPr>
          <w:rFonts w:hint="eastAsia" w:ascii="仿宋_GB2312" w:hAnsi="仿宋_GB2312" w:eastAsia="仿宋_GB2312" w:cs="仿宋_GB2312"/>
          <w:szCs w:val="32"/>
        </w:rPr>
        <w:t>为确保评选表彰工作的公平、公正、公开，使真正优秀的基层科普工作先进单位和个人获得奖励</w:t>
      </w:r>
      <w:r>
        <w:rPr>
          <w:rFonts w:hint="eastAsia" w:ascii="仿宋_GB2312" w:hAnsi="仿宋_GB2312" w:eastAsia="仿宋_GB2312" w:cs="仿宋_GB2312"/>
          <w:szCs w:val="32"/>
          <w:lang w:eastAsia="zh-CN"/>
        </w:rPr>
        <w:t>，</w:t>
      </w:r>
      <w:r>
        <w:rPr>
          <w:rFonts w:hint="eastAsia" w:ascii="仿宋_GB2312" w:hAnsi="仿宋_GB2312" w:eastAsia="仿宋_GB2312" w:cs="仿宋_GB2312"/>
        </w:rPr>
        <w:t>结合各</w:t>
      </w:r>
      <w:r>
        <w:rPr>
          <w:rFonts w:hint="eastAsia" w:ascii="仿宋_GB2312" w:hAnsi="仿宋_GB2312" w:eastAsia="仿宋_GB2312" w:cs="仿宋_GB2312"/>
          <w:lang w:val="en-US" w:eastAsia="zh-CN"/>
        </w:rPr>
        <w:t>科普示范基地</w:t>
      </w:r>
      <w:r>
        <w:rPr>
          <w:rFonts w:hint="eastAsia" w:ascii="仿宋_GB2312" w:hAnsi="仿宋_GB2312" w:eastAsia="仿宋_GB2312" w:cs="仿宋_GB2312"/>
          <w:lang w:eastAsia="zh-CN"/>
        </w:rPr>
        <w:t>、科普示范学校</w:t>
      </w:r>
      <w:r>
        <w:rPr>
          <w:rFonts w:hint="eastAsia" w:ascii="仿宋_GB2312" w:hAnsi="仿宋_GB2312" w:eastAsia="仿宋_GB2312" w:cs="仿宋_GB2312"/>
        </w:rPr>
        <w:t>科普工作存在的不同侧重点，采取以因素法的形式开展2019年基层科普行动计划项目，将</w:t>
      </w:r>
      <w:r>
        <w:rPr>
          <w:rFonts w:hint="eastAsia" w:ascii="仿宋_GB2312" w:hAnsi="仿宋_GB2312" w:eastAsia="仿宋_GB2312" w:cs="仿宋_GB2312"/>
          <w:lang w:val="en-US" w:eastAsia="zh-CN"/>
        </w:rPr>
        <w:t>25</w:t>
      </w:r>
      <w:r>
        <w:rPr>
          <w:rFonts w:hint="eastAsia" w:ascii="仿宋_GB2312" w:hAnsi="仿宋_GB2312" w:eastAsia="仿宋_GB2312" w:cs="仿宋_GB2312"/>
        </w:rPr>
        <w:t>万元资金采取因素法进行资金分配，分配方案经</w:t>
      </w:r>
      <w:r>
        <w:rPr>
          <w:rFonts w:hint="eastAsia" w:ascii="仿宋_GB2312" w:hAnsi="仿宋_GB2312" w:eastAsia="仿宋_GB2312" w:cs="仿宋_GB2312"/>
          <w:lang w:eastAsia="zh-CN"/>
        </w:rPr>
        <w:t>省科协</w:t>
      </w:r>
      <w:r>
        <w:rPr>
          <w:rFonts w:hint="eastAsia" w:ascii="仿宋_GB2312" w:hAnsi="仿宋_GB2312" w:eastAsia="仿宋_GB2312" w:cs="仿宋_GB2312"/>
        </w:rPr>
        <w:t>同意后，下达到各</w:t>
      </w:r>
      <w:r>
        <w:rPr>
          <w:rFonts w:hint="eastAsia" w:ascii="仿宋_GB2312" w:hAnsi="仿宋_GB2312" w:eastAsia="仿宋_GB2312" w:cs="仿宋_GB2312"/>
          <w:lang w:val="en-US" w:eastAsia="zh-CN"/>
        </w:rPr>
        <w:t>科普示范基地</w:t>
      </w:r>
      <w:r>
        <w:rPr>
          <w:rFonts w:hint="eastAsia" w:ascii="仿宋_GB2312" w:hAnsi="仿宋_GB2312" w:eastAsia="仿宋_GB2312" w:cs="仿宋_GB2312"/>
          <w:lang w:eastAsia="zh-CN"/>
        </w:rPr>
        <w:t>、科普示范学校</w:t>
      </w:r>
      <w:r>
        <w:rPr>
          <w:rFonts w:hint="eastAsia" w:ascii="仿宋_GB2312" w:hAnsi="仿宋_GB2312" w:eastAsia="仿宋_GB2312" w:cs="仿宋_GB2312"/>
        </w:rPr>
        <w:t>。使项目开展符合地方发展和特色，进一步放大了项目资金在基层科普工作中的引领带动作用。</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outlineLvl w:val="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lang w:val="en-US" w:eastAsia="zh-CN"/>
        </w:rPr>
        <w:t>二</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项目管理情况分析（包括项目管理制度建设、日常检查监督管理等情况）</w:t>
      </w:r>
    </w:p>
    <w:p>
      <w:pPr>
        <w:keepNext w:val="0"/>
        <w:keepLines w:val="0"/>
        <w:pageBreakBefore w:val="0"/>
        <w:widowControl w:val="0"/>
        <w:kinsoku/>
        <w:wordWrap/>
        <w:overflowPunct/>
        <w:topLinePunct w:val="0"/>
        <w:autoSpaceDE/>
        <w:autoSpaceDN/>
        <w:bidi w:val="0"/>
        <w:spacing w:line="560" w:lineRule="exact"/>
        <w:ind w:firstLine="640"/>
        <w:textAlignment w:val="auto"/>
        <w:outlineLvl w:val="0"/>
        <w:rPr>
          <w:rFonts w:hint="eastAsia" w:ascii="仿宋_GB2312" w:hAnsi="仿宋_GB2312" w:eastAsia="仿宋_GB2312" w:cs="仿宋_GB2312"/>
          <w:szCs w:val="32"/>
        </w:rPr>
      </w:pPr>
      <w:r>
        <w:rPr>
          <w:rFonts w:hint="eastAsia" w:ascii="仿宋_GB2312" w:hAnsi="仿宋_GB2312" w:eastAsia="仿宋_GB2312" w:cs="仿宋_GB2312"/>
          <w:szCs w:val="32"/>
        </w:rPr>
        <w:t>为切实加强项目工作的日常管理和工作督导，严格按照《海南省基层科普行动计划工作管理、评估方案》要求，明确了科普示范县（市、区）、农村专业技术协会和基层科普示范基地参与创建工作的方法和步骤，制定了督导调研制度和评估考核制度，为基层科普行动计划项目的健康发展提供了制度保障。</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outlineLvl w:val="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四、项目绩效情况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（一）项目绩效目标完成情况分析</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1.项目的经济性分析</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（1）项目成本（预算）控制情况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年度预算实际安排财政资金</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万元,当年完成预算资金支出</w:t>
      </w:r>
      <w:r>
        <w:rPr>
          <w:rFonts w:hint="eastAsia" w:hAnsi="仿宋_GB2312" w:cs="仿宋_GB2312"/>
          <w:color w:val="000000"/>
          <w:sz w:val="32"/>
          <w:szCs w:val="32"/>
          <w:highlight w:val="none"/>
          <w:lang w:val="en-US" w:eastAsia="zh-CN"/>
        </w:rPr>
        <w:t>24.78</w:t>
      </w:r>
      <w:r>
        <w:rPr>
          <w:rFonts w:hint="eastAsia" w:ascii="仿宋_GB2312" w:hAnsi="仿宋_GB2312" w:eastAsia="仿宋_GB2312" w:cs="仿宋_GB2312"/>
          <w:sz w:val="32"/>
          <w:szCs w:val="32"/>
        </w:rPr>
        <w:t>万元，占批复预算的</w:t>
      </w:r>
      <w:r>
        <w:rPr>
          <w:rFonts w:hint="eastAsia" w:hAnsi="仿宋_GB2312" w:cs="仿宋_GB2312"/>
          <w:color w:val="000000"/>
          <w:sz w:val="32"/>
          <w:szCs w:val="32"/>
          <w:lang w:val="en-US" w:eastAsia="zh-CN"/>
        </w:rPr>
        <w:t>99.15</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该项目以批复预算及绩效目标为依据，坚持预算资金使用效益最大化管理的基本原则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严格控制采购成本</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outlineLvl w:val="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lang w:val="en-US" w:eastAsia="zh-CN"/>
        </w:rPr>
        <w:t>2</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项目成本（预算）节约情况</w:t>
      </w:r>
    </w:p>
    <w:p>
      <w:pPr>
        <w:keepNext w:val="0"/>
        <w:keepLines w:val="0"/>
        <w:pageBreakBefore w:val="0"/>
        <w:widowControl w:val="0"/>
        <w:tabs>
          <w:tab w:val="left" w:pos="640"/>
        </w:tabs>
        <w:kinsoku/>
        <w:wordWrap/>
        <w:overflowPunct/>
        <w:topLinePunct w:val="0"/>
        <w:autoSpaceDE/>
        <w:autoSpaceDN/>
        <w:bidi w:val="0"/>
        <w:spacing w:line="560" w:lineRule="exact"/>
        <w:ind w:firstLine="640" w:firstLineChars="200"/>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Cs w:val="32"/>
        </w:rPr>
        <w:t>项目经费使用严格按照预算执行，向广大居民提供最优质的科普资源，没有节约预算。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2.项目的效率性分析</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（1）项目的实施进度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sz w:val="32"/>
          <w:szCs w:val="32"/>
          <w:lang w:val="en-US" w:eastAsia="zh-CN"/>
        </w:rPr>
        <w:t>白沙县科协</w:t>
      </w:r>
      <w:r>
        <w:rPr>
          <w:rFonts w:hint="eastAsia" w:ascii="仿宋_GB2312" w:hAnsi="仿宋_GB2312" w:eastAsia="仿宋_GB2312" w:cs="仿宋_GB2312"/>
          <w:sz w:val="32"/>
          <w:szCs w:val="32"/>
        </w:rPr>
        <w:t>根据《关于组织实施2019年海南省“基层科普行动划项目的通知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及单位201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年的工作计划安排预算资金，该项目</w:t>
      </w:r>
      <w:r>
        <w:rPr>
          <w:rFonts w:hint="eastAsia" w:ascii="仿宋_GB2312" w:hAnsi="仿宋_GB2312" w:eastAsia="仿宋_GB2312" w:cs="仿宋_GB2312"/>
          <w:sz w:val="32"/>
          <w:szCs w:val="32"/>
          <w:lang w:val="en-US" w:eastAsia="zh-CN"/>
        </w:rPr>
        <w:t>25万元资金</w:t>
      </w:r>
      <w:r>
        <w:rPr>
          <w:rFonts w:hint="eastAsia" w:ascii="仿宋_GB2312" w:hAnsi="仿宋_GB2312" w:eastAsia="仿宋_GB2312" w:cs="仿宋_GB2312"/>
          <w:sz w:val="32"/>
          <w:szCs w:val="32"/>
        </w:rPr>
        <w:t>于201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年底支出比例为</w:t>
      </w:r>
      <w:r>
        <w:rPr>
          <w:rFonts w:hint="eastAsia" w:hAnsi="仿宋_GB2312" w:cs="仿宋_GB2312"/>
          <w:color w:val="000000"/>
          <w:sz w:val="32"/>
          <w:szCs w:val="32"/>
          <w:lang w:val="en-US" w:eastAsia="zh-CN"/>
        </w:rPr>
        <w:t>99.15</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预算</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val="en-US" w:eastAsia="zh-CN"/>
        </w:rPr>
        <w:t>计划实施，未完成预算支出计划，但预期工作已经基本完成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2"/>
        </w:numPr>
        <w:kinsoku/>
        <w:wordWrap/>
        <w:overflowPunct/>
        <w:topLinePunct w:val="0"/>
        <w:autoSpaceDE/>
        <w:autoSpaceDN/>
        <w:bidi w:val="0"/>
        <w:spacing w:line="560" w:lineRule="exact"/>
        <w:ind w:firstLine="640" w:firstLineChars="200"/>
        <w:textAlignment w:val="auto"/>
        <w:outlineLvl w:val="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项目完成质量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szCs w:val="32"/>
        </w:rPr>
        <w:t>201</w:t>
      </w:r>
      <w:r>
        <w:rPr>
          <w:rFonts w:hint="eastAsia" w:ascii="仿宋_GB2312" w:hAnsi="仿宋_GB2312" w:eastAsia="仿宋_GB2312" w:cs="仿宋_GB2312"/>
          <w:szCs w:val="32"/>
          <w:lang w:val="en-US" w:eastAsia="zh-CN"/>
        </w:rPr>
        <w:t>9</w:t>
      </w:r>
      <w:r>
        <w:rPr>
          <w:rFonts w:hint="eastAsia" w:ascii="仿宋_GB2312" w:hAnsi="仿宋_GB2312" w:eastAsia="仿宋_GB2312" w:cs="仿宋_GB2312"/>
          <w:szCs w:val="32"/>
        </w:rPr>
        <w:t>年海南省“基层科普行动计划”项目经过初步核实推荐出符合要求的项目实施单位，在推荐单位中对评审结果进行了实地复核，最终评选出具有良好科普示范带动效应的入选单位。</w:t>
      </w:r>
      <w:r>
        <w:rPr>
          <w:rFonts w:hint="eastAsia" w:ascii="仿宋_GB2312" w:hAnsi="仿宋_GB2312" w:eastAsia="仿宋_GB2312" w:cs="仿宋_GB2312"/>
        </w:rPr>
        <w:t>通过项目经费资助，进一步提高了基层的科普服务能力，更好发挥各</w:t>
      </w:r>
      <w:r>
        <w:rPr>
          <w:rFonts w:hint="eastAsia" w:ascii="仿宋_GB2312" w:hAnsi="仿宋_GB2312" w:eastAsia="仿宋_GB2312" w:cs="仿宋_GB2312"/>
          <w:lang w:eastAsia="zh-CN"/>
        </w:rPr>
        <w:t>农村专业技术协会、科普示范学校</w:t>
      </w:r>
      <w:r>
        <w:rPr>
          <w:rFonts w:hint="eastAsia" w:ascii="仿宋_GB2312" w:hAnsi="仿宋_GB2312" w:eastAsia="仿宋_GB2312" w:cs="仿宋_GB2312"/>
        </w:rPr>
        <w:t>基层科普行动计划项目资金的使用效能，引导和帮助市民、学生、农户建立起科学、文明、健康的生产、生活方式，让科普公共服务持续惠及广大基层群众。项目完成质量良好。</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outlineLvl w:val="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3.项目的效益性分析</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（1）项目预期目标完成程度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sz w:val="32"/>
          <w:szCs w:val="32"/>
          <w:lang w:val="en-US" w:eastAsia="zh-CN"/>
        </w:rPr>
        <w:t>2019年经全县推荐、实地核查、县科协班子会议通过、公示，县科协决定在白沙县民族中学、白沙县金波实验学校建设科普示范学校；在白沙五里路茶叶专业合作社建设科普示范基地，以上三个单位为2019年海南省基层科普行动计划”项目实施单位，并根据相关文件规定按时拨付资金，其中科普示范学校资金直接拨付到实施单位，白沙县民族中学10万元、白沙县金波实验学校10万元；白沙五里路茶叶专业合作社科普示范基地资金采用协会代管监督支付方式，金额5万元。完成项目预期目标</w:t>
      </w:r>
    </w:p>
    <w:p>
      <w:pPr>
        <w:keepNext w:val="0"/>
        <w:keepLines w:val="0"/>
        <w:pageBreakBefore w:val="0"/>
        <w:widowControl w:val="0"/>
        <w:numPr>
          <w:ilvl w:val="0"/>
          <w:numId w:val="3"/>
        </w:numPr>
        <w:kinsoku/>
        <w:wordWrap/>
        <w:overflowPunct/>
        <w:topLinePunct w:val="0"/>
        <w:autoSpaceDE/>
        <w:autoSpaceDN/>
        <w:bidi w:val="0"/>
        <w:spacing w:line="560" w:lineRule="exact"/>
        <w:ind w:left="0" w:leftChars="0" w:firstLine="640" w:firstLineChars="200"/>
        <w:textAlignment w:val="auto"/>
        <w:outlineLvl w:val="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项目实施对社会等的影响</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left"/>
        <w:textAlignment w:val="auto"/>
        <w:outlineLvl w:val="0"/>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1、通过</w:t>
      </w:r>
      <w:r>
        <w:rPr>
          <w:rFonts w:hint="eastAsia" w:hAnsi="仿宋_GB2312" w:cs="仿宋_GB2312"/>
          <w:bCs/>
          <w:color w:val="000000"/>
          <w:sz w:val="32"/>
          <w:szCs w:val="32"/>
          <w:lang w:val="en-US" w:eastAsia="zh-CN"/>
        </w:rPr>
        <w:t>科普示范学校</w:t>
      </w:r>
      <w:r>
        <w:rPr>
          <w:rFonts w:hint="eastAsia" w:ascii="仿宋_GB2312" w:hAnsi="仿宋_GB2312" w:eastAsia="仿宋_GB2312" w:cs="仿宋_GB2312"/>
          <w:bCs/>
          <w:color w:val="000000"/>
          <w:sz w:val="32"/>
          <w:szCs w:val="32"/>
          <w:lang w:val="en-US" w:eastAsia="zh-CN"/>
        </w:rPr>
        <w:t>的的创建开展一系列的科普活动</w:t>
      </w:r>
      <w:r>
        <w:rPr>
          <w:rFonts w:hint="eastAsia" w:hAnsi="仿宋_GB2312" w:cs="仿宋_GB2312"/>
          <w:bCs/>
          <w:color w:val="000000"/>
          <w:sz w:val="32"/>
          <w:szCs w:val="32"/>
          <w:lang w:val="en-US" w:eastAsia="zh-CN"/>
        </w:rPr>
        <w:t>，进一步</w:t>
      </w:r>
      <w:r>
        <w:rPr>
          <w:rFonts w:hint="eastAsia" w:ascii="仿宋_GB2312" w:hAnsi="仿宋_GB2312" w:eastAsia="仿宋_GB2312" w:cs="仿宋_GB2312"/>
          <w:bCs/>
          <w:color w:val="000000"/>
          <w:sz w:val="32"/>
          <w:szCs w:val="32"/>
          <w:lang w:val="en-US" w:eastAsia="zh-CN"/>
        </w:rPr>
        <w:t>完善</w:t>
      </w:r>
      <w:r>
        <w:rPr>
          <w:rFonts w:hint="eastAsia" w:hAnsi="仿宋_GB2312" w:cs="仿宋_GB2312"/>
          <w:bCs/>
          <w:color w:val="000000"/>
          <w:sz w:val="32"/>
          <w:szCs w:val="32"/>
          <w:lang w:val="en-US" w:eastAsia="zh-CN"/>
        </w:rPr>
        <w:t>和丰富白沙县学校科技</w:t>
      </w:r>
      <w:r>
        <w:rPr>
          <w:rFonts w:hint="eastAsia" w:ascii="仿宋_GB2312" w:hAnsi="仿宋_GB2312" w:eastAsia="仿宋_GB2312" w:cs="仿宋_GB2312"/>
          <w:bCs/>
          <w:color w:val="000000"/>
          <w:sz w:val="32"/>
          <w:szCs w:val="32"/>
          <w:lang w:val="en-US" w:eastAsia="zh-CN"/>
        </w:rPr>
        <w:t>教育</w:t>
      </w:r>
      <w:r>
        <w:rPr>
          <w:rFonts w:hint="eastAsia" w:hAnsi="仿宋_GB2312" w:cs="仿宋_GB2312"/>
          <w:bCs/>
          <w:color w:val="000000"/>
          <w:sz w:val="32"/>
          <w:szCs w:val="32"/>
          <w:lang w:val="en-US" w:eastAsia="zh-CN"/>
        </w:rPr>
        <w:t>的内容</w:t>
      </w:r>
      <w:r>
        <w:rPr>
          <w:rFonts w:hint="eastAsia" w:ascii="仿宋_GB2312" w:hAnsi="仿宋_GB2312" w:eastAsia="仿宋_GB2312" w:cs="仿宋_GB2312"/>
          <w:bCs/>
          <w:color w:val="000000"/>
          <w:sz w:val="32"/>
          <w:szCs w:val="32"/>
          <w:lang w:val="en-US" w:eastAsia="zh-CN"/>
        </w:rPr>
        <w:t>，提高学校科学教育质量，</w:t>
      </w:r>
      <w:r>
        <w:rPr>
          <w:rFonts w:hint="eastAsia" w:hAnsi="仿宋_GB2312" w:cs="仿宋_GB2312"/>
          <w:bCs/>
          <w:color w:val="000000"/>
          <w:sz w:val="32"/>
          <w:szCs w:val="32"/>
          <w:lang w:val="en-US" w:eastAsia="zh-CN"/>
        </w:rPr>
        <w:t>促进青少年学生科学素质的提升，</w:t>
      </w:r>
      <w:r>
        <w:rPr>
          <w:rFonts w:hint="eastAsia" w:ascii="仿宋_GB2312" w:hAnsi="仿宋_GB2312" w:eastAsia="仿宋_GB2312" w:cs="仿宋_GB2312"/>
          <w:bCs/>
          <w:color w:val="000000"/>
          <w:sz w:val="32"/>
          <w:szCs w:val="32"/>
          <w:lang w:val="en-US" w:eastAsia="zh-CN"/>
        </w:rPr>
        <w:t>培养</w:t>
      </w:r>
      <w:r>
        <w:rPr>
          <w:rFonts w:hint="eastAsia" w:hAnsi="仿宋_GB2312" w:cs="仿宋_GB2312"/>
          <w:bCs/>
          <w:color w:val="000000"/>
          <w:sz w:val="32"/>
          <w:szCs w:val="32"/>
          <w:lang w:val="en-US" w:eastAsia="zh-CN"/>
        </w:rPr>
        <w:t>青少年学生爱科学用科学的积极性</w:t>
      </w:r>
      <w:r>
        <w:rPr>
          <w:rFonts w:hint="eastAsia" w:ascii="仿宋_GB2312" w:hAnsi="仿宋_GB2312" w:eastAsia="仿宋_GB2312" w:cs="仿宋_GB2312"/>
          <w:bCs/>
          <w:color w:val="000000"/>
          <w:sz w:val="32"/>
          <w:szCs w:val="32"/>
          <w:lang w:val="en-US" w:eastAsia="zh-CN"/>
        </w:rPr>
        <w:t>，增强学习对科学技术的兴趣好爱好，初步认识科学的本质及科协技术与社会的关系，培养创新意识、实践能力和综合运用知识解决问题的能力。</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2、</w:t>
      </w:r>
      <w:r>
        <w:rPr>
          <w:rFonts w:hint="eastAsia" w:ascii="仿宋_GB2312" w:hAnsi="仿宋_GB2312" w:eastAsia="仿宋_GB2312" w:cs="仿宋_GB2312"/>
          <w:szCs w:val="32"/>
        </w:rPr>
        <w:t>通过科普示范基地</w:t>
      </w:r>
      <w:r>
        <w:rPr>
          <w:rFonts w:hint="eastAsia" w:hAnsi="仿宋_GB2312" w:cs="仿宋_GB2312"/>
          <w:szCs w:val="32"/>
          <w:lang w:val="en-US" w:eastAsia="zh-CN"/>
        </w:rPr>
        <w:t>的创建，推进白沙特色产业的发展，培训农民宣传科普知识</w:t>
      </w:r>
      <w:r>
        <w:rPr>
          <w:rFonts w:hint="eastAsia" w:ascii="仿宋_GB2312" w:hAnsi="仿宋_GB2312" w:eastAsia="仿宋_GB2312" w:cs="仿宋_GB2312"/>
          <w:szCs w:val="32"/>
        </w:rPr>
        <w:t>，为</w:t>
      </w:r>
      <w:r>
        <w:rPr>
          <w:rFonts w:hint="eastAsia" w:hAnsi="仿宋_GB2312" w:cs="仿宋_GB2312"/>
          <w:szCs w:val="32"/>
          <w:lang w:val="en-US" w:eastAsia="zh-CN"/>
        </w:rPr>
        <w:t>有机茶产业发展提供</w:t>
      </w:r>
      <w:r>
        <w:rPr>
          <w:rFonts w:hint="eastAsia" w:ascii="仿宋_GB2312" w:hAnsi="仿宋_GB2312" w:eastAsia="仿宋_GB2312" w:cs="仿宋_GB2312"/>
          <w:szCs w:val="32"/>
        </w:rPr>
        <w:t>新的技术支持，为脱贫增收做出积极贡献，产业扶贫示范带动效应较好。</w:t>
      </w:r>
      <w:r>
        <w:rPr>
          <w:rFonts w:hint="eastAsia" w:ascii="仿宋_GB2312" w:hAnsi="仿宋_GB2312" w:eastAsia="仿宋_GB2312" w:cs="仿宋_GB2312"/>
        </w:rPr>
        <w:t>基层科普行动计划项目的实施为我</w:t>
      </w:r>
      <w:r>
        <w:rPr>
          <w:rFonts w:hint="eastAsia" w:ascii="仿宋_GB2312" w:hAnsi="仿宋_GB2312" w:eastAsia="仿宋_GB2312" w:cs="仿宋_GB2312"/>
          <w:lang w:eastAsia="zh-CN"/>
        </w:rPr>
        <w:t>县</w:t>
      </w:r>
      <w:r>
        <w:rPr>
          <w:rFonts w:hint="eastAsia" w:ascii="仿宋_GB2312" w:hAnsi="仿宋_GB2312" w:eastAsia="仿宋_GB2312" w:cs="仿宋_GB2312"/>
        </w:rPr>
        <w:t>全民科学素质的提升和自贸区（港）建设提供了可靠保障。</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outlineLvl w:val="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4.项目的可持续性分析</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eastAsia" w:ascii="仿宋_GB2312" w:hAnsi="仿宋_GB2312" w:eastAsia="仿宋_GB2312" w:cs="仿宋_GB2312"/>
          <w:bCs/>
          <w:color w:val="000000"/>
          <w:szCs w:val="32"/>
        </w:rPr>
      </w:pPr>
      <w:r>
        <w:rPr>
          <w:rFonts w:hint="eastAsia" w:ascii="仿宋_GB2312" w:hAnsi="仿宋_GB2312" w:eastAsia="仿宋_GB2312" w:cs="仿宋_GB2312"/>
          <w:bCs/>
          <w:color w:val="000000"/>
          <w:szCs w:val="32"/>
        </w:rPr>
        <w:t>基层科普行动计划项目是我会的重点工作之一，也是常规性工作，有利于推动</w:t>
      </w:r>
      <w:r>
        <w:rPr>
          <w:rFonts w:hint="eastAsia" w:ascii="仿宋_GB2312" w:hAnsi="仿宋_GB2312" w:eastAsia="仿宋_GB2312" w:cs="仿宋_GB2312"/>
          <w:bCs/>
          <w:color w:val="000000"/>
          <w:szCs w:val="32"/>
          <w:lang w:val="en-US" w:eastAsia="zh-CN"/>
        </w:rPr>
        <w:t>白沙</w:t>
      </w:r>
      <w:r>
        <w:rPr>
          <w:rFonts w:hint="eastAsia" w:ascii="仿宋_GB2312" w:hAnsi="仿宋_GB2312" w:eastAsia="仿宋_GB2312" w:cs="仿宋_GB2312"/>
          <w:bCs/>
          <w:color w:val="000000"/>
          <w:szCs w:val="32"/>
          <w:lang w:eastAsia="zh-CN"/>
        </w:rPr>
        <w:t>县</w:t>
      </w:r>
      <w:r>
        <w:rPr>
          <w:rFonts w:hint="eastAsia" w:ascii="仿宋_GB2312" w:hAnsi="仿宋_GB2312" w:eastAsia="仿宋_GB2312" w:cs="仿宋_GB2312"/>
          <w:bCs/>
          <w:color w:val="000000"/>
          <w:szCs w:val="32"/>
        </w:rPr>
        <w:t>公民科学素质提升，夯实</w:t>
      </w:r>
      <w:r>
        <w:rPr>
          <w:rFonts w:hint="eastAsia" w:ascii="仿宋_GB2312" w:hAnsi="仿宋_GB2312" w:eastAsia="仿宋_GB2312" w:cs="仿宋_GB2312"/>
          <w:bCs/>
          <w:color w:val="000000"/>
          <w:szCs w:val="32"/>
          <w:lang w:val="en-US" w:eastAsia="zh-CN"/>
        </w:rPr>
        <w:t>白沙</w:t>
      </w:r>
      <w:r>
        <w:rPr>
          <w:rFonts w:hint="eastAsia" w:ascii="仿宋_GB2312" w:hAnsi="仿宋_GB2312" w:eastAsia="仿宋_GB2312" w:cs="仿宋_GB2312"/>
          <w:bCs/>
          <w:color w:val="000000"/>
          <w:szCs w:val="32"/>
          <w:lang w:eastAsia="zh-CN"/>
        </w:rPr>
        <w:t>县</w:t>
      </w:r>
      <w:r>
        <w:rPr>
          <w:rFonts w:hint="eastAsia" w:ascii="仿宋_GB2312" w:hAnsi="仿宋_GB2312" w:eastAsia="仿宋_GB2312" w:cs="仿宋_GB2312"/>
          <w:bCs/>
          <w:color w:val="000000"/>
          <w:szCs w:val="32"/>
        </w:rPr>
        <w:t>基层科普资源服务和科普基础设施发展基础。今后，</w:t>
      </w:r>
      <w:r>
        <w:rPr>
          <w:rFonts w:hint="eastAsia" w:ascii="仿宋_GB2312" w:hAnsi="仿宋_GB2312" w:eastAsia="仿宋_GB2312" w:cs="仿宋_GB2312"/>
          <w:bCs/>
          <w:color w:val="000000"/>
          <w:szCs w:val="32"/>
          <w:lang w:val="en-US" w:eastAsia="zh-CN"/>
        </w:rPr>
        <w:t>白沙</w:t>
      </w:r>
      <w:r>
        <w:rPr>
          <w:rFonts w:hint="eastAsia" w:ascii="仿宋_GB2312" w:hAnsi="仿宋_GB2312" w:eastAsia="仿宋_GB2312" w:cs="仿宋_GB2312"/>
          <w:bCs/>
          <w:color w:val="000000"/>
          <w:szCs w:val="32"/>
          <w:lang w:eastAsia="zh-CN"/>
        </w:rPr>
        <w:t>县</w:t>
      </w:r>
      <w:r>
        <w:rPr>
          <w:rFonts w:hint="eastAsia" w:ascii="仿宋_GB2312" w:hAnsi="仿宋_GB2312" w:eastAsia="仿宋_GB2312" w:cs="仿宋_GB2312"/>
          <w:bCs/>
          <w:color w:val="000000"/>
          <w:szCs w:val="32"/>
        </w:rPr>
        <w:t>科协将根据《海南省基层科普行动计划资金管理暂行办法》、《海南省“基层科普行动计划”实施细则》持续支持基层科普行动计划项目建设，创新基层科普服务理念和服务方式，提升基层科普服务的覆盖面、实效性和获得感，为提高基层公民综合科学素质服务。项目将会继续贯彻落实和执行，项目可持续性可以延续。</w:t>
      </w:r>
    </w:p>
    <w:p>
      <w:pPr>
        <w:keepNext w:val="0"/>
        <w:keepLines w:val="0"/>
        <w:pageBreakBefore w:val="0"/>
        <w:widowControl w:val="0"/>
        <w:numPr>
          <w:ilvl w:val="0"/>
          <w:numId w:val="4"/>
        </w:numPr>
        <w:kinsoku/>
        <w:wordWrap/>
        <w:overflowPunct/>
        <w:topLinePunct w:val="0"/>
        <w:autoSpaceDE/>
        <w:autoSpaceDN/>
        <w:bidi w:val="0"/>
        <w:spacing w:line="560" w:lineRule="exact"/>
        <w:ind w:firstLine="643" w:firstLineChars="200"/>
        <w:textAlignment w:val="auto"/>
        <w:outlineLvl w:val="0"/>
        <w:rPr>
          <w:rFonts w:hint="eastAsia" w:ascii="仿宋_GB2312" w:hAnsi="仿宋_GB2312" w:eastAsia="仿宋_GB2312" w:cs="仿宋_GB2312"/>
          <w:b/>
          <w:bCs w:val="0"/>
          <w:color w:val="000000"/>
          <w:sz w:val="32"/>
          <w:szCs w:val="32"/>
          <w:lang w:eastAsia="zh-CN"/>
        </w:rPr>
      </w:pPr>
      <w:r>
        <w:rPr>
          <w:rFonts w:hint="eastAsia" w:ascii="仿宋_GB2312" w:hAnsi="仿宋_GB2312" w:eastAsia="仿宋_GB2312" w:cs="仿宋_GB2312"/>
          <w:b/>
          <w:bCs w:val="0"/>
          <w:color w:val="000000"/>
          <w:sz w:val="32"/>
          <w:szCs w:val="32"/>
        </w:rPr>
        <w:t>综合评价情况及评价结论</w:t>
      </w:r>
      <w:r>
        <w:rPr>
          <w:rFonts w:hint="eastAsia" w:ascii="仿宋_GB2312" w:hAnsi="仿宋_GB2312" w:eastAsia="仿宋_GB2312" w:cs="仿宋_GB2312"/>
          <w:b/>
          <w:bCs w:val="0"/>
          <w:color w:val="000000"/>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eastAsia" w:ascii="仿宋_GB2312" w:hAnsi="仿宋_GB2312" w:eastAsia="仿宋_GB2312" w:cs="仿宋_GB2312"/>
          <w:szCs w:val="32"/>
        </w:rPr>
      </w:pPr>
      <w:r>
        <w:rPr>
          <w:rFonts w:hint="eastAsia" w:ascii="仿宋_GB2312" w:hAnsi="仿宋_GB2312" w:eastAsia="仿宋_GB2312" w:cs="仿宋_GB2312"/>
          <w:szCs w:val="32"/>
        </w:rPr>
        <w:t>通过此次绩效评价工作，我们深切感受到随着我</w:t>
      </w:r>
      <w:r>
        <w:rPr>
          <w:rFonts w:hint="eastAsia" w:ascii="仿宋_GB2312" w:hAnsi="仿宋_GB2312" w:eastAsia="仿宋_GB2312" w:cs="仿宋_GB2312"/>
          <w:szCs w:val="32"/>
          <w:lang w:eastAsia="zh-CN"/>
        </w:rPr>
        <w:t>县</w:t>
      </w:r>
      <w:r>
        <w:rPr>
          <w:rFonts w:hint="eastAsia" w:ascii="仿宋_GB2312" w:hAnsi="仿宋_GB2312" w:eastAsia="仿宋_GB2312" w:cs="仿宋_GB2312"/>
          <w:szCs w:val="32"/>
        </w:rPr>
        <w:t>基层科普行动计划工作的深入实施，项目资金的持续投入，我</w:t>
      </w:r>
      <w:r>
        <w:rPr>
          <w:rFonts w:hint="eastAsia" w:ascii="仿宋_GB2312" w:hAnsi="仿宋_GB2312" w:eastAsia="仿宋_GB2312" w:cs="仿宋_GB2312"/>
          <w:szCs w:val="32"/>
          <w:lang w:eastAsia="zh-CN"/>
        </w:rPr>
        <w:t>县</w:t>
      </w:r>
      <w:r>
        <w:rPr>
          <w:rFonts w:hint="eastAsia" w:ascii="仿宋_GB2312" w:hAnsi="仿宋_GB2312" w:eastAsia="仿宋_GB2312" w:cs="仿宋_GB2312"/>
          <w:szCs w:val="32"/>
        </w:rPr>
        <w:t>基层科协工作得到了进一步的增强，基层科普组织建设得到了进一步的发展，基层科普服务能力得到了进一步的提高，广大农民依靠科技致富奔小康的效果进一步的显现出来，科普示范基地进行产业扶贫效果良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eastAsia" w:ascii="仿宋_GB2312" w:hAnsi="仿宋_GB2312" w:eastAsia="仿宋_GB2312" w:cs="仿宋_GB2312"/>
          <w:b/>
          <w:bCs w:val="0"/>
          <w:color w:val="000000"/>
          <w:sz w:val="32"/>
          <w:szCs w:val="32"/>
          <w:lang w:eastAsia="zh-CN"/>
        </w:rPr>
      </w:pPr>
      <w:r>
        <w:rPr>
          <w:rFonts w:hint="eastAsia" w:ascii="仿宋_GB2312" w:hAnsi="仿宋_GB2312" w:eastAsia="仿宋_GB2312" w:cs="仿宋_GB2312"/>
          <w:szCs w:val="32"/>
        </w:rPr>
        <w:t>在对各地绩效评价材料综合统计分析的基础上，并对比基层科普行动计划专项资金的绩效申报目标，我们认为201</w:t>
      </w:r>
      <w:r>
        <w:rPr>
          <w:rFonts w:hint="eastAsia" w:ascii="仿宋_GB2312" w:hAnsi="仿宋_GB2312" w:eastAsia="仿宋_GB2312" w:cs="仿宋_GB2312"/>
          <w:szCs w:val="32"/>
          <w:lang w:val="en-US" w:eastAsia="zh-CN"/>
        </w:rPr>
        <w:t>9</w:t>
      </w:r>
      <w:r>
        <w:rPr>
          <w:rFonts w:hint="eastAsia" w:ascii="仿宋_GB2312" w:hAnsi="仿宋_GB2312" w:eastAsia="仿宋_GB2312" w:cs="仿宋_GB2312"/>
          <w:szCs w:val="32"/>
        </w:rPr>
        <w:t>年基层科普行动计划专项资金支出绩效评价等级为</w:t>
      </w:r>
      <w:r>
        <w:rPr>
          <w:rFonts w:hint="eastAsia" w:ascii="仿宋_GB2312" w:hAnsi="仿宋_GB2312" w:eastAsia="仿宋_GB2312" w:cs="仿宋_GB2312"/>
          <w:szCs w:val="32"/>
          <w:lang w:eastAsia="zh-CN"/>
        </w:rPr>
        <w:t>良</w:t>
      </w:r>
      <w:r>
        <w:rPr>
          <w:rFonts w:hint="eastAsia" w:ascii="仿宋_GB2312" w:hAnsi="仿宋_GB2312" w:eastAsia="仿宋_GB2312" w:cs="仿宋_GB2312"/>
          <w:szCs w:val="32"/>
        </w:rPr>
        <w:t>。</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outlineLvl w:val="0"/>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rPr>
        <w:t>六、主要经验及做法、存在的问题和建议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val="en-US" w:eastAsia="zh-CN"/>
        </w:rPr>
        <w:t>（一）</w:t>
      </w:r>
      <w:r>
        <w:rPr>
          <w:rFonts w:hint="eastAsia" w:ascii="仿宋_GB2312" w:hAnsi="仿宋_GB2312" w:eastAsia="仿宋_GB2312" w:cs="仿宋_GB2312"/>
          <w:b w:val="0"/>
          <w:bCs/>
          <w:color w:val="000000"/>
          <w:sz w:val="32"/>
          <w:szCs w:val="32"/>
        </w:rPr>
        <w:t>主要经验及做法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一是准确掌握项目实施单位的基本情况，深入调查研究做好项目的筹备。二是项目</w:t>
      </w:r>
      <w:r>
        <w:rPr>
          <w:rFonts w:hint="eastAsia" w:ascii="仿宋_GB2312" w:hAnsi="仿宋_GB2312" w:eastAsia="仿宋_GB2312" w:cs="仿宋_GB2312"/>
          <w:sz w:val="32"/>
          <w:szCs w:val="32"/>
        </w:rPr>
        <w:t>决策目标明确、依据充分，项目资金及时到位确保了</w:t>
      </w:r>
      <w:r>
        <w:rPr>
          <w:rFonts w:hint="eastAsia" w:ascii="仿宋_GB2312" w:hAnsi="仿宋_GB2312" w:eastAsia="仿宋_GB2312" w:cs="仿宋_GB2312"/>
          <w:sz w:val="32"/>
          <w:szCs w:val="32"/>
          <w:lang w:val="en-US" w:eastAsia="zh-CN"/>
        </w:rPr>
        <w:t>计划</w:t>
      </w:r>
      <w:r>
        <w:rPr>
          <w:rFonts w:hint="eastAsia" w:ascii="仿宋_GB2312" w:hAnsi="仿宋_GB2312" w:eastAsia="仿宋_GB2312" w:cs="仿宋_GB2312"/>
          <w:sz w:val="32"/>
          <w:szCs w:val="32"/>
        </w:rPr>
        <w:t>工作的顺利实施。</w:t>
      </w:r>
    </w:p>
    <w:p>
      <w:pPr>
        <w:keepNext w:val="0"/>
        <w:keepLines w:val="0"/>
        <w:pageBreakBefore w:val="0"/>
        <w:widowControl w:val="0"/>
        <w:numPr>
          <w:ilvl w:val="0"/>
          <w:numId w:val="1"/>
        </w:numPr>
        <w:kinsoku/>
        <w:wordWrap/>
        <w:overflowPunct/>
        <w:topLinePunct w:val="0"/>
        <w:autoSpaceDE/>
        <w:autoSpaceDN/>
        <w:bidi w:val="0"/>
        <w:spacing w:line="560" w:lineRule="exact"/>
        <w:ind w:left="0" w:leftChars="0" w:firstLine="640" w:firstLineChars="200"/>
        <w:textAlignment w:val="auto"/>
        <w:outlineLvl w:val="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存在的问题</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outlineLvl w:val="0"/>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szCs w:val="32"/>
        </w:rPr>
        <w:t>一是基层科普组织薄弱，开展工作难度大；二是项目资金规模过小且为一次性项目，无法满足各入选单位规模化和持续性发展的需求；</w:t>
      </w:r>
      <w:r>
        <w:rPr>
          <w:rFonts w:hint="eastAsia" w:ascii="仿宋_GB2312" w:hAnsi="仿宋_GB2312" w:eastAsia="仿宋_GB2312" w:cs="仿宋_GB2312"/>
          <w:szCs w:val="32"/>
          <w:lang w:val="en-US" w:eastAsia="zh-CN"/>
        </w:rPr>
        <w:t>三是</w:t>
      </w:r>
      <w:r>
        <w:rPr>
          <w:rFonts w:hint="eastAsia" w:ascii="仿宋_GB2312" w:hAnsi="仿宋_GB2312" w:eastAsia="仿宋_GB2312" w:cs="仿宋_GB2312"/>
          <w:bCs/>
          <w:color w:val="000000"/>
          <w:sz w:val="32"/>
          <w:szCs w:val="32"/>
          <w:lang w:val="en-US" w:eastAsia="zh-CN"/>
        </w:rPr>
        <w:t>宣传力度、辐射力、影响力有待提高。</w:t>
      </w:r>
    </w:p>
    <w:p>
      <w:pPr>
        <w:keepNext w:val="0"/>
        <w:keepLines w:val="0"/>
        <w:pageBreakBefore w:val="0"/>
        <w:widowControl w:val="0"/>
        <w:numPr>
          <w:ilvl w:val="0"/>
          <w:numId w:val="5"/>
        </w:numPr>
        <w:kinsoku/>
        <w:wordWrap/>
        <w:overflowPunct/>
        <w:topLinePunct w:val="0"/>
        <w:autoSpaceDE/>
        <w:autoSpaceDN/>
        <w:bidi w:val="0"/>
        <w:spacing w:line="560" w:lineRule="exact"/>
        <w:ind w:left="0" w:leftChars="0" w:firstLine="640" w:firstLineChars="200"/>
        <w:textAlignment w:val="auto"/>
        <w:outlineLvl w:val="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建议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caps w:val="0"/>
          <w:color w:val="000000"/>
          <w:spacing w:val="0"/>
          <w:sz w:val="32"/>
          <w:szCs w:val="32"/>
          <w:shd w:val="clear" w:fill="FFFFFF"/>
          <w:lang w:val="en-US" w:eastAsia="zh-CN"/>
        </w:rPr>
        <w:t>一是</w:t>
      </w:r>
      <w:r>
        <w:rPr>
          <w:rFonts w:hint="eastAsia" w:ascii="仿宋_GB2312" w:hAnsi="仿宋_GB2312" w:eastAsia="仿宋_GB2312" w:cs="仿宋_GB2312"/>
          <w:b w:val="0"/>
          <w:bCs w:val="0"/>
          <w:i w:val="0"/>
          <w:caps w:val="0"/>
          <w:color w:val="000000"/>
          <w:spacing w:val="0"/>
          <w:sz w:val="32"/>
          <w:szCs w:val="32"/>
          <w:shd w:val="clear" w:fill="FFFFFF"/>
        </w:rPr>
        <w:t>加强统筹协调</w:t>
      </w:r>
      <w:r>
        <w:rPr>
          <w:rFonts w:hint="eastAsia" w:ascii="仿宋_GB2312" w:hAnsi="仿宋_GB2312" w:eastAsia="仿宋_GB2312" w:cs="仿宋_GB2312"/>
          <w:b w:val="0"/>
          <w:bCs w:val="0"/>
          <w:i w:val="0"/>
          <w:caps w:val="0"/>
          <w:color w:val="000000"/>
          <w:spacing w:val="0"/>
          <w:sz w:val="32"/>
          <w:szCs w:val="32"/>
          <w:shd w:val="clear" w:fill="FFFFFF"/>
          <w:lang w:val="en-US" w:eastAsia="zh-CN"/>
        </w:rPr>
        <w:t>要</w:t>
      </w:r>
      <w:r>
        <w:rPr>
          <w:rFonts w:hint="eastAsia" w:ascii="仿宋_GB2312" w:hAnsi="仿宋_GB2312" w:eastAsia="仿宋_GB2312" w:cs="仿宋_GB2312"/>
          <w:b w:val="0"/>
          <w:bCs w:val="0"/>
          <w:i w:val="0"/>
          <w:caps w:val="0"/>
          <w:color w:val="000000"/>
          <w:spacing w:val="0"/>
          <w:sz w:val="32"/>
          <w:szCs w:val="32"/>
          <w:shd w:val="clear" w:fill="FFFFFF"/>
        </w:rPr>
        <w:t>会同财政部门进一步提高联合工作意识，积极协调相关部门共同参与项目建设，上下形成工作合力，不断丰富工作内容，打造科普品牌，确保项目顺利实施</w:t>
      </w:r>
      <w:r>
        <w:rPr>
          <w:rFonts w:hint="eastAsia" w:ascii="仿宋_GB2312" w:hAnsi="仿宋_GB2312" w:eastAsia="仿宋_GB2312" w:cs="仿宋_GB2312"/>
          <w:b w:val="0"/>
          <w:bCs w:val="0"/>
          <w:i w:val="0"/>
          <w:caps w:val="0"/>
          <w:color w:val="000000"/>
          <w:spacing w:val="0"/>
          <w:sz w:val="32"/>
          <w:szCs w:val="32"/>
          <w:shd w:val="clear" w:fill="FFFFFF"/>
          <w:lang w:val="en-US" w:eastAsia="zh-CN"/>
        </w:rPr>
        <w:t>;二是</w:t>
      </w:r>
      <w:r>
        <w:rPr>
          <w:rFonts w:hint="eastAsia" w:ascii="仿宋_GB2312" w:hAnsi="仿宋_GB2312" w:eastAsia="仿宋_GB2312" w:cs="仿宋_GB2312"/>
          <w:b w:val="0"/>
          <w:bCs w:val="0"/>
          <w:i w:val="0"/>
          <w:caps w:val="0"/>
          <w:color w:val="000000"/>
          <w:spacing w:val="0"/>
          <w:sz w:val="32"/>
          <w:szCs w:val="32"/>
          <w:shd w:val="clear" w:fill="FFFFFF"/>
        </w:rPr>
        <w:t>注重宣传推广把项目实施与科普宣传结合起来，营造良好的氛围。要注重培育典型，推广</w:t>
      </w:r>
      <w:r>
        <w:rPr>
          <w:rFonts w:hint="eastAsia" w:ascii="仿宋_GB2312" w:hAnsi="仿宋_GB2312" w:eastAsia="仿宋_GB2312" w:cs="仿宋_GB2312"/>
          <w:i w:val="0"/>
          <w:caps w:val="0"/>
          <w:color w:val="000000"/>
          <w:spacing w:val="0"/>
          <w:sz w:val="32"/>
          <w:szCs w:val="32"/>
          <w:shd w:val="clear" w:fill="FFFFFF"/>
        </w:rPr>
        <w:t>好经验、好做法，切实发挥好其在基层科普行动计划实施工作中的示范引领作用；做好项目单位后续工作的指导，充分发挥各类科普场所的作用，促进其加大对公众开放力度，组织开展形式多样、内容丰富的科普活动，为提升公民科学素质做出更多贡献。</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是加强对项目管理、经费使用的指导和督促，对各项目实施单位要详细解读各项规章制度，使项目更好的按照规定和项目申报书要求根据时间节点逐步支出；</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是把握工作关键，提高“基层科普行动计划”工作水平。进一步整合利用基层科普资源，指导、督导项目单位开展科普工作，重点抓好农技协规范化管理、科普基地服务能力建设、农村、社区、学校科普骨干培训等工作，提高基层科普服务能力。进一步加强与基层科普组织的联系，充分挖掘先进典型，建立项目储备库，加大科普的投入。</w:t>
      </w:r>
    </w:p>
    <w:p>
      <w:pPr>
        <w:spacing w:line="570" w:lineRule="exact"/>
        <w:ind w:firstLine="643" w:firstLineChars="200"/>
        <w:outlineLvl w:val="0"/>
        <w:rPr>
          <w:rFonts w:hint="eastAsia" w:ascii="仿宋_GB2312" w:hAnsi="仿宋_GB2312" w:eastAsia="仿宋_GB2312" w:cs="仿宋_GB2312"/>
          <w:b/>
          <w:bCs w:val="0"/>
          <w:color w:val="000000"/>
          <w:sz w:val="32"/>
          <w:szCs w:val="32"/>
          <w:lang w:val="en-US" w:eastAsia="zh-CN"/>
        </w:rPr>
      </w:pPr>
    </w:p>
    <w:p>
      <w:pPr>
        <w:spacing w:line="570" w:lineRule="exact"/>
        <w:ind w:firstLine="643" w:firstLineChars="200"/>
        <w:outlineLvl w:val="0"/>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color w:val="000000"/>
          <w:sz w:val="32"/>
          <w:szCs w:val="32"/>
        </w:rPr>
        <w:t>七、其他需说明的问题</w:t>
      </w:r>
    </w:p>
    <w:p>
      <w:pPr>
        <w:spacing w:line="570" w:lineRule="exact"/>
        <w:ind w:firstLine="640" w:firstLineChars="200"/>
        <w:contextualSpacing/>
        <w:outlineLvl w:val="0"/>
        <w:rPr>
          <w:rFonts w:ascii="黑体" w:hAnsi="黑体" w:eastAsia="黑体"/>
          <w:bCs/>
          <w:color w:val="000000"/>
          <w:szCs w:val="32"/>
        </w:rPr>
      </w:pPr>
    </w:p>
    <w:sectPr>
      <w:footerReference r:id="rId5" w:type="first"/>
      <w:footerReference r:id="rId3" w:type="default"/>
      <w:footerReference r:id="rId4" w:type="even"/>
      <w:pgSz w:w="11906" w:h="16838"/>
      <w:pgMar w:top="1440" w:right="1080" w:bottom="1440" w:left="1080" w:header="851" w:footer="1134" w:gutter="0"/>
      <w:pgNumType w:start="1"/>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小标宋简体">
    <w:altName w:val="黑体"/>
    <w:panose1 w:val="03000509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ind w:firstLine="560"/>
      <w:rPr>
        <w:rFonts w:ascii="宋体" w:hAnsi="宋体" w:eastAsia="宋体"/>
        <w:sz w:val="28"/>
        <w:szCs w:val="28"/>
      </w:rPr>
    </w:pPr>
    <w:r>
      <w:rPr>
        <w:rFonts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w:instrText>
    </w:r>
    <w:r>
      <w:rPr>
        <w:rFonts w:ascii="宋体" w:hAnsi="宋体" w:eastAsia="宋体"/>
        <w:sz w:val="28"/>
        <w:szCs w:val="28"/>
      </w:rPr>
      <w:fldChar w:fldCharType="separate"/>
    </w:r>
    <w:r>
      <w:rPr>
        <w:rFonts w:ascii="宋体" w:hAnsi="宋体" w:eastAsia="宋体"/>
        <w:sz w:val="28"/>
        <w:szCs w:val="28"/>
      </w:rPr>
      <w:t>3</w:t>
    </w:r>
    <w:r>
      <w:rPr>
        <w:rFonts w:ascii="宋体" w:hAnsi="宋体" w:eastAsia="宋体"/>
        <w:sz w:val="28"/>
        <w:szCs w:val="28"/>
      </w:rPr>
      <w:fldChar w:fldCharType="end"/>
    </w:r>
    <w:r>
      <w:rPr>
        <w:rFonts w:ascii="宋体" w:hAnsi="宋体" w:eastAsia="宋体"/>
        <w:sz w:val="28"/>
        <w:szCs w:val="28"/>
      </w:rPr>
      <w:t>—</w:t>
    </w:r>
  </w:p>
  <w:p>
    <w:pPr>
      <w:pStyle w:val="11"/>
      <w:ind w:right="360" w:firstLine="6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ind w:firstLine="640"/>
    </w:pPr>
    <w:r>
      <w:fldChar w:fldCharType="begin"/>
    </w:r>
    <w:r>
      <w:instrText xml:space="preserve">PAGE  </w:instrText>
    </w:r>
    <w:r>
      <w:fldChar w:fldCharType="end"/>
    </w:r>
  </w:p>
  <w:p>
    <w:pPr>
      <w:pStyle w:val="11"/>
      <w:ind w:right="360" w:firstLine="6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64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068940"/>
    <w:multiLevelType w:val="singleLevel"/>
    <w:tmpl w:val="B4068940"/>
    <w:lvl w:ilvl="0" w:tentative="0">
      <w:start w:val="2"/>
      <w:numFmt w:val="decimal"/>
      <w:suff w:val="nothing"/>
      <w:lvlText w:val="（%1）"/>
      <w:lvlJc w:val="left"/>
    </w:lvl>
  </w:abstractNum>
  <w:abstractNum w:abstractNumId="1">
    <w:nsid w:val="F7343CD4"/>
    <w:multiLevelType w:val="singleLevel"/>
    <w:tmpl w:val="F7343CD4"/>
    <w:lvl w:ilvl="0" w:tentative="0">
      <w:start w:val="5"/>
      <w:numFmt w:val="chineseCounting"/>
      <w:suff w:val="nothing"/>
      <w:lvlText w:val="%1、"/>
      <w:lvlJc w:val="left"/>
      <w:rPr>
        <w:rFonts w:hint="eastAsia"/>
      </w:rPr>
    </w:lvl>
  </w:abstractNum>
  <w:abstractNum w:abstractNumId="2">
    <w:nsid w:val="4AD669BA"/>
    <w:multiLevelType w:val="singleLevel"/>
    <w:tmpl w:val="4AD669BA"/>
    <w:lvl w:ilvl="0" w:tentative="0">
      <w:start w:val="2"/>
      <w:numFmt w:val="chineseCounting"/>
      <w:suff w:val="nothing"/>
      <w:lvlText w:val="（%1）"/>
      <w:lvlJc w:val="left"/>
      <w:rPr>
        <w:rFonts w:hint="eastAsia"/>
      </w:rPr>
    </w:lvl>
  </w:abstractNum>
  <w:abstractNum w:abstractNumId="3">
    <w:nsid w:val="5A02D476"/>
    <w:multiLevelType w:val="singleLevel"/>
    <w:tmpl w:val="5A02D476"/>
    <w:lvl w:ilvl="0" w:tentative="0">
      <w:start w:val="2"/>
      <w:numFmt w:val="chineseCounting"/>
      <w:suff w:val="nothing"/>
      <w:lvlText w:val="（%1）"/>
      <w:lvlJc w:val="left"/>
      <w:rPr>
        <w:rFonts w:hint="eastAsia"/>
      </w:rPr>
    </w:lvl>
  </w:abstractNum>
  <w:abstractNum w:abstractNumId="4">
    <w:nsid w:val="6ED2B94F"/>
    <w:multiLevelType w:val="singleLevel"/>
    <w:tmpl w:val="6ED2B94F"/>
    <w:lvl w:ilvl="0" w:tentative="0">
      <w:start w:val="2"/>
      <w:numFmt w:val="decimal"/>
      <w:suff w:val="nothing"/>
      <w:lvlText w:val="（%1）"/>
      <w:lvlJc w:val="left"/>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2B"/>
    <w:rsid w:val="000021A3"/>
    <w:rsid w:val="0000320A"/>
    <w:rsid w:val="00015424"/>
    <w:rsid w:val="00021262"/>
    <w:rsid w:val="00030DCD"/>
    <w:rsid w:val="00031239"/>
    <w:rsid w:val="00032D24"/>
    <w:rsid w:val="0003535E"/>
    <w:rsid w:val="00035577"/>
    <w:rsid w:val="00035DA7"/>
    <w:rsid w:val="00037BCA"/>
    <w:rsid w:val="0004600A"/>
    <w:rsid w:val="00050CBC"/>
    <w:rsid w:val="00051C8F"/>
    <w:rsid w:val="00053D19"/>
    <w:rsid w:val="00054E62"/>
    <w:rsid w:val="00056A47"/>
    <w:rsid w:val="00065B39"/>
    <w:rsid w:val="00066411"/>
    <w:rsid w:val="000701AB"/>
    <w:rsid w:val="00070616"/>
    <w:rsid w:val="00070FB4"/>
    <w:rsid w:val="00071476"/>
    <w:rsid w:val="00071E0C"/>
    <w:rsid w:val="00071E7D"/>
    <w:rsid w:val="000741E0"/>
    <w:rsid w:val="00075F95"/>
    <w:rsid w:val="00090AA0"/>
    <w:rsid w:val="00097336"/>
    <w:rsid w:val="000974CB"/>
    <w:rsid w:val="000A0CF3"/>
    <w:rsid w:val="000A1062"/>
    <w:rsid w:val="000A1A61"/>
    <w:rsid w:val="000A3100"/>
    <w:rsid w:val="000A4A59"/>
    <w:rsid w:val="000B38B0"/>
    <w:rsid w:val="000C37EB"/>
    <w:rsid w:val="000C791A"/>
    <w:rsid w:val="000D1FBA"/>
    <w:rsid w:val="000D4685"/>
    <w:rsid w:val="000D5489"/>
    <w:rsid w:val="000D5819"/>
    <w:rsid w:val="000D5F1A"/>
    <w:rsid w:val="000D68C0"/>
    <w:rsid w:val="000D743B"/>
    <w:rsid w:val="000D7F50"/>
    <w:rsid w:val="000E4361"/>
    <w:rsid w:val="000E485B"/>
    <w:rsid w:val="000E699D"/>
    <w:rsid w:val="000F2F44"/>
    <w:rsid w:val="000F6436"/>
    <w:rsid w:val="000F6A66"/>
    <w:rsid w:val="001017E9"/>
    <w:rsid w:val="00101E5E"/>
    <w:rsid w:val="00103F8C"/>
    <w:rsid w:val="00104E0A"/>
    <w:rsid w:val="00107084"/>
    <w:rsid w:val="00111447"/>
    <w:rsid w:val="0011282B"/>
    <w:rsid w:val="00112F5E"/>
    <w:rsid w:val="0011769C"/>
    <w:rsid w:val="00122A10"/>
    <w:rsid w:val="001238E8"/>
    <w:rsid w:val="00123C73"/>
    <w:rsid w:val="00131435"/>
    <w:rsid w:val="00132436"/>
    <w:rsid w:val="001328DE"/>
    <w:rsid w:val="00145C28"/>
    <w:rsid w:val="0014756D"/>
    <w:rsid w:val="001546BF"/>
    <w:rsid w:val="0015495C"/>
    <w:rsid w:val="00162CEA"/>
    <w:rsid w:val="00164271"/>
    <w:rsid w:val="001801AD"/>
    <w:rsid w:val="001863AA"/>
    <w:rsid w:val="001969C4"/>
    <w:rsid w:val="001A1FFF"/>
    <w:rsid w:val="001B13A8"/>
    <w:rsid w:val="001B13AE"/>
    <w:rsid w:val="001C21BF"/>
    <w:rsid w:val="001C3645"/>
    <w:rsid w:val="001C3B4B"/>
    <w:rsid w:val="001D28A1"/>
    <w:rsid w:val="001D2DC3"/>
    <w:rsid w:val="001D344C"/>
    <w:rsid w:val="001D628E"/>
    <w:rsid w:val="001E332D"/>
    <w:rsid w:val="001E4F72"/>
    <w:rsid w:val="001E530A"/>
    <w:rsid w:val="001E6366"/>
    <w:rsid w:val="001E7C2E"/>
    <w:rsid w:val="001F1785"/>
    <w:rsid w:val="001F203F"/>
    <w:rsid w:val="00214D08"/>
    <w:rsid w:val="0021769C"/>
    <w:rsid w:val="00217CD8"/>
    <w:rsid w:val="00221FF9"/>
    <w:rsid w:val="00224B27"/>
    <w:rsid w:val="002262A8"/>
    <w:rsid w:val="00230142"/>
    <w:rsid w:val="00237A8F"/>
    <w:rsid w:val="002401AE"/>
    <w:rsid w:val="0025059C"/>
    <w:rsid w:val="00253EFB"/>
    <w:rsid w:val="00260E0C"/>
    <w:rsid w:val="00262758"/>
    <w:rsid w:val="00263143"/>
    <w:rsid w:val="002717DE"/>
    <w:rsid w:val="002719D6"/>
    <w:rsid w:val="00276C34"/>
    <w:rsid w:val="0028286C"/>
    <w:rsid w:val="00283F1D"/>
    <w:rsid w:val="00285866"/>
    <w:rsid w:val="00286B4D"/>
    <w:rsid w:val="0028767D"/>
    <w:rsid w:val="002979B2"/>
    <w:rsid w:val="002A2BE5"/>
    <w:rsid w:val="002A31DE"/>
    <w:rsid w:val="002B1BFA"/>
    <w:rsid w:val="002C0221"/>
    <w:rsid w:val="002C1A8E"/>
    <w:rsid w:val="002D0389"/>
    <w:rsid w:val="002D4239"/>
    <w:rsid w:val="002D5648"/>
    <w:rsid w:val="002D66AA"/>
    <w:rsid w:val="002E12D2"/>
    <w:rsid w:val="002E5247"/>
    <w:rsid w:val="002E5BFC"/>
    <w:rsid w:val="002F0789"/>
    <w:rsid w:val="002F4B3B"/>
    <w:rsid w:val="0030259C"/>
    <w:rsid w:val="003061B5"/>
    <w:rsid w:val="003111E2"/>
    <w:rsid w:val="00313A4A"/>
    <w:rsid w:val="00315E1C"/>
    <w:rsid w:val="00320571"/>
    <w:rsid w:val="003211E8"/>
    <w:rsid w:val="003236CD"/>
    <w:rsid w:val="00325986"/>
    <w:rsid w:val="00326D8C"/>
    <w:rsid w:val="00326F6F"/>
    <w:rsid w:val="00327B26"/>
    <w:rsid w:val="0033078D"/>
    <w:rsid w:val="0033575E"/>
    <w:rsid w:val="00337940"/>
    <w:rsid w:val="00341631"/>
    <w:rsid w:val="0035079A"/>
    <w:rsid w:val="00352046"/>
    <w:rsid w:val="003627CF"/>
    <w:rsid w:val="00364DA5"/>
    <w:rsid w:val="00366E5C"/>
    <w:rsid w:val="003675A4"/>
    <w:rsid w:val="00370124"/>
    <w:rsid w:val="00372233"/>
    <w:rsid w:val="00377302"/>
    <w:rsid w:val="003773DA"/>
    <w:rsid w:val="00386260"/>
    <w:rsid w:val="00395607"/>
    <w:rsid w:val="003958AE"/>
    <w:rsid w:val="00396176"/>
    <w:rsid w:val="003A1252"/>
    <w:rsid w:val="003A3250"/>
    <w:rsid w:val="003A429D"/>
    <w:rsid w:val="003A50DD"/>
    <w:rsid w:val="003A5430"/>
    <w:rsid w:val="003B0720"/>
    <w:rsid w:val="003B1DF2"/>
    <w:rsid w:val="003B2601"/>
    <w:rsid w:val="003B2A5D"/>
    <w:rsid w:val="003C0885"/>
    <w:rsid w:val="003C2818"/>
    <w:rsid w:val="003C52EF"/>
    <w:rsid w:val="003D2589"/>
    <w:rsid w:val="003D304A"/>
    <w:rsid w:val="003D3629"/>
    <w:rsid w:val="003D414A"/>
    <w:rsid w:val="003E1904"/>
    <w:rsid w:val="003E1BF5"/>
    <w:rsid w:val="003E3D85"/>
    <w:rsid w:val="003E3E33"/>
    <w:rsid w:val="003E522C"/>
    <w:rsid w:val="003F40A8"/>
    <w:rsid w:val="003F6D40"/>
    <w:rsid w:val="00400D73"/>
    <w:rsid w:val="00401378"/>
    <w:rsid w:val="00402567"/>
    <w:rsid w:val="00402BB7"/>
    <w:rsid w:val="004075FA"/>
    <w:rsid w:val="00407D06"/>
    <w:rsid w:val="00407EA2"/>
    <w:rsid w:val="004122FD"/>
    <w:rsid w:val="004126BC"/>
    <w:rsid w:val="0041661D"/>
    <w:rsid w:val="00422BF1"/>
    <w:rsid w:val="00423F20"/>
    <w:rsid w:val="00424B28"/>
    <w:rsid w:val="004278EC"/>
    <w:rsid w:val="00433CC2"/>
    <w:rsid w:val="0043444C"/>
    <w:rsid w:val="004362C3"/>
    <w:rsid w:val="00440128"/>
    <w:rsid w:val="004428F3"/>
    <w:rsid w:val="00442CA1"/>
    <w:rsid w:val="004603E8"/>
    <w:rsid w:val="00461730"/>
    <w:rsid w:val="00461D26"/>
    <w:rsid w:val="00465E79"/>
    <w:rsid w:val="0046608A"/>
    <w:rsid w:val="00467453"/>
    <w:rsid w:val="00471A11"/>
    <w:rsid w:val="00476ABA"/>
    <w:rsid w:val="0047797C"/>
    <w:rsid w:val="0048076F"/>
    <w:rsid w:val="00486836"/>
    <w:rsid w:val="00487C10"/>
    <w:rsid w:val="00493FA1"/>
    <w:rsid w:val="004949BC"/>
    <w:rsid w:val="00495815"/>
    <w:rsid w:val="004B4522"/>
    <w:rsid w:val="004C15A4"/>
    <w:rsid w:val="004C213B"/>
    <w:rsid w:val="004C6CAD"/>
    <w:rsid w:val="004C701B"/>
    <w:rsid w:val="004D2537"/>
    <w:rsid w:val="004D6E7D"/>
    <w:rsid w:val="004F0A9B"/>
    <w:rsid w:val="00505238"/>
    <w:rsid w:val="0053080E"/>
    <w:rsid w:val="00530D14"/>
    <w:rsid w:val="00540D5C"/>
    <w:rsid w:val="00544553"/>
    <w:rsid w:val="005459D4"/>
    <w:rsid w:val="00546AE4"/>
    <w:rsid w:val="00554D8A"/>
    <w:rsid w:val="005568B9"/>
    <w:rsid w:val="00562C39"/>
    <w:rsid w:val="0057383D"/>
    <w:rsid w:val="00575C35"/>
    <w:rsid w:val="005767DC"/>
    <w:rsid w:val="00582608"/>
    <w:rsid w:val="005867CD"/>
    <w:rsid w:val="00591BD5"/>
    <w:rsid w:val="0059341A"/>
    <w:rsid w:val="005A5129"/>
    <w:rsid w:val="005A7FFE"/>
    <w:rsid w:val="005B06E8"/>
    <w:rsid w:val="005D6E5A"/>
    <w:rsid w:val="005F11FB"/>
    <w:rsid w:val="005F2E87"/>
    <w:rsid w:val="005F428C"/>
    <w:rsid w:val="005F5B8D"/>
    <w:rsid w:val="005F5BB5"/>
    <w:rsid w:val="005F6CE4"/>
    <w:rsid w:val="00601BFD"/>
    <w:rsid w:val="006066DD"/>
    <w:rsid w:val="00612CBC"/>
    <w:rsid w:val="00613944"/>
    <w:rsid w:val="00620EC9"/>
    <w:rsid w:val="006215B8"/>
    <w:rsid w:val="00622111"/>
    <w:rsid w:val="00622D74"/>
    <w:rsid w:val="00624447"/>
    <w:rsid w:val="006314F0"/>
    <w:rsid w:val="00635BCD"/>
    <w:rsid w:val="00642E9D"/>
    <w:rsid w:val="00643031"/>
    <w:rsid w:val="00643647"/>
    <w:rsid w:val="00653B87"/>
    <w:rsid w:val="00654044"/>
    <w:rsid w:val="006714B1"/>
    <w:rsid w:val="0067367C"/>
    <w:rsid w:val="00673BDE"/>
    <w:rsid w:val="0067601D"/>
    <w:rsid w:val="00676908"/>
    <w:rsid w:val="006913CD"/>
    <w:rsid w:val="0069334C"/>
    <w:rsid w:val="00695461"/>
    <w:rsid w:val="006A08AC"/>
    <w:rsid w:val="006A39CD"/>
    <w:rsid w:val="006A57C0"/>
    <w:rsid w:val="006A6765"/>
    <w:rsid w:val="006B32FD"/>
    <w:rsid w:val="006B491F"/>
    <w:rsid w:val="006D6FAB"/>
    <w:rsid w:val="006E23FA"/>
    <w:rsid w:val="006E3369"/>
    <w:rsid w:val="006F122A"/>
    <w:rsid w:val="007018EB"/>
    <w:rsid w:val="00720723"/>
    <w:rsid w:val="00720FD5"/>
    <w:rsid w:val="00721AAB"/>
    <w:rsid w:val="0072515E"/>
    <w:rsid w:val="0073585D"/>
    <w:rsid w:val="00736122"/>
    <w:rsid w:val="00741130"/>
    <w:rsid w:val="00742459"/>
    <w:rsid w:val="0075109A"/>
    <w:rsid w:val="00752F93"/>
    <w:rsid w:val="00755212"/>
    <w:rsid w:val="00756B43"/>
    <w:rsid w:val="00761DBA"/>
    <w:rsid w:val="007642A7"/>
    <w:rsid w:val="007646A5"/>
    <w:rsid w:val="007651DD"/>
    <w:rsid w:val="00767F71"/>
    <w:rsid w:val="00773DD5"/>
    <w:rsid w:val="0077610D"/>
    <w:rsid w:val="00780200"/>
    <w:rsid w:val="00782F11"/>
    <w:rsid w:val="00787734"/>
    <w:rsid w:val="00796084"/>
    <w:rsid w:val="00796DAF"/>
    <w:rsid w:val="007A0CD4"/>
    <w:rsid w:val="007A13C1"/>
    <w:rsid w:val="007A153D"/>
    <w:rsid w:val="007A5205"/>
    <w:rsid w:val="007A694E"/>
    <w:rsid w:val="007B288C"/>
    <w:rsid w:val="007B4728"/>
    <w:rsid w:val="007B5820"/>
    <w:rsid w:val="007C2242"/>
    <w:rsid w:val="007C2C20"/>
    <w:rsid w:val="007C69E8"/>
    <w:rsid w:val="007C7035"/>
    <w:rsid w:val="007D109B"/>
    <w:rsid w:val="007D59DA"/>
    <w:rsid w:val="007D5BDF"/>
    <w:rsid w:val="007D7AA6"/>
    <w:rsid w:val="007E6B70"/>
    <w:rsid w:val="007F1A10"/>
    <w:rsid w:val="007F21E8"/>
    <w:rsid w:val="00802AF6"/>
    <w:rsid w:val="00813455"/>
    <w:rsid w:val="008171A9"/>
    <w:rsid w:val="00822D71"/>
    <w:rsid w:val="00823119"/>
    <w:rsid w:val="00826147"/>
    <w:rsid w:val="008269DF"/>
    <w:rsid w:val="00832045"/>
    <w:rsid w:val="0083210F"/>
    <w:rsid w:val="00834A14"/>
    <w:rsid w:val="00835394"/>
    <w:rsid w:val="008370B0"/>
    <w:rsid w:val="0084081F"/>
    <w:rsid w:val="00847960"/>
    <w:rsid w:val="00855FEC"/>
    <w:rsid w:val="008564EB"/>
    <w:rsid w:val="00864810"/>
    <w:rsid w:val="00866901"/>
    <w:rsid w:val="00871973"/>
    <w:rsid w:val="00872106"/>
    <w:rsid w:val="00877ECA"/>
    <w:rsid w:val="008831C9"/>
    <w:rsid w:val="00884BDD"/>
    <w:rsid w:val="00896729"/>
    <w:rsid w:val="0089688E"/>
    <w:rsid w:val="008B2DCD"/>
    <w:rsid w:val="008B3377"/>
    <w:rsid w:val="008B3D66"/>
    <w:rsid w:val="008C365B"/>
    <w:rsid w:val="008D02FD"/>
    <w:rsid w:val="008D0F7D"/>
    <w:rsid w:val="008D25BB"/>
    <w:rsid w:val="008D2D00"/>
    <w:rsid w:val="008D53DA"/>
    <w:rsid w:val="008E1D97"/>
    <w:rsid w:val="008E4591"/>
    <w:rsid w:val="008F0292"/>
    <w:rsid w:val="008F27EB"/>
    <w:rsid w:val="008F7D2A"/>
    <w:rsid w:val="00904378"/>
    <w:rsid w:val="00904512"/>
    <w:rsid w:val="00912442"/>
    <w:rsid w:val="00913AE9"/>
    <w:rsid w:val="00913EF7"/>
    <w:rsid w:val="0092127D"/>
    <w:rsid w:val="00923B4E"/>
    <w:rsid w:val="00924AEB"/>
    <w:rsid w:val="00925893"/>
    <w:rsid w:val="0094018F"/>
    <w:rsid w:val="00942341"/>
    <w:rsid w:val="00945F20"/>
    <w:rsid w:val="00947CB7"/>
    <w:rsid w:val="00951AD8"/>
    <w:rsid w:val="0095466E"/>
    <w:rsid w:val="00955111"/>
    <w:rsid w:val="00955836"/>
    <w:rsid w:val="00956256"/>
    <w:rsid w:val="00960D15"/>
    <w:rsid w:val="00962F58"/>
    <w:rsid w:val="00964D58"/>
    <w:rsid w:val="0096607C"/>
    <w:rsid w:val="00970937"/>
    <w:rsid w:val="00970E37"/>
    <w:rsid w:val="00982080"/>
    <w:rsid w:val="00991E42"/>
    <w:rsid w:val="009964C1"/>
    <w:rsid w:val="009A1017"/>
    <w:rsid w:val="009B0E40"/>
    <w:rsid w:val="009C4CF5"/>
    <w:rsid w:val="009D084D"/>
    <w:rsid w:val="009D57D5"/>
    <w:rsid w:val="009D66BA"/>
    <w:rsid w:val="009E0FAC"/>
    <w:rsid w:val="009F0A2E"/>
    <w:rsid w:val="009F2B40"/>
    <w:rsid w:val="009F4D2A"/>
    <w:rsid w:val="00A01031"/>
    <w:rsid w:val="00A0132D"/>
    <w:rsid w:val="00A110D0"/>
    <w:rsid w:val="00A11191"/>
    <w:rsid w:val="00A11FBB"/>
    <w:rsid w:val="00A12307"/>
    <w:rsid w:val="00A14752"/>
    <w:rsid w:val="00A200F2"/>
    <w:rsid w:val="00A21290"/>
    <w:rsid w:val="00A225C0"/>
    <w:rsid w:val="00A34CCA"/>
    <w:rsid w:val="00A430E6"/>
    <w:rsid w:val="00A44162"/>
    <w:rsid w:val="00A50661"/>
    <w:rsid w:val="00A52875"/>
    <w:rsid w:val="00A70724"/>
    <w:rsid w:val="00A76390"/>
    <w:rsid w:val="00A81549"/>
    <w:rsid w:val="00A82621"/>
    <w:rsid w:val="00A853BD"/>
    <w:rsid w:val="00A87624"/>
    <w:rsid w:val="00A877C9"/>
    <w:rsid w:val="00A87B5A"/>
    <w:rsid w:val="00A87B65"/>
    <w:rsid w:val="00A90754"/>
    <w:rsid w:val="00A91F12"/>
    <w:rsid w:val="00A92235"/>
    <w:rsid w:val="00AA09BA"/>
    <w:rsid w:val="00AA6AEF"/>
    <w:rsid w:val="00AA6B32"/>
    <w:rsid w:val="00AA6BB5"/>
    <w:rsid w:val="00AB638C"/>
    <w:rsid w:val="00AB7025"/>
    <w:rsid w:val="00AB759C"/>
    <w:rsid w:val="00AC7380"/>
    <w:rsid w:val="00AD70FE"/>
    <w:rsid w:val="00AE001C"/>
    <w:rsid w:val="00AE15A1"/>
    <w:rsid w:val="00AE1D30"/>
    <w:rsid w:val="00AE32AF"/>
    <w:rsid w:val="00AE406C"/>
    <w:rsid w:val="00AF1123"/>
    <w:rsid w:val="00AF2632"/>
    <w:rsid w:val="00AF4DBA"/>
    <w:rsid w:val="00B00776"/>
    <w:rsid w:val="00B0327C"/>
    <w:rsid w:val="00B04657"/>
    <w:rsid w:val="00B13DD6"/>
    <w:rsid w:val="00B21F70"/>
    <w:rsid w:val="00B24925"/>
    <w:rsid w:val="00B31EE1"/>
    <w:rsid w:val="00B33104"/>
    <w:rsid w:val="00B37AF9"/>
    <w:rsid w:val="00B42757"/>
    <w:rsid w:val="00B541E2"/>
    <w:rsid w:val="00B55714"/>
    <w:rsid w:val="00B56A77"/>
    <w:rsid w:val="00B66D98"/>
    <w:rsid w:val="00B67D65"/>
    <w:rsid w:val="00B724C4"/>
    <w:rsid w:val="00B85164"/>
    <w:rsid w:val="00B95AAC"/>
    <w:rsid w:val="00BA3F7A"/>
    <w:rsid w:val="00BA4AD2"/>
    <w:rsid w:val="00BA74D8"/>
    <w:rsid w:val="00BB0369"/>
    <w:rsid w:val="00BB2D4A"/>
    <w:rsid w:val="00BC02AE"/>
    <w:rsid w:val="00BC5199"/>
    <w:rsid w:val="00BC71BC"/>
    <w:rsid w:val="00BD4D38"/>
    <w:rsid w:val="00BE2625"/>
    <w:rsid w:val="00BE5FCD"/>
    <w:rsid w:val="00BE74EC"/>
    <w:rsid w:val="00BF0C05"/>
    <w:rsid w:val="00BF1F2F"/>
    <w:rsid w:val="00BF2E02"/>
    <w:rsid w:val="00BF3A6E"/>
    <w:rsid w:val="00C00D36"/>
    <w:rsid w:val="00C05B03"/>
    <w:rsid w:val="00C21C8E"/>
    <w:rsid w:val="00C23059"/>
    <w:rsid w:val="00C23AB7"/>
    <w:rsid w:val="00C26307"/>
    <w:rsid w:val="00C276E4"/>
    <w:rsid w:val="00C332FA"/>
    <w:rsid w:val="00C44E5F"/>
    <w:rsid w:val="00C471C3"/>
    <w:rsid w:val="00C47DFB"/>
    <w:rsid w:val="00C62BF7"/>
    <w:rsid w:val="00C72EB7"/>
    <w:rsid w:val="00C73D27"/>
    <w:rsid w:val="00C75452"/>
    <w:rsid w:val="00C85CDD"/>
    <w:rsid w:val="00C9135A"/>
    <w:rsid w:val="00C93C2E"/>
    <w:rsid w:val="00CA0876"/>
    <w:rsid w:val="00CA5031"/>
    <w:rsid w:val="00CA6280"/>
    <w:rsid w:val="00CB1EAE"/>
    <w:rsid w:val="00CC2150"/>
    <w:rsid w:val="00CC3730"/>
    <w:rsid w:val="00CC3737"/>
    <w:rsid w:val="00CC4430"/>
    <w:rsid w:val="00CC4B85"/>
    <w:rsid w:val="00CC7D95"/>
    <w:rsid w:val="00CD111C"/>
    <w:rsid w:val="00CD2420"/>
    <w:rsid w:val="00CD4EC5"/>
    <w:rsid w:val="00CE4B88"/>
    <w:rsid w:val="00CE55C2"/>
    <w:rsid w:val="00D03447"/>
    <w:rsid w:val="00D10E2C"/>
    <w:rsid w:val="00D1143E"/>
    <w:rsid w:val="00D1534B"/>
    <w:rsid w:val="00D20A19"/>
    <w:rsid w:val="00D21446"/>
    <w:rsid w:val="00D2419E"/>
    <w:rsid w:val="00D24A1D"/>
    <w:rsid w:val="00D34DC9"/>
    <w:rsid w:val="00D44333"/>
    <w:rsid w:val="00D456D3"/>
    <w:rsid w:val="00D466A4"/>
    <w:rsid w:val="00D467AD"/>
    <w:rsid w:val="00D5242B"/>
    <w:rsid w:val="00D5615A"/>
    <w:rsid w:val="00D5788F"/>
    <w:rsid w:val="00D62630"/>
    <w:rsid w:val="00D6601D"/>
    <w:rsid w:val="00D70E74"/>
    <w:rsid w:val="00D768B5"/>
    <w:rsid w:val="00D84360"/>
    <w:rsid w:val="00D84752"/>
    <w:rsid w:val="00D93735"/>
    <w:rsid w:val="00D93AD5"/>
    <w:rsid w:val="00D963C6"/>
    <w:rsid w:val="00D96ED7"/>
    <w:rsid w:val="00DA2C2F"/>
    <w:rsid w:val="00DA2FCB"/>
    <w:rsid w:val="00DB3AEE"/>
    <w:rsid w:val="00DB5235"/>
    <w:rsid w:val="00DC2233"/>
    <w:rsid w:val="00DD552B"/>
    <w:rsid w:val="00DD75D6"/>
    <w:rsid w:val="00DD7C34"/>
    <w:rsid w:val="00DE0F82"/>
    <w:rsid w:val="00DE1883"/>
    <w:rsid w:val="00DE3544"/>
    <w:rsid w:val="00DE3A83"/>
    <w:rsid w:val="00DE4B30"/>
    <w:rsid w:val="00DF3686"/>
    <w:rsid w:val="00E00650"/>
    <w:rsid w:val="00E03E76"/>
    <w:rsid w:val="00E061AC"/>
    <w:rsid w:val="00E13490"/>
    <w:rsid w:val="00E13BF3"/>
    <w:rsid w:val="00E17059"/>
    <w:rsid w:val="00E26F31"/>
    <w:rsid w:val="00E27C62"/>
    <w:rsid w:val="00E33EC5"/>
    <w:rsid w:val="00E36599"/>
    <w:rsid w:val="00E40B92"/>
    <w:rsid w:val="00E44224"/>
    <w:rsid w:val="00E45381"/>
    <w:rsid w:val="00E46785"/>
    <w:rsid w:val="00E52F11"/>
    <w:rsid w:val="00E56845"/>
    <w:rsid w:val="00E62E7B"/>
    <w:rsid w:val="00E71DEB"/>
    <w:rsid w:val="00E722BD"/>
    <w:rsid w:val="00E778D3"/>
    <w:rsid w:val="00E8038D"/>
    <w:rsid w:val="00E86435"/>
    <w:rsid w:val="00E90FD3"/>
    <w:rsid w:val="00E91353"/>
    <w:rsid w:val="00E937DC"/>
    <w:rsid w:val="00EA1BAF"/>
    <w:rsid w:val="00EA38A1"/>
    <w:rsid w:val="00EA4021"/>
    <w:rsid w:val="00EA7EE3"/>
    <w:rsid w:val="00EB08CB"/>
    <w:rsid w:val="00EB2202"/>
    <w:rsid w:val="00EB2233"/>
    <w:rsid w:val="00EB2302"/>
    <w:rsid w:val="00EB5209"/>
    <w:rsid w:val="00EB631A"/>
    <w:rsid w:val="00EC0286"/>
    <w:rsid w:val="00EC02F9"/>
    <w:rsid w:val="00EC0CBC"/>
    <w:rsid w:val="00EC349E"/>
    <w:rsid w:val="00EC49A5"/>
    <w:rsid w:val="00EC57E1"/>
    <w:rsid w:val="00ED0038"/>
    <w:rsid w:val="00EE082A"/>
    <w:rsid w:val="00EE147F"/>
    <w:rsid w:val="00EE495B"/>
    <w:rsid w:val="00EE5C01"/>
    <w:rsid w:val="00EE73BB"/>
    <w:rsid w:val="00EF14D3"/>
    <w:rsid w:val="00EF4BAC"/>
    <w:rsid w:val="00F0049C"/>
    <w:rsid w:val="00F042D4"/>
    <w:rsid w:val="00F118DF"/>
    <w:rsid w:val="00F12277"/>
    <w:rsid w:val="00F1767D"/>
    <w:rsid w:val="00F17A65"/>
    <w:rsid w:val="00F20394"/>
    <w:rsid w:val="00F240F4"/>
    <w:rsid w:val="00F27719"/>
    <w:rsid w:val="00F33D5A"/>
    <w:rsid w:val="00F34AFE"/>
    <w:rsid w:val="00F36A74"/>
    <w:rsid w:val="00F434AB"/>
    <w:rsid w:val="00F50DB1"/>
    <w:rsid w:val="00F51E70"/>
    <w:rsid w:val="00F5603D"/>
    <w:rsid w:val="00F56FE7"/>
    <w:rsid w:val="00F64092"/>
    <w:rsid w:val="00F6481D"/>
    <w:rsid w:val="00F766E2"/>
    <w:rsid w:val="00F830BC"/>
    <w:rsid w:val="00F87FC0"/>
    <w:rsid w:val="00F9569C"/>
    <w:rsid w:val="00FA25EA"/>
    <w:rsid w:val="00FA4726"/>
    <w:rsid w:val="00FA6A7C"/>
    <w:rsid w:val="00FB0169"/>
    <w:rsid w:val="00FB0523"/>
    <w:rsid w:val="00FB3E00"/>
    <w:rsid w:val="00FD034B"/>
    <w:rsid w:val="00FD03CB"/>
    <w:rsid w:val="00FD0DBD"/>
    <w:rsid w:val="00FD2F31"/>
    <w:rsid w:val="00FE2201"/>
    <w:rsid w:val="00FE411B"/>
    <w:rsid w:val="00FE420E"/>
    <w:rsid w:val="00FE72B0"/>
    <w:rsid w:val="00FE776C"/>
    <w:rsid w:val="00FF2749"/>
    <w:rsid w:val="00FF45F5"/>
    <w:rsid w:val="00FF6281"/>
    <w:rsid w:val="00FF774B"/>
    <w:rsid w:val="00FF7D66"/>
    <w:rsid w:val="035A6E5F"/>
    <w:rsid w:val="05B959D1"/>
    <w:rsid w:val="0B1D58FE"/>
    <w:rsid w:val="0CCA3DBA"/>
    <w:rsid w:val="11D83C8A"/>
    <w:rsid w:val="120E1C34"/>
    <w:rsid w:val="14EA32FB"/>
    <w:rsid w:val="1AA506B3"/>
    <w:rsid w:val="1C180329"/>
    <w:rsid w:val="1E227924"/>
    <w:rsid w:val="21EC7CAE"/>
    <w:rsid w:val="223226CE"/>
    <w:rsid w:val="25387269"/>
    <w:rsid w:val="2C5156A9"/>
    <w:rsid w:val="2D9D3CEC"/>
    <w:rsid w:val="3120754F"/>
    <w:rsid w:val="36781B08"/>
    <w:rsid w:val="376F1895"/>
    <w:rsid w:val="39C9304C"/>
    <w:rsid w:val="42235754"/>
    <w:rsid w:val="46BD1E06"/>
    <w:rsid w:val="470329B0"/>
    <w:rsid w:val="48D9051F"/>
    <w:rsid w:val="4CBA578F"/>
    <w:rsid w:val="5C7D6D34"/>
    <w:rsid w:val="5D542243"/>
    <w:rsid w:val="616E1DF7"/>
    <w:rsid w:val="66E540BC"/>
    <w:rsid w:val="6FD84217"/>
    <w:rsid w:val="74000C22"/>
    <w:rsid w:val="775C54C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新宋体"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99"/>
    <w:rPr>
      <w:rFonts w:cs="Times New Roman"/>
    </w:rPr>
  </w:style>
  <w:style w:type="character" w:customStyle="1" w:styleId="8">
    <w:name w:val="批注框文本 Char"/>
    <w:link w:val="2"/>
    <w:semiHidden/>
    <w:qFormat/>
    <w:locked/>
    <w:uiPriority w:val="99"/>
    <w:rPr>
      <w:rFonts w:ascii="仿宋_GB2312" w:hAnsi="新宋体" w:eastAsia="仿宋_GB2312" w:cs="Times New Roman"/>
      <w:sz w:val="2"/>
    </w:rPr>
  </w:style>
  <w:style w:type="character" w:customStyle="1" w:styleId="9">
    <w:name w:val="页脚 Char"/>
    <w:link w:val="3"/>
    <w:semiHidden/>
    <w:qFormat/>
    <w:locked/>
    <w:uiPriority w:val="99"/>
    <w:rPr>
      <w:rFonts w:ascii="仿宋_GB2312" w:hAnsi="新宋体" w:eastAsia="仿宋_GB2312" w:cs="Times New Roman"/>
      <w:sz w:val="18"/>
      <w:szCs w:val="18"/>
    </w:rPr>
  </w:style>
  <w:style w:type="character" w:customStyle="1" w:styleId="10">
    <w:name w:val="页眉 Char"/>
    <w:link w:val="4"/>
    <w:semiHidden/>
    <w:qFormat/>
    <w:locked/>
    <w:uiPriority w:val="99"/>
    <w:rPr>
      <w:rFonts w:ascii="仿宋_GB2312" w:hAnsi="新宋体" w:eastAsia="仿宋_GB2312" w:cs="Times New Roman"/>
      <w:sz w:val="18"/>
      <w:szCs w:val="18"/>
    </w:rPr>
  </w:style>
  <w:style w:type="paragraph" w:customStyle="1" w:styleId="11">
    <w:name w:val="Char Char"/>
    <w:basedOn w:val="1"/>
    <w:qFormat/>
    <w:uiPriority w:val="99"/>
    <w:pPr>
      <w:spacing w:line="360" w:lineRule="auto"/>
      <w:ind w:firstLine="200" w:firstLineChars="200"/>
    </w:pPr>
  </w:style>
  <w:style w:type="paragraph" w:styleId="12">
    <w:name w:val="List Paragraph"/>
    <w:basedOn w:val="1"/>
    <w:qFormat/>
    <w:uiPriority w:val="99"/>
    <w:pPr>
      <w:spacing w:line="360" w:lineRule="auto"/>
      <w:ind w:firstLine="420" w:firstLineChars="200"/>
    </w:pPr>
    <w:rPr>
      <w:rFonts w:ascii="Calibri" w:hAnsi="Calibri" w:eastAsia="宋体"/>
      <w:sz w:val="28"/>
      <w:szCs w:val="22"/>
    </w:rPr>
  </w:style>
  <w:style w:type="character" w:customStyle="1" w:styleId="13">
    <w:name w:val="font31"/>
    <w:basedOn w:val="6"/>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5</Pages>
  <Words>246</Words>
  <Characters>1405</Characters>
  <Lines>11</Lines>
  <Paragraphs>3</Paragraphs>
  <TotalTime>19</TotalTime>
  <ScaleCrop>false</ScaleCrop>
  <LinksUpToDate>false</LinksUpToDate>
  <CharactersWithSpaces>1648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2018-10-11T09:22:00Z</dcterms:created>
  <dc:creator>微软用户</dc:creator>
  <cp:lastModifiedBy> ＆ </cp:lastModifiedBy>
  <cp:lastPrinted>2020-10-29T01:04:40Z</cp:lastPrinted>
  <dcterms:modified xsi:type="dcterms:W3CDTF">2020-10-29T01:08:00Z</dcterms:modified>
  <dc:title>海南省财政厅文件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