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84"/>
          <w:szCs w:val="84"/>
          <w:lang w:val="en-US" w:eastAsia="zh-CN"/>
        </w:rPr>
      </w:pPr>
    </w:p>
    <w:p>
      <w:pPr>
        <w:jc w:val="center"/>
        <w:rPr>
          <w:rFonts w:hint="eastAsia" w:ascii="方正小标宋简体" w:hAnsi="方正小标宋简体" w:eastAsia="方正小标宋简体" w:cs="方正小标宋简体"/>
          <w:b/>
          <w:bCs/>
          <w:sz w:val="52"/>
          <w:szCs w:val="52"/>
          <w:lang w:eastAsia="zh-CN"/>
        </w:rPr>
      </w:pPr>
      <w:r>
        <w:rPr>
          <w:rFonts w:hint="eastAsia" w:ascii="方正小标宋简体" w:hAnsi="方正小标宋简体" w:eastAsia="方正小标宋简体" w:cs="方正小标宋简体"/>
          <w:b/>
          <w:bCs/>
          <w:sz w:val="52"/>
          <w:szCs w:val="52"/>
          <w:lang w:val="en-US" w:eastAsia="zh-CN"/>
        </w:rPr>
        <w:t>2024</w:t>
      </w:r>
      <w:r>
        <w:rPr>
          <w:rFonts w:hint="eastAsia" w:ascii="方正小标宋简体" w:hAnsi="方正小标宋简体" w:eastAsia="方正小标宋简体" w:cs="方正小标宋简体"/>
          <w:b/>
          <w:bCs/>
          <w:sz w:val="52"/>
          <w:szCs w:val="52"/>
        </w:rPr>
        <w:t>年</w:t>
      </w:r>
      <w:r>
        <w:rPr>
          <w:rFonts w:hint="eastAsia" w:ascii="方正小标宋简体" w:hAnsi="方正小标宋简体" w:eastAsia="方正小标宋简体" w:cs="方正小标宋简体"/>
          <w:b/>
          <w:bCs/>
          <w:sz w:val="52"/>
          <w:szCs w:val="52"/>
          <w:lang w:eastAsia="zh-CN"/>
        </w:rPr>
        <w:t>政协白沙黎族自治县</w:t>
      </w: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b/>
          <w:bCs/>
          <w:sz w:val="52"/>
          <w:szCs w:val="52"/>
          <w:lang w:eastAsia="zh-CN"/>
        </w:rPr>
        <w:t>委员会办公室部门</w:t>
      </w:r>
      <w:r>
        <w:rPr>
          <w:rFonts w:hint="eastAsia" w:ascii="方正小标宋简体" w:hAnsi="方正小标宋简体" w:eastAsia="方正小标宋简体" w:cs="方正小标宋简体"/>
          <w:b/>
          <w:bCs/>
          <w:sz w:val="52"/>
          <w:szCs w:val="52"/>
        </w:rPr>
        <w:t>预算</w:t>
      </w:r>
    </w:p>
    <w:p>
      <w:pPr>
        <w:ind w:firstLine="1680"/>
        <w:jc w:val="center"/>
        <w:rPr>
          <w:sz w:val="84"/>
          <w:szCs w:val="84"/>
        </w:rPr>
      </w:pPr>
    </w:p>
    <w:p>
      <w:pPr>
        <w:ind w:firstLine="1680"/>
        <w:jc w:val="center"/>
        <w:rPr>
          <w:sz w:val="84"/>
          <w:szCs w:val="84"/>
        </w:rPr>
      </w:pPr>
    </w:p>
    <w:p>
      <w:pPr>
        <w:ind w:firstLine="1680"/>
        <w:jc w:val="center"/>
        <w:rPr>
          <w:sz w:val="32"/>
          <w:szCs w:val="32"/>
        </w:rPr>
      </w:pPr>
    </w:p>
    <w:p>
      <w:pPr>
        <w:ind w:firstLine="1680"/>
        <w:jc w:val="both"/>
        <w:rPr>
          <w:rFonts w:hint="eastAsia"/>
          <w:sz w:val="32"/>
          <w:szCs w:val="32"/>
          <w:lang w:val="en-US" w:eastAsia="zh-CN"/>
        </w:rPr>
      </w:pPr>
    </w:p>
    <w:p>
      <w:pPr>
        <w:ind w:firstLine="1680"/>
        <w:jc w:val="both"/>
        <w:rPr>
          <w:rFonts w:hint="eastAsia"/>
          <w:sz w:val="32"/>
          <w:szCs w:val="32"/>
          <w:lang w:val="en-US" w:eastAsia="zh-CN"/>
        </w:rPr>
      </w:pPr>
    </w:p>
    <w:p>
      <w:pPr>
        <w:ind w:firstLine="1680"/>
        <w:jc w:val="both"/>
        <w:rPr>
          <w:rFonts w:hint="eastAsia"/>
          <w:sz w:val="32"/>
          <w:szCs w:val="32"/>
          <w:lang w:val="en-US" w:eastAsia="zh-CN"/>
        </w:rPr>
      </w:pPr>
    </w:p>
    <w:p>
      <w:pPr>
        <w:ind w:firstLine="1680"/>
        <w:jc w:val="both"/>
        <w:rPr>
          <w:rFonts w:hint="eastAsia"/>
          <w:sz w:val="32"/>
          <w:szCs w:val="32"/>
          <w:lang w:val="en-US" w:eastAsia="zh-CN"/>
        </w:rPr>
      </w:pPr>
    </w:p>
    <w:p>
      <w:pPr>
        <w:ind w:firstLine="1680"/>
        <w:jc w:val="both"/>
        <w:rPr>
          <w:rFonts w:hint="eastAsia"/>
          <w:sz w:val="32"/>
          <w:szCs w:val="32"/>
          <w:lang w:val="en-US" w:eastAsia="zh-CN"/>
        </w:rPr>
      </w:pPr>
    </w:p>
    <w:p>
      <w:pPr>
        <w:ind w:firstLine="1680"/>
        <w:jc w:val="both"/>
        <w:rPr>
          <w:rFonts w:hint="eastAsia"/>
          <w:sz w:val="32"/>
          <w:szCs w:val="32"/>
          <w:lang w:val="en-US" w:eastAsia="zh-CN"/>
        </w:rPr>
      </w:pPr>
    </w:p>
    <w:p>
      <w:pPr>
        <w:ind w:firstLine="1680"/>
        <w:jc w:val="both"/>
        <w:rPr>
          <w:rFonts w:hint="eastAsia"/>
          <w:sz w:val="32"/>
          <w:szCs w:val="32"/>
          <w:lang w:val="en-US" w:eastAsia="zh-CN"/>
        </w:rPr>
      </w:pPr>
    </w:p>
    <w:p>
      <w:pPr>
        <w:ind w:firstLine="1680"/>
        <w:jc w:val="both"/>
        <w:rPr>
          <w:rFonts w:hint="eastAsia"/>
          <w:sz w:val="32"/>
          <w:szCs w:val="32"/>
          <w:lang w:val="en-US" w:eastAsia="zh-CN"/>
        </w:rPr>
      </w:pPr>
    </w:p>
    <w:p>
      <w:pPr>
        <w:ind w:firstLine="1680"/>
        <w:jc w:val="both"/>
        <w:rPr>
          <w:rFonts w:hint="eastAsia"/>
          <w:sz w:val="32"/>
          <w:szCs w:val="32"/>
          <w:lang w:val="en-US" w:eastAsia="zh-CN"/>
        </w:rPr>
      </w:pPr>
    </w:p>
    <w:p>
      <w:pPr>
        <w:ind w:left="0" w:leftChars="0" w:firstLine="0" w:firstLineChars="0"/>
        <w:jc w:val="center"/>
        <w:rPr>
          <w:rFonts w:hint="eastAsia" w:eastAsiaTheme="minorEastAsia"/>
          <w:sz w:val="32"/>
          <w:szCs w:val="32"/>
          <w:lang w:eastAsia="zh-CN"/>
        </w:rPr>
      </w:pPr>
      <w:r>
        <w:rPr>
          <w:rFonts w:hint="eastAsia" w:ascii="宋体" w:hAnsi="宋体" w:eastAsia="宋体" w:cs="宋体"/>
          <w:b/>
          <w:bCs/>
          <w:sz w:val="52"/>
          <w:szCs w:val="52"/>
          <w:lang w:val="en-US" w:eastAsia="zh-CN"/>
        </w:rPr>
        <w:t>2024年 2月 28日</w:t>
      </w:r>
    </w:p>
    <w:p>
      <w:pPr>
        <w:jc w:val="center"/>
        <w:rPr>
          <w:sz w:val="32"/>
          <w:szCs w:val="32"/>
        </w:rPr>
      </w:pPr>
    </w:p>
    <w:p>
      <w:pPr>
        <w:rPr>
          <w:sz w:val="32"/>
          <w:szCs w:val="32"/>
        </w:rPr>
      </w:pPr>
    </w:p>
    <w:p>
      <w:pPr>
        <w:jc w:val="center"/>
        <w:rPr>
          <w:rFonts w:hint="eastAsia" w:ascii="黑体" w:hAnsi="黑体" w:eastAsia="黑体"/>
          <w:sz w:val="52"/>
          <w:szCs w:val="52"/>
        </w:rPr>
      </w:pPr>
    </w:p>
    <w:p>
      <w:pPr>
        <w:jc w:val="center"/>
        <w:rPr>
          <w:rFonts w:hint="eastAsia" w:ascii="黑体" w:hAnsi="黑体" w:eastAsia="黑体"/>
          <w:sz w:val="52"/>
          <w:szCs w:val="52"/>
        </w:rPr>
        <w:sectPr>
          <w:pgSz w:w="11906" w:h="16838"/>
          <w:pgMar w:top="1440" w:right="1800" w:bottom="1440" w:left="1800" w:header="851" w:footer="992" w:gutter="0"/>
          <w:pgNumType w:fmt="decimal"/>
          <w:cols w:space="425" w:num="1"/>
          <w:docGrid w:type="lines" w:linePitch="312" w:charSpace="0"/>
        </w:sect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白沙黎族自治县政协办公室</w:t>
      </w:r>
      <w:r>
        <w:rPr>
          <w:rFonts w:hint="eastAsia" w:ascii="黑体" w:hAnsi="黑体" w:eastAsia="黑体"/>
          <w:sz w:val="32"/>
          <w:szCs w:val="32"/>
        </w:rPr>
        <w:t>概况</w:t>
      </w:r>
    </w:p>
    <w:p>
      <w:pPr>
        <w:pStyle w:val="8"/>
        <w:numPr>
          <w:ilvl w:val="0"/>
          <w:numId w:val="2"/>
        </w:numPr>
        <w:ind w:firstLineChars="0"/>
        <w:jc w:val="left"/>
        <w:rPr>
          <w:rFonts w:hint="eastAsia" w:ascii="黑体" w:hAnsi="黑体" w:eastAsia="黑体" w:cs="黑体"/>
          <w:sz w:val="32"/>
          <w:szCs w:val="32"/>
        </w:rPr>
      </w:pPr>
      <w:r>
        <w:rPr>
          <w:rFonts w:hint="eastAsia" w:ascii="黑体" w:hAnsi="黑体" w:eastAsia="黑体" w:cs="黑体"/>
          <w:sz w:val="32"/>
          <w:szCs w:val="32"/>
        </w:rPr>
        <w:t>主要职能</w:t>
      </w:r>
    </w:p>
    <w:p>
      <w:pPr>
        <w:pStyle w:val="8"/>
        <w:numPr>
          <w:ilvl w:val="0"/>
          <w:numId w:val="2"/>
        </w:numPr>
        <w:ind w:firstLineChars="0"/>
        <w:jc w:val="left"/>
        <w:rPr>
          <w:rFonts w:hint="eastAsia" w:ascii="黑体" w:hAnsi="黑体" w:eastAsia="黑体" w:cs="黑体"/>
          <w:sz w:val="32"/>
          <w:szCs w:val="32"/>
        </w:rPr>
      </w:pPr>
      <w:r>
        <w:rPr>
          <w:rFonts w:hint="eastAsia" w:ascii="黑体" w:hAnsi="黑体" w:eastAsia="黑体" w:cs="黑体"/>
          <w:sz w:val="32"/>
          <w:szCs w:val="32"/>
        </w:rPr>
        <w:t>部门预算单位构成</w:t>
      </w:r>
    </w:p>
    <w:p>
      <w:pPr>
        <w:pStyle w:val="8"/>
        <w:numPr>
          <w:ilvl w:val="0"/>
          <w:numId w:val="1"/>
        </w:numPr>
        <w:ind w:firstLineChars="0"/>
        <w:jc w:val="left"/>
        <w:rPr>
          <w:rFonts w:ascii="黑体" w:hAnsi="黑体" w:eastAsia="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白沙黎族自治县政协办公室</w:t>
      </w:r>
      <w:r>
        <w:rPr>
          <w:rFonts w:hint="eastAsia" w:ascii="黑体" w:hAnsi="黑体" w:eastAsia="黑体" w:cs="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预算表</w:t>
      </w:r>
    </w:p>
    <w:p>
      <w:pPr>
        <w:pStyle w:val="8"/>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财政拨款收支总表</w:t>
      </w:r>
    </w:p>
    <w:p>
      <w:pPr>
        <w:pStyle w:val="8"/>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一般公共预算支出表</w:t>
      </w:r>
    </w:p>
    <w:p>
      <w:pPr>
        <w:pStyle w:val="8"/>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一般公共预算基本支出表</w:t>
      </w:r>
    </w:p>
    <w:p>
      <w:pPr>
        <w:pStyle w:val="8"/>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白沙黎族自治县政协办公室</w:t>
      </w:r>
      <w:r>
        <w:rPr>
          <w:rFonts w:hint="eastAsia" w:ascii="黑体" w:hAnsi="黑体" w:eastAsia="黑体" w:cs="黑体"/>
          <w:sz w:val="32"/>
          <w:szCs w:val="32"/>
          <w:lang w:val="en-US" w:eastAsia="zh-CN"/>
        </w:rPr>
        <w:t>2024</w:t>
      </w:r>
      <w:r>
        <w:rPr>
          <w:rFonts w:hint="eastAsia" w:ascii="黑体" w:hAnsi="黑体" w:eastAsia="黑体"/>
          <w:sz w:val="32"/>
          <w:szCs w:val="32"/>
        </w:rPr>
        <w:t>年部门预算情况说明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rPr>
          <w:rFonts w:ascii="仿宋_GB2312" w:hAnsi="仿宋_GB2312" w:eastAsia="仿宋_GB2312" w:cs="仿宋_GB2312"/>
          <w:sz w:val="32"/>
          <w:szCs w:val="32"/>
        </w:rPr>
      </w:pPr>
      <w:r>
        <w:rPr>
          <w:rFonts w:hint="eastAsia" w:ascii="黑体" w:hAnsi="黑体" w:eastAsia="黑体"/>
          <w:sz w:val="32"/>
          <w:szCs w:val="32"/>
        </w:rPr>
        <w:br w:type="page"/>
      </w: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白沙黎族自治县政协办公室</w:t>
      </w:r>
      <w:r>
        <w:rPr>
          <w:rFonts w:hint="eastAsia" w:ascii="黑体" w:hAnsi="黑体" w:eastAsia="黑体"/>
          <w:sz w:val="32"/>
          <w:szCs w:val="32"/>
        </w:rPr>
        <w:t>概况</w:t>
      </w: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政协白沙黎族自治县委员会是人民政协的县级地方组织，主要职能是政治协商、民主监督、参政议政。</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1.依照中国人民政治协商会议章程开展工作。</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2.坚持中国共产党领导，坚持人民政协性质定位，坚持大团结大联合，坚持发扬社会主义民主。</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本县的经济建设、政治建设、文化建设、社会建设、生态文明建设中的重要问题,在决策之前和决策实施之中进行协商。可根据中国共产党、人民代表大会常务委员会、人民政府民主党派、人民团体的提议，举行有各党派、团体的负责人和各族各界人士的代表参加的会议，进行协商，亦可建议上列单位将有关重要问题提交协商。</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国家宪法、法律和法规的实施，重大方针政策、重大改革举措、重要决策部署的贯彻执行情况，涉及人民群众切身利益的实际问题解决落实情况，国家机关及其工作人员的工作等，通过提出意见、批评、建议的方式进行的协商式监督。</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政治、经济、文化、社会生活和生态环境等方面的重要问题以及人民群众普遍关心的问题，开展调查研究，反映社情民意，进行协商讨论。通过调研报告、提案、建议案或其他形式，向中国共产党和国家机关提出意见和建议。</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6.制定年度协商计划。专题议政性常务委员会会议议题专题协商会议题及其他协商形式的重要议题，应列入年度协商计划。综合运用各种形式完善协商议政格局，做到协商议题和协商形式相匹配。</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坚持发展科学、繁荣文化的百花齐放、百家争鸣的方针，密切联系国家机关和其他有关组织，在政治、法治、经济、教育、科学技术、文化艺术、新闻出版、医药卫生、体育、环境等方面开展调查研究活动，广开言路，广开才路，充分发挥委员的专长和作用。推动和协助社会力量兴办各种有利于中国特色社会主义建设的事业。</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8.密切联系各方面人士，反映他们及其所联系的群众的意见和要求，对国家机关和国家工作人员的工作提出建议和批评，促进国家机关和国家工作人员改进工作，提高工作效率。</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9.组织委员视察、考察和调查，了解情况，就各项事业和群众生活的重要问题进行研究，通过建议案、提案、社情民意信息和其他形式向国家机关和其他有关组织提出建议和批评。</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推动委员自觉学习马克思列宁主义、毛泽东思想、邓小平理论、“三个代表”重要思想、科学发展观、习近平新时代中国特色社会主义思想，组织学习时事政治，学习交流业务和科学技术知识，增强政治把握能力、调查研究能力、联系群众能力、合作共事能力。</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11.宣传和参与贯彻执行国家关于统一祖国的方针政策，积极开展同台湾同胞和各界人士的联系，坚决反对一切分裂国家的活动，促进祖国统一大业的实现。</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12.宣传和协助贯彻执行国家的人才强国战略和知识分子政策，尊重劳动、尊重知识、尊重人才、尊重创造，以利于充分发挥各类人才和知识分子在社会主义现代化建设中的作用。</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13.宣传和协助贯彻执行国家的民族政策，反映少数民族的意见和要求，促进发展民族地区的经济、文化、社会和生态保护事业，维护少数民族的合法权利和利益，坚持和完善民族区域自治制度。</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宣传和协助贯彻执行国家的宗教信仰自由政策，支持政府依法管理宗教事务，坚持独立自主自办的原则，积极引导宗教与社会主义社会相适应，坚持我国宗教的中国化方向，团结宗教界爱国人士和宗教信仰者为祖国的建设和统一贡献力量。</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15.宣传和协助贯彻执行国家的侨务政策，加强同归侨、侨眷和海外侨胞的联系和团结，鼓励他们为祖国的建设事业和统一祖国的大业作出贡献。</w:t>
      </w:r>
    </w:p>
    <w:p>
      <w:pPr>
        <w:pStyle w:val="5"/>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16.根据统一战线组织的特点进行关于中国近代以来文史资料的征集、研究和出版工作。</w:t>
      </w:r>
    </w:p>
    <w:p>
      <w:pPr>
        <w:pStyle w:val="5"/>
        <w:numPr>
          <w:ilvl w:val="0"/>
          <w:numId w:val="0"/>
        </w:numPr>
        <w:ind w:firstLine="640" w:firstLineChars="200"/>
        <w:rPr>
          <w:rFonts w:ascii="仿宋_GB2312" w:hAnsi="黑体" w:eastAsia="仿宋_GB2312" w:cs="仿宋_GB2312"/>
          <w:sz w:val="32"/>
          <w:szCs w:val="32"/>
        </w:rPr>
      </w:pPr>
      <w:r>
        <w:rPr>
          <w:rFonts w:hint="eastAsia" w:ascii="仿宋_GB2312" w:hAnsi="仿宋_GB2312" w:eastAsia="仿宋_GB2312" w:cs="仿宋_GB2312"/>
          <w:sz w:val="32"/>
          <w:szCs w:val="32"/>
          <w:lang w:val="en-US" w:eastAsia="zh-CN"/>
        </w:rPr>
        <w:t>17.完成其他工作任务。</w:t>
      </w: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numPr>
          <w:ilvl w:val="0"/>
          <w:numId w:val="0"/>
        </w:numPr>
        <w:wordWrap/>
        <w:adjustRightInd/>
        <w:snapToGrid w:val="0"/>
        <w:spacing w:line="360" w:lineRule="auto"/>
        <w:ind w:right="0" w:firstLine="640" w:firstLineChars="200"/>
        <w:jc w:val="both"/>
        <w:textAlignment w:val="auto"/>
        <w:outlineLvl w:val="9"/>
        <w:rPr>
          <w:rFonts w:hint="eastAsia" w:ascii="仿宋_GB2312" w:hAnsi="ˎ̥" w:eastAsia="仿宋_GB2312" w:cs="仿宋_GB2312"/>
          <w:sz w:val="32"/>
          <w:szCs w:val="32"/>
          <w:lang w:val="en-US" w:eastAsia="zh-CN"/>
        </w:rPr>
      </w:pPr>
      <w:r>
        <w:rPr>
          <w:rFonts w:hint="eastAsia" w:ascii="仿宋" w:hAnsi="仿宋" w:eastAsia="仿宋" w:cs="仿宋"/>
          <w:sz w:val="32"/>
          <w:szCs w:val="32"/>
          <w:lang w:eastAsia="zh-CN"/>
        </w:rPr>
        <w:t>纳入白沙县政协（部门）2024年部门预算编制范围的只有白沙县政协办本级1家预算单位，行政编制12个，事业编3个，工勤编制2个。</w:t>
      </w:r>
    </w:p>
    <w:p>
      <w:pPr>
        <w:jc w:val="center"/>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lang w:eastAsia="zh-CN"/>
        </w:rPr>
        <w:t>白沙黎族自治县政协办公室</w:t>
      </w:r>
      <w:r>
        <w:rPr>
          <w:rFonts w:hint="eastAsia" w:ascii="黑体" w:hAnsi="黑体" w:eastAsia="黑体" w:cs="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预算表</w:t>
      </w: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白沙黎族自治县政协办公室</w:t>
      </w:r>
      <w:r>
        <w:rPr>
          <w:rFonts w:hint="eastAsia" w:ascii="黑体" w:hAnsi="黑体" w:eastAsia="黑体" w:cs="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白沙黎族自治县政协办公室</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 w:hAnsi="仿宋" w:eastAsia="仿宋" w:cs="仿宋"/>
          <w:sz w:val="32"/>
          <w:szCs w:val="32"/>
          <w:lang w:eastAsia="zh-CN"/>
        </w:rPr>
        <w:t>白沙黎族自治县政协办公室</w:t>
      </w:r>
      <w:r>
        <w:rPr>
          <w:rFonts w:hint="eastAsia" w:ascii="仿宋" w:hAnsi="仿宋" w:eastAsia="仿宋" w:cs="仿宋"/>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640.51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640.51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640.51</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640.51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434.23</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55.03</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66.93</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33.84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,结转下年0万元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白沙黎族自治县政协办公室</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 w:hAnsi="仿宋" w:eastAsia="仿宋" w:cs="仿宋"/>
          <w:sz w:val="32"/>
          <w:szCs w:val="32"/>
          <w:lang w:eastAsia="zh-CN"/>
        </w:rPr>
        <w:t>白沙黎族自治县政协办公室</w:t>
      </w:r>
      <w:r>
        <w:rPr>
          <w:rFonts w:hint="eastAsia" w:ascii="仿宋" w:hAnsi="仿宋" w:eastAsia="仿宋" w:cs="仿宋"/>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640.51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47.4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一般行政管理事务支出增加</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434.23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67.79</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55.03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8.59</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66.93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10.45</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33.84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5.28</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auto"/>
          <w:sz w:val="32"/>
          <w:szCs w:val="32"/>
        </w:rPr>
      </w:pPr>
      <w:r>
        <w:rPr>
          <w:rFonts w:ascii="仿宋_GB2312" w:hAnsi="黑体" w:eastAsia="仿宋_GB2312" w:cs="仿宋_GB2312"/>
          <w:color w:val="auto"/>
          <w:sz w:val="32"/>
          <w:szCs w:val="32"/>
        </w:rPr>
        <w:t>1.</w:t>
      </w:r>
      <w:r>
        <w:rPr>
          <w:rFonts w:hint="eastAsia" w:ascii="仿宋_GB2312" w:hAnsi="黑体" w:eastAsia="仿宋_GB2312" w:cs="仿宋_GB2312"/>
          <w:color w:val="auto"/>
          <w:sz w:val="32"/>
          <w:szCs w:val="32"/>
        </w:rPr>
        <w:t>一般公共服务（类）政协事务（款）行政运行（项）</w:t>
      </w:r>
      <w:r>
        <w:rPr>
          <w:rFonts w:hint="eastAsia" w:ascii="仿宋_GB2312" w:hAnsi="黑体" w:eastAsia="仿宋_GB2312" w:cs="仿宋_GB2312"/>
          <w:color w:val="auto"/>
          <w:sz w:val="32"/>
          <w:szCs w:val="32"/>
          <w:lang w:eastAsia="zh-CN"/>
        </w:rPr>
        <w:t>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lang w:eastAsia="zh-CN"/>
        </w:rPr>
        <w:t>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330.11</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18.67</w:t>
      </w:r>
      <w:r>
        <w:rPr>
          <w:rFonts w:hint="eastAsia" w:ascii="仿宋_GB2312" w:hAnsi="黑体" w:eastAsia="仿宋_GB2312"/>
          <w:color w:val="auto"/>
          <w:sz w:val="32"/>
          <w:szCs w:val="32"/>
        </w:rPr>
        <w:t>万元，主要原因是人员</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rPr>
        <w:t>公用经费</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bookmarkStart w:id="0" w:name="_Hlk69509583"/>
      <w:r>
        <w:rPr>
          <w:rFonts w:ascii="仿宋_GB2312" w:hAnsi="黑体" w:eastAsia="仿宋_GB2312"/>
          <w:color w:val="auto"/>
          <w:sz w:val="32"/>
          <w:szCs w:val="32"/>
        </w:rPr>
        <w:t>2.</w:t>
      </w:r>
      <w:r>
        <w:rPr>
          <w:rFonts w:hint="eastAsia" w:ascii="仿宋_GB2312" w:hAnsi="黑体" w:eastAsia="仿宋_GB2312" w:cs="仿宋_GB2312"/>
          <w:color w:val="auto"/>
          <w:sz w:val="32"/>
          <w:szCs w:val="32"/>
        </w:rPr>
        <w:t>一般公共服务（类）政协事务（款）</w:t>
      </w:r>
      <w:r>
        <w:rPr>
          <w:rFonts w:hint="eastAsia" w:ascii="仿宋_GB2312" w:hAnsi="黑体" w:eastAsia="仿宋_GB2312" w:cs="仿宋_GB2312"/>
          <w:color w:val="auto"/>
          <w:sz w:val="32"/>
          <w:szCs w:val="32"/>
          <w:lang w:eastAsia="zh-CN"/>
        </w:rPr>
        <w:t>一般行政管理事务</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eastAsia="zh-CN"/>
        </w:rPr>
        <w:t>2024年</w:t>
      </w:r>
      <w:r>
        <w:rPr>
          <w:rFonts w:hint="eastAsia" w:ascii="仿宋_GB2312" w:hAnsi="黑体" w:eastAsia="仿宋_GB2312"/>
          <w:color w:val="auto"/>
          <w:sz w:val="32"/>
          <w:szCs w:val="32"/>
        </w:rPr>
        <w:t>预算数为</w:t>
      </w:r>
      <w:r>
        <w:rPr>
          <w:rFonts w:hint="eastAsia" w:ascii="仿宋_GB2312" w:hAnsi="黑体" w:eastAsia="仿宋_GB2312" w:cs="仿宋_GB2312"/>
          <w:color w:val="auto"/>
          <w:sz w:val="32"/>
          <w:szCs w:val="32"/>
          <w:lang w:val="en-US" w:eastAsia="zh-CN"/>
        </w:rPr>
        <w:t>104.12</w:t>
      </w:r>
      <w:r>
        <w:rPr>
          <w:rFonts w:hint="eastAsia" w:ascii="仿宋_GB2312" w:hAnsi="黑体" w:eastAsia="仿宋_GB2312"/>
          <w:color w:val="auto"/>
          <w:sz w:val="32"/>
          <w:szCs w:val="32"/>
        </w:rPr>
        <w:t>万元，比上年预算数增加</w:t>
      </w:r>
      <w:r>
        <w:rPr>
          <w:rFonts w:hint="eastAsia" w:ascii="仿宋_GB2312" w:hAnsi="黑体" w:eastAsia="仿宋_GB2312"/>
          <w:color w:val="auto"/>
          <w:sz w:val="32"/>
          <w:szCs w:val="32"/>
          <w:lang w:val="en-US" w:eastAsia="zh-CN"/>
        </w:rPr>
        <w:t>49.6万</w:t>
      </w:r>
      <w:r>
        <w:rPr>
          <w:rFonts w:hint="eastAsia" w:ascii="仿宋_GB2312" w:hAnsi="黑体" w:eastAsia="仿宋_GB2312"/>
          <w:color w:val="auto"/>
          <w:sz w:val="32"/>
          <w:szCs w:val="32"/>
        </w:rPr>
        <w:t>元，主要原因是按照工作内容</w:t>
      </w:r>
      <w:r>
        <w:rPr>
          <w:rFonts w:hint="eastAsia" w:ascii="仿宋_GB2312" w:hAnsi="黑体" w:eastAsia="仿宋_GB2312"/>
          <w:color w:val="auto"/>
          <w:sz w:val="32"/>
          <w:szCs w:val="32"/>
          <w:lang w:eastAsia="zh-CN"/>
        </w:rPr>
        <w:t>对分类</w:t>
      </w:r>
      <w:r>
        <w:rPr>
          <w:rFonts w:hint="eastAsia" w:ascii="仿宋_GB2312" w:hAnsi="黑体" w:eastAsia="仿宋_GB2312"/>
          <w:color w:val="auto"/>
          <w:sz w:val="32"/>
          <w:szCs w:val="32"/>
        </w:rPr>
        <w:t>进行</w:t>
      </w:r>
      <w:r>
        <w:rPr>
          <w:rFonts w:hint="eastAsia" w:ascii="仿宋_GB2312" w:hAnsi="黑体" w:eastAsia="仿宋_GB2312"/>
          <w:color w:val="auto"/>
          <w:sz w:val="32"/>
          <w:szCs w:val="32"/>
          <w:lang w:eastAsia="zh-CN"/>
        </w:rPr>
        <w:t>调整</w:t>
      </w:r>
      <w:r>
        <w:rPr>
          <w:rFonts w:hint="eastAsia" w:ascii="仿宋_GB2312" w:hAnsi="黑体" w:eastAsia="仿宋_GB2312"/>
          <w:color w:val="auto"/>
          <w:sz w:val="32"/>
          <w:szCs w:val="32"/>
        </w:rPr>
        <w:t>。</w:t>
      </w:r>
    </w:p>
    <w:bookmarkEnd w:id="0"/>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lang w:eastAsia="zh-CN"/>
        </w:rPr>
        <w:t>教育支出</w:t>
      </w:r>
      <w:r>
        <w:rPr>
          <w:rFonts w:hint="eastAsia" w:ascii="仿宋_GB2312" w:hAnsi="黑体" w:eastAsia="仿宋_GB2312"/>
          <w:color w:val="auto"/>
          <w:sz w:val="32"/>
          <w:szCs w:val="32"/>
        </w:rPr>
        <w:t>（类）进修及培训（款）培训支出（项）</w:t>
      </w:r>
      <w:r>
        <w:rPr>
          <w:rFonts w:hint="eastAsia" w:ascii="仿宋_GB2312" w:hAnsi="黑体" w:eastAsia="仿宋_GB2312"/>
          <w:color w:val="auto"/>
          <w:sz w:val="32"/>
          <w:szCs w:val="32"/>
          <w:lang w:eastAsia="zh-CN"/>
        </w:rPr>
        <w:t>2024年</w:t>
      </w:r>
      <w:r>
        <w:rPr>
          <w:rFonts w:hint="eastAsia" w:ascii="仿宋_GB2312" w:hAnsi="黑体" w:eastAsia="仿宋_GB2312"/>
          <w:color w:val="auto"/>
          <w:sz w:val="32"/>
          <w:szCs w:val="32"/>
        </w:rPr>
        <w:t>预算数为</w:t>
      </w:r>
      <w:r>
        <w:rPr>
          <w:rFonts w:hint="eastAsia" w:ascii="仿宋_GB2312" w:hAnsi="黑体" w:eastAsia="仿宋_GB2312"/>
          <w:color w:val="auto"/>
          <w:sz w:val="32"/>
          <w:szCs w:val="32"/>
          <w:lang w:val="en-US" w:eastAsia="zh-CN"/>
        </w:rPr>
        <w:t>50.48</w:t>
      </w:r>
      <w:r>
        <w:rPr>
          <w:rFonts w:hint="eastAsia" w:ascii="仿宋_GB2312" w:hAnsi="黑体" w:eastAsia="仿宋_GB2312"/>
          <w:color w:val="auto"/>
          <w:sz w:val="32"/>
          <w:szCs w:val="32"/>
        </w:rPr>
        <w:t>万元，比上年预算数增加</w:t>
      </w:r>
      <w:r>
        <w:rPr>
          <w:rFonts w:hint="eastAsia" w:ascii="仿宋_GB2312" w:hAnsi="黑体" w:eastAsia="仿宋_GB2312"/>
          <w:color w:val="auto"/>
          <w:sz w:val="32"/>
          <w:szCs w:val="32"/>
          <w:lang w:val="en-US" w:eastAsia="zh-CN"/>
        </w:rPr>
        <w:t>28.43</w:t>
      </w:r>
      <w:r>
        <w:rPr>
          <w:rFonts w:hint="eastAsia" w:ascii="仿宋_GB2312" w:hAnsi="黑体" w:eastAsia="仿宋_GB2312"/>
          <w:color w:val="auto"/>
          <w:sz w:val="32"/>
          <w:szCs w:val="32"/>
        </w:rPr>
        <w:t>万元，主要原因是</w:t>
      </w:r>
      <w:r>
        <w:rPr>
          <w:rFonts w:hint="eastAsia" w:ascii="仿宋_GB2312" w:hAnsi="黑体" w:eastAsia="仿宋_GB2312"/>
          <w:color w:val="auto"/>
          <w:sz w:val="32"/>
          <w:szCs w:val="32"/>
          <w:lang w:eastAsia="zh-CN"/>
        </w:rPr>
        <w:t>培训地点较远，交通费增加</w:t>
      </w:r>
      <w:r>
        <w:rPr>
          <w:rFonts w:hint="eastAsia" w:ascii="仿宋_GB2312" w:hAnsi="黑体" w:eastAsia="仿宋_GB2312"/>
          <w:color w:val="auto"/>
          <w:sz w:val="32"/>
          <w:szCs w:val="32"/>
        </w:rPr>
        <w:t>。</w:t>
      </w:r>
    </w:p>
    <w:p>
      <w:pPr>
        <w:ind w:firstLine="640" w:firstLineChars="200"/>
        <w:rPr>
          <w:rFonts w:ascii="仿宋_GB2312" w:hAnsi="黑体" w:eastAsia="仿宋_GB2312" w:cs="仿宋_GB2312"/>
          <w:color w:val="auto"/>
          <w:sz w:val="32"/>
          <w:szCs w:val="32"/>
        </w:rPr>
      </w:pP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社会保障和就业支出（类）行政事业单位</w:t>
      </w:r>
      <w:r>
        <w:rPr>
          <w:rFonts w:hint="eastAsia" w:ascii="仿宋_GB2312" w:hAnsi="黑体" w:eastAsia="仿宋_GB2312" w:cs="仿宋_GB2312"/>
          <w:color w:val="auto"/>
          <w:sz w:val="32"/>
          <w:szCs w:val="32"/>
          <w:lang w:eastAsia="zh-CN"/>
        </w:rPr>
        <w:t>养老支出</w:t>
      </w:r>
      <w:r>
        <w:rPr>
          <w:rFonts w:hint="eastAsia" w:ascii="仿宋_GB2312" w:hAnsi="黑体" w:eastAsia="仿宋_GB2312" w:cs="仿宋_GB2312"/>
          <w:color w:val="auto"/>
          <w:sz w:val="32"/>
          <w:szCs w:val="32"/>
        </w:rPr>
        <w:t>（款）机关事业单位基本养老保险缴费支出（项）</w:t>
      </w:r>
      <w:r>
        <w:rPr>
          <w:rFonts w:hint="eastAsia" w:ascii="仿宋_GB2312" w:hAnsi="黑体" w:eastAsia="仿宋_GB2312" w:cs="仿宋_GB2312"/>
          <w:color w:val="auto"/>
          <w:sz w:val="32"/>
          <w:szCs w:val="32"/>
          <w:lang w:eastAsia="zh-CN"/>
        </w:rPr>
        <w:t>2024年</w:t>
      </w:r>
      <w:r>
        <w:rPr>
          <w:rFonts w:hint="eastAsia" w:ascii="仿宋_GB2312" w:hAnsi="黑体" w:eastAsia="仿宋_GB2312" w:cs="仿宋_GB2312"/>
          <w:color w:val="auto"/>
          <w:sz w:val="32"/>
          <w:szCs w:val="32"/>
        </w:rPr>
        <w:t>预算数为</w:t>
      </w:r>
      <w:r>
        <w:rPr>
          <w:rFonts w:hint="eastAsia" w:ascii="仿宋_GB2312" w:hAnsi="黑体" w:eastAsia="仿宋_GB2312" w:cs="仿宋_GB2312"/>
          <w:color w:val="auto"/>
          <w:sz w:val="32"/>
          <w:szCs w:val="32"/>
          <w:lang w:val="en-US" w:eastAsia="zh-CN"/>
        </w:rPr>
        <w:t>34.98</w:t>
      </w:r>
      <w:r>
        <w:rPr>
          <w:rFonts w:hint="eastAsia" w:ascii="仿宋_GB2312" w:hAnsi="黑体" w:eastAsia="仿宋_GB2312" w:cs="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1.57</w:t>
      </w:r>
      <w:r>
        <w:rPr>
          <w:rFonts w:hint="eastAsia" w:ascii="仿宋_GB2312" w:hAnsi="黑体" w:eastAsia="仿宋_GB2312" w:cs="仿宋_GB2312"/>
          <w:color w:val="auto"/>
          <w:sz w:val="32"/>
          <w:szCs w:val="32"/>
        </w:rPr>
        <w:t>万元，主要</w:t>
      </w:r>
      <w:r>
        <w:rPr>
          <w:rFonts w:hint="eastAsia" w:ascii="仿宋_GB2312" w:hAnsi="黑体" w:eastAsia="仿宋_GB2312"/>
          <w:color w:val="auto"/>
          <w:sz w:val="32"/>
          <w:szCs w:val="32"/>
        </w:rPr>
        <w:t>原因</w:t>
      </w:r>
      <w:r>
        <w:rPr>
          <w:rFonts w:hint="eastAsia" w:ascii="仿宋_GB2312" w:hAnsi="黑体" w:eastAsia="仿宋_GB2312" w:cs="仿宋_GB2312"/>
          <w:color w:val="auto"/>
          <w:sz w:val="32"/>
          <w:szCs w:val="32"/>
        </w:rPr>
        <w:t>是</w:t>
      </w:r>
      <w:r>
        <w:rPr>
          <w:rFonts w:hint="eastAsia" w:ascii="仿宋_GB2312" w:hAnsi="黑体" w:eastAsia="仿宋_GB2312" w:cs="仿宋_GB2312"/>
          <w:color w:val="auto"/>
          <w:sz w:val="32"/>
          <w:szCs w:val="32"/>
          <w:lang w:eastAsia="zh-CN"/>
        </w:rPr>
        <w:t>人员减少</w:t>
      </w:r>
      <w:r>
        <w:rPr>
          <w:rFonts w:hint="eastAsia" w:ascii="仿宋_GB2312" w:hAnsi="黑体" w:eastAsia="仿宋_GB2312" w:cs="仿宋_GB2312"/>
          <w:color w:val="auto"/>
          <w:sz w:val="32"/>
          <w:szCs w:val="32"/>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rPr>
        <w:t>.社会保障和就业支出（类）行政事业单位</w:t>
      </w:r>
      <w:r>
        <w:rPr>
          <w:rFonts w:hint="eastAsia" w:ascii="仿宋_GB2312" w:hAnsi="黑体" w:eastAsia="仿宋_GB2312"/>
          <w:color w:val="auto"/>
          <w:sz w:val="32"/>
          <w:szCs w:val="32"/>
          <w:lang w:eastAsia="zh-CN"/>
        </w:rPr>
        <w:t>养老支出</w:t>
      </w:r>
      <w:r>
        <w:rPr>
          <w:rFonts w:hint="eastAsia" w:ascii="仿宋_GB2312" w:hAnsi="黑体" w:eastAsia="仿宋_GB2312"/>
          <w:color w:val="auto"/>
          <w:sz w:val="32"/>
          <w:szCs w:val="32"/>
        </w:rPr>
        <w:t>（款）机关事业单位职业年金缴费支出（项）</w:t>
      </w:r>
      <w:r>
        <w:rPr>
          <w:rFonts w:hint="eastAsia" w:ascii="仿宋_GB2312" w:hAnsi="黑体" w:eastAsia="仿宋_GB2312"/>
          <w:color w:val="auto"/>
          <w:sz w:val="32"/>
          <w:szCs w:val="32"/>
          <w:lang w:eastAsia="zh-CN"/>
        </w:rPr>
        <w:t>2024年</w:t>
      </w:r>
      <w:r>
        <w:rPr>
          <w:rFonts w:hint="eastAsia" w:ascii="仿宋_GB2312" w:hAnsi="黑体" w:eastAsia="仿宋_GB2312"/>
          <w:color w:val="auto"/>
          <w:sz w:val="32"/>
          <w:szCs w:val="32"/>
        </w:rPr>
        <w:t>预算数为</w:t>
      </w:r>
      <w:r>
        <w:rPr>
          <w:rFonts w:hint="eastAsia" w:ascii="仿宋_GB2312" w:hAnsi="黑体" w:eastAsia="仿宋_GB2312"/>
          <w:color w:val="auto"/>
          <w:sz w:val="32"/>
          <w:szCs w:val="32"/>
          <w:lang w:val="en-US" w:eastAsia="zh-CN"/>
        </w:rPr>
        <w:t>19.55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1.57</w:t>
      </w:r>
      <w:r>
        <w:rPr>
          <w:rFonts w:hint="eastAsia" w:ascii="仿宋_GB2312" w:hAnsi="黑体" w:eastAsia="仿宋_GB2312"/>
          <w:color w:val="auto"/>
          <w:sz w:val="32"/>
          <w:szCs w:val="32"/>
        </w:rPr>
        <w:t>万元，主要原因是</w:t>
      </w:r>
      <w:r>
        <w:rPr>
          <w:rFonts w:hint="eastAsia" w:ascii="仿宋_GB2312" w:hAnsi="黑体" w:eastAsia="仿宋_GB2312" w:cs="仿宋_GB2312"/>
          <w:color w:val="auto"/>
          <w:sz w:val="32"/>
          <w:szCs w:val="32"/>
          <w:lang w:eastAsia="zh-CN"/>
        </w:rPr>
        <w:t>人员减少</w:t>
      </w:r>
      <w:r>
        <w:rPr>
          <w:rFonts w:hint="eastAsia" w:ascii="仿宋_GB2312" w:hAnsi="黑体" w:eastAsia="仿宋_GB2312"/>
          <w:color w:val="auto"/>
          <w:sz w:val="32"/>
          <w:szCs w:val="32"/>
        </w:rPr>
        <w:t>。</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6</w:t>
      </w:r>
      <w:r>
        <w:rPr>
          <w:rFonts w:hint="eastAsia" w:ascii="仿宋_GB2312" w:hAnsi="黑体" w:eastAsia="仿宋_GB2312" w:cs="仿宋_GB2312"/>
          <w:color w:val="auto"/>
          <w:sz w:val="32"/>
          <w:szCs w:val="32"/>
        </w:rPr>
        <w:t>.社会保障和就业支出（类）抚恤（款）其他优抚支出（项）0.</w:t>
      </w: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rPr>
        <w:t>万元，</w:t>
      </w:r>
      <w:r>
        <w:rPr>
          <w:rFonts w:hint="eastAsia" w:ascii="仿宋_GB2312" w:hAnsi="黑体" w:eastAsia="仿宋_GB2312" w:cs="仿宋_GB2312"/>
          <w:color w:val="auto"/>
          <w:sz w:val="32"/>
          <w:szCs w:val="32"/>
          <w:lang w:eastAsia="zh-CN"/>
        </w:rPr>
        <w:t>与上年预算数持平</w:t>
      </w:r>
      <w:r>
        <w:rPr>
          <w:rFonts w:hint="eastAsia" w:ascii="仿宋_GB2312" w:hAnsi="黑体" w:eastAsia="仿宋_GB2312" w:cs="仿宋_GB2312"/>
          <w:color w:val="auto"/>
          <w:sz w:val="32"/>
          <w:szCs w:val="32"/>
        </w:rPr>
        <w:t>。</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7</w:t>
      </w:r>
      <w:r>
        <w:rPr>
          <w:rFonts w:hint="eastAsia" w:ascii="仿宋_GB2312" w:hAnsi="黑体" w:eastAsia="仿宋_GB2312" w:cs="仿宋_GB2312"/>
          <w:color w:val="auto"/>
          <w:sz w:val="32"/>
          <w:szCs w:val="32"/>
        </w:rPr>
        <w:t>.卫生健康支出（类）行政事业单位医疗（款）行政单位医疗（项）</w:t>
      </w:r>
      <w:r>
        <w:rPr>
          <w:rFonts w:hint="eastAsia" w:ascii="仿宋_GB2312" w:hAnsi="黑体" w:eastAsia="仿宋_GB2312" w:cs="仿宋_GB2312"/>
          <w:color w:val="auto"/>
          <w:sz w:val="32"/>
          <w:szCs w:val="32"/>
          <w:lang w:eastAsia="zh-CN"/>
        </w:rPr>
        <w:t>2024年</w:t>
      </w:r>
      <w:r>
        <w:rPr>
          <w:rFonts w:hint="eastAsia" w:ascii="仿宋_GB2312" w:hAnsi="黑体" w:eastAsia="仿宋_GB2312"/>
          <w:color w:val="auto"/>
          <w:sz w:val="32"/>
          <w:szCs w:val="32"/>
        </w:rPr>
        <w:t>预算数为</w:t>
      </w:r>
      <w:r>
        <w:rPr>
          <w:rFonts w:hint="eastAsia" w:ascii="仿宋_GB2312" w:hAnsi="黑体" w:eastAsia="仿宋_GB2312"/>
          <w:color w:val="auto"/>
          <w:sz w:val="32"/>
          <w:szCs w:val="32"/>
          <w:lang w:val="en-US" w:eastAsia="zh-CN"/>
        </w:rPr>
        <w:t>18.58</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0.84</w:t>
      </w:r>
      <w:r>
        <w:rPr>
          <w:rFonts w:hint="eastAsia" w:ascii="仿宋_GB2312" w:hAnsi="黑体" w:eastAsia="仿宋_GB2312"/>
          <w:color w:val="auto"/>
          <w:sz w:val="32"/>
          <w:szCs w:val="32"/>
        </w:rPr>
        <w:t>万元，主要原因是</w:t>
      </w:r>
      <w:r>
        <w:rPr>
          <w:rFonts w:hint="eastAsia" w:ascii="仿宋_GB2312" w:hAnsi="黑体" w:eastAsia="仿宋_GB2312" w:cs="仿宋_GB2312"/>
          <w:color w:val="auto"/>
          <w:sz w:val="32"/>
          <w:szCs w:val="32"/>
          <w:lang w:eastAsia="zh-CN"/>
        </w:rPr>
        <w:t>人员减少</w:t>
      </w:r>
      <w:r>
        <w:rPr>
          <w:rFonts w:hint="eastAsia" w:ascii="仿宋_GB2312" w:hAnsi="黑体" w:eastAsia="仿宋_GB2312" w:cs="仿宋_GB2312"/>
          <w:color w:val="auto"/>
          <w:sz w:val="32"/>
          <w:szCs w:val="32"/>
        </w:rPr>
        <w:t>。</w:t>
      </w:r>
    </w:p>
    <w:p>
      <w:pPr>
        <w:ind w:firstLine="640" w:firstLineChars="200"/>
        <w:rPr>
          <w:rFonts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lang w:val="en-US" w:eastAsia="zh-CN"/>
        </w:rPr>
        <w:t>8</w:t>
      </w:r>
      <w:r>
        <w:rPr>
          <w:rFonts w:hint="eastAsia" w:ascii="仿宋_GB2312" w:hAnsi="黑体" w:eastAsia="仿宋_GB2312" w:cs="仿宋_GB2312"/>
          <w:color w:val="auto"/>
          <w:sz w:val="32"/>
          <w:szCs w:val="32"/>
        </w:rPr>
        <w:t>.卫生健康支出（类）行政事业单位医疗（款）公务员医疗补助（项）</w:t>
      </w:r>
      <w:r>
        <w:rPr>
          <w:rFonts w:hint="eastAsia" w:ascii="仿宋_GB2312" w:hAnsi="黑体" w:eastAsia="仿宋_GB2312" w:cs="仿宋_GB2312"/>
          <w:color w:val="auto"/>
          <w:sz w:val="32"/>
          <w:szCs w:val="32"/>
          <w:lang w:eastAsia="zh-CN"/>
        </w:rPr>
        <w:t>2024年</w:t>
      </w:r>
      <w:r>
        <w:rPr>
          <w:rFonts w:hint="eastAsia" w:ascii="仿宋_GB2312" w:hAnsi="黑体" w:eastAsia="仿宋_GB2312"/>
          <w:color w:val="auto"/>
          <w:sz w:val="32"/>
          <w:szCs w:val="32"/>
        </w:rPr>
        <w:t>预算数为</w:t>
      </w:r>
      <w:r>
        <w:rPr>
          <w:rFonts w:hint="eastAsia" w:ascii="仿宋_GB2312" w:hAnsi="黑体" w:eastAsia="仿宋_GB2312"/>
          <w:color w:val="auto"/>
          <w:sz w:val="32"/>
          <w:szCs w:val="32"/>
          <w:lang w:val="en-US" w:eastAsia="zh-CN"/>
        </w:rPr>
        <w:t>48.35</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9.51</w:t>
      </w:r>
      <w:r>
        <w:rPr>
          <w:rFonts w:hint="eastAsia" w:ascii="仿宋_GB2312" w:hAnsi="黑体" w:eastAsia="仿宋_GB2312"/>
          <w:color w:val="auto"/>
          <w:sz w:val="32"/>
          <w:szCs w:val="32"/>
        </w:rPr>
        <w:t>万元</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rPr>
        <w:t>主要原因是</w:t>
      </w:r>
      <w:r>
        <w:rPr>
          <w:rFonts w:hint="eastAsia" w:ascii="仿宋_GB2312" w:hAnsi="黑体" w:eastAsia="仿宋_GB2312" w:cs="仿宋_GB2312"/>
          <w:color w:val="auto"/>
          <w:sz w:val="32"/>
          <w:szCs w:val="32"/>
          <w:lang w:eastAsia="zh-CN"/>
        </w:rPr>
        <w:t>缴费基数调整，</w:t>
      </w:r>
      <w:r>
        <w:rPr>
          <w:rFonts w:hint="eastAsia" w:ascii="仿宋_GB2312" w:hAnsi="黑体" w:eastAsia="仿宋_GB2312"/>
          <w:color w:val="auto"/>
          <w:sz w:val="32"/>
          <w:szCs w:val="32"/>
          <w:lang w:eastAsia="zh-CN"/>
        </w:rPr>
        <w:t>医疗补助</w:t>
      </w:r>
      <w:r>
        <w:rPr>
          <w:rFonts w:hint="eastAsia" w:ascii="仿宋_GB2312" w:hAnsi="黑体" w:eastAsia="仿宋_GB2312"/>
          <w:color w:val="auto"/>
          <w:sz w:val="32"/>
          <w:szCs w:val="32"/>
        </w:rPr>
        <w:t>缴费</w:t>
      </w:r>
      <w:r>
        <w:rPr>
          <w:rFonts w:hint="eastAsia" w:ascii="仿宋_GB2312" w:hAnsi="黑体" w:eastAsia="仿宋_GB2312"/>
          <w:color w:val="auto"/>
          <w:sz w:val="32"/>
          <w:szCs w:val="32"/>
          <w:lang w:eastAsia="zh-CN"/>
        </w:rPr>
        <w:t>相应增加</w:t>
      </w:r>
      <w:r>
        <w:rPr>
          <w:rFonts w:hint="eastAsia" w:ascii="仿宋_GB2312" w:hAnsi="黑体" w:eastAsia="仿宋_GB2312" w:cs="仿宋_GB2312"/>
          <w:color w:val="auto"/>
          <w:sz w:val="32"/>
          <w:szCs w:val="32"/>
        </w:rPr>
        <w:t>。</w:t>
      </w:r>
    </w:p>
    <w:p>
      <w:pPr>
        <w:ind w:firstLine="640"/>
        <w:rPr>
          <w:rFonts w:hint="eastAsia" w:ascii="黑体" w:hAnsi="黑体" w:eastAsia="黑体"/>
          <w:color w:val="auto"/>
          <w:sz w:val="32"/>
          <w:szCs w:val="32"/>
        </w:rPr>
      </w:pPr>
      <w:r>
        <w:rPr>
          <w:rFonts w:hint="eastAsia" w:ascii="仿宋_GB2312" w:hAnsi="黑体" w:eastAsia="仿宋_GB2312" w:cs="仿宋_GB2312"/>
          <w:color w:val="auto"/>
          <w:sz w:val="32"/>
          <w:szCs w:val="32"/>
          <w:lang w:val="en-US" w:eastAsia="zh-CN"/>
        </w:rPr>
        <w:t>9</w:t>
      </w:r>
      <w:r>
        <w:rPr>
          <w:rFonts w:hint="eastAsia" w:ascii="仿宋_GB2312" w:hAnsi="黑体" w:eastAsia="仿宋_GB2312" w:cs="仿宋_GB2312"/>
          <w:color w:val="auto"/>
          <w:sz w:val="32"/>
          <w:szCs w:val="32"/>
        </w:rPr>
        <w:t>.住房保障支出（类）住房改革支出（款）住房公积金（项）</w:t>
      </w:r>
      <w:r>
        <w:rPr>
          <w:rFonts w:hint="eastAsia" w:ascii="仿宋_GB2312" w:hAnsi="黑体" w:eastAsia="仿宋_GB2312" w:cs="仿宋_GB2312"/>
          <w:color w:val="auto"/>
          <w:sz w:val="32"/>
          <w:szCs w:val="32"/>
          <w:lang w:eastAsia="zh-CN"/>
        </w:rPr>
        <w:t>2024年</w:t>
      </w:r>
      <w:r>
        <w:rPr>
          <w:rFonts w:hint="eastAsia" w:ascii="仿宋_GB2312" w:hAnsi="黑体" w:eastAsia="仿宋_GB2312"/>
          <w:color w:val="auto"/>
          <w:sz w:val="32"/>
          <w:szCs w:val="32"/>
        </w:rPr>
        <w:t>预算数</w:t>
      </w:r>
      <w:r>
        <w:rPr>
          <w:rFonts w:hint="eastAsia" w:ascii="仿宋_GB2312" w:hAnsi="黑体" w:eastAsia="仿宋_GB2312"/>
          <w:color w:val="auto"/>
          <w:sz w:val="32"/>
          <w:szCs w:val="32"/>
          <w:lang w:val="en-US" w:eastAsia="zh-CN"/>
        </w:rPr>
        <w:t>33.84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6.43</w:t>
      </w:r>
      <w:r>
        <w:rPr>
          <w:rFonts w:hint="eastAsia" w:ascii="仿宋_GB2312" w:hAnsi="黑体" w:eastAsia="仿宋_GB2312"/>
          <w:color w:val="auto"/>
          <w:sz w:val="32"/>
          <w:szCs w:val="32"/>
        </w:rPr>
        <w:t>万元，主要原因是</w:t>
      </w:r>
      <w:r>
        <w:rPr>
          <w:rFonts w:hint="eastAsia" w:ascii="仿宋_GB2312" w:hAnsi="黑体" w:eastAsia="仿宋_GB2312" w:cs="仿宋_GB2312"/>
          <w:color w:val="auto"/>
          <w:sz w:val="32"/>
          <w:szCs w:val="32"/>
          <w:lang w:eastAsia="zh-CN"/>
        </w:rPr>
        <w:t>缴费基数调整</w:t>
      </w:r>
      <w:r>
        <w:rPr>
          <w:rFonts w:hint="eastAsia" w:ascii="仿宋_GB2312" w:hAnsi="黑体" w:eastAsia="仿宋_GB2312" w:cs="仿宋_GB2312"/>
          <w:color w:val="auto"/>
          <w:sz w:val="32"/>
          <w:szCs w:val="32"/>
        </w:rPr>
        <w:t>，住房公积金缴费相应增加。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白沙黎族自治县政协办</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 w:hAnsi="仿宋" w:eastAsia="仿宋" w:cs="仿宋"/>
          <w:sz w:val="32"/>
          <w:szCs w:val="32"/>
          <w:lang w:eastAsia="zh-CN"/>
        </w:rPr>
        <w:t>白沙黎族自治县政协办公室</w:t>
      </w:r>
      <w:r>
        <w:rPr>
          <w:rFonts w:hint="eastAsia" w:ascii="仿宋" w:hAnsi="仿宋" w:eastAsia="仿宋" w:cs="仿宋"/>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485.91</w:t>
      </w:r>
      <w:r>
        <w:rPr>
          <w:rFonts w:hint="eastAsia" w:ascii="仿宋_GB2312" w:hAnsi="黑体" w:eastAsia="仿宋_GB2312"/>
          <w:sz w:val="32"/>
          <w:szCs w:val="32"/>
        </w:rPr>
        <w:t>万元，其中：</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447.77</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eastAsia="zh-CN"/>
        </w:rPr>
        <w:t>职业年金缴费、</w:t>
      </w:r>
      <w:r>
        <w:rPr>
          <w:rFonts w:hint="eastAsia" w:ascii="仿宋_GB2312" w:hAnsi="黑体" w:eastAsia="仿宋_GB2312"/>
          <w:sz w:val="32"/>
          <w:szCs w:val="32"/>
        </w:rPr>
        <w:t>职工基本医疗保险缴费、公务员医疗补助缴费、其他社会保障缴费、住房公积金、医疗费、</w:t>
      </w:r>
      <w:r>
        <w:rPr>
          <w:rFonts w:hint="eastAsia" w:ascii="仿宋_GB2312" w:hAnsi="黑体" w:eastAsia="仿宋_GB2312"/>
          <w:sz w:val="32"/>
          <w:szCs w:val="32"/>
          <w:lang w:eastAsia="zh-CN"/>
        </w:rPr>
        <w:t>其他工资福利支出、邮电费、其他交通费用、生活补助等。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45.86</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其他工资福利支出、办公费、印刷费、邮电费、差旅费、培训费、公务接待费、委托业务费、</w:t>
      </w:r>
      <w:r>
        <w:rPr>
          <w:rFonts w:hint="eastAsia" w:ascii="仿宋_GB2312" w:hAnsi="黑体" w:eastAsia="仿宋_GB2312"/>
          <w:sz w:val="32"/>
          <w:szCs w:val="32"/>
        </w:rPr>
        <w:t>工会经费、公务用车运行维护费</w:t>
      </w:r>
      <w:r>
        <w:rPr>
          <w:rFonts w:hint="eastAsia" w:ascii="仿宋_GB2312" w:hAnsi="黑体" w:eastAsia="仿宋_GB2312"/>
          <w:sz w:val="32"/>
          <w:szCs w:val="32"/>
          <w:lang w:eastAsia="zh-CN"/>
        </w:rPr>
        <w:t>、其他商品和服务支出、生活补助等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白沙黎族自治县政协办公室</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白沙黎族自治县政协办公室</w:t>
      </w:r>
      <w:r>
        <w:rPr>
          <w:rFonts w:hint="eastAsia" w:ascii="仿宋" w:hAnsi="仿宋" w:eastAsia="仿宋" w:cs="仿宋"/>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“三公”经费预算数为</w:t>
      </w:r>
      <w:r>
        <w:rPr>
          <w:rFonts w:hint="eastAsia" w:ascii="仿宋_GB2312" w:hAnsi="黑体" w:eastAsia="仿宋_GB2312" w:cs="仿宋_GB2312"/>
          <w:sz w:val="32"/>
          <w:szCs w:val="32"/>
          <w:lang w:val="en-US" w:eastAsia="zh-CN"/>
        </w:rPr>
        <w:t>8.1</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4.6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w:t>
      </w:r>
      <w:r>
        <w:rPr>
          <w:rFonts w:hint="eastAsia" w:ascii="Times New Roman" w:hAnsi="Times New Roman" w:eastAsia="仿宋_GB2312" w:cs="Times New Roman"/>
          <w:sz w:val="32"/>
          <w:u w:val="none"/>
          <w:shd w:val="clear" w:color="auto" w:fill="FFFFFF"/>
          <w:lang w:eastAsia="zh-CN"/>
        </w:rPr>
        <w:t>维护</w:t>
      </w:r>
      <w:r>
        <w:rPr>
          <w:rFonts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4.6</w:t>
      </w:r>
      <w:r>
        <w:rPr>
          <w:rFonts w:hint="eastAsia" w:ascii="仿宋_GB2312" w:hAnsi="黑体" w:eastAsia="仿宋_GB2312"/>
          <w:sz w:val="32"/>
          <w:szCs w:val="32"/>
          <w:u w:val="none"/>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数持平</w:t>
      </w:r>
      <w:r>
        <w:rPr>
          <w:rFonts w:ascii="Times New Roman" w:hAnsi="Times New Roman" w:eastAsia="仿宋_GB2312" w:cs="Times New Roman"/>
          <w:sz w:val="32"/>
          <w:shd w:val="clear" w:color="auto" w:fill="FFFFFF"/>
        </w:rPr>
        <w:t>。</w:t>
      </w:r>
    </w:p>
    <w:p>
      <w:pPr>
        <w:ind w:firstLine="640" w:firstLineChars="200"/>
        <w:rPr>
          <w:rFonts w:hint="eastAsia" w:ascii="Times New Roman" w:hAnsi="Times New Roman" w:eastAsia="仿宋_GB2312" w:cs="Times New Roman"/>
          <w:sz w:val="32"/>
          <w:u w:val="none"/>
          <w:shd w:val="clear" w:color="auto" w:fill="FFFFFF"/>
          <w:lang w:eastAsia="zh-CN"/>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3.5</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u w:val="none"/>
          <w:shd w:val="clear" w:color="auto" w:fill="FFFFFF"/>
          <w:lang w:eastAsia="zh-CN"/>
        </w:rPr>
        <w:t>比</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w:t>
      </w:r>
      <w:r>
        <w:rPr>
          <w:rFonts w:hint="eastAsia" w:ascii="Times New Roman" w:hAnsi="Times New Roman" w:eastAsia="仿宋_GB2312" w:cs="Times New Roman"/>
          <w:sz w:val="32"/>
          <w:u w:val="none"/>
          <w:shd w:val="clear" w:color="auto" w:fill="FFFFFF"/>
          <w:lang w:eastAsia="zh-CN"/>
        </w:rPr>
        <w:t>数减少</w:t>
      </w:r>
      <w:r>
        <w:rPr>
          <w:rFonts w:hint="eastAsia" w:ascii="仿宋_GB2312" w:hAnsi="黑体" w:eastAsia="仿宋_GB2312" w:cs="仿宋_GB2312"/>
          <w:sz w:val="32"/>
          <w:szCs w:val="32"/>
          <w:lang w:val="en-US" w:eastAsia="zh-CN"/>
        </w:rPr>
        <w:t>1.9</w:t>
      </w:r>
      <w:r>
        <w:rPr>
          <w:rFonts w:hint="eastAsia" w:ascii="Times New Roman" w:hAnsi="Times New Roman" w:eastAsia="仿宋_GB2312" w:cs="Times New Roman"/>
          <w:sz w:val="32"/>
          <w:u w:val="none"/>
          <w:shd w:val="clear" w:color="auto" w:fill="FFFFFF"/>
          <w:lang w:val="en-US" w:eastAsia="zh-CN"/>
        </w:rPr>
        <w:t>万元</w:t>
      </w:r>
      <w:r>
        <w:rPr>
          <w:rFonts w:hint="eastAsia" w:ascii="Times New Roman" w:hAnsi="Times New Roman" w:eastAsia="仿宋_GB2312" w:cs="Times New Roman"/>
          <w:sz w:val="32"/>
          <w:u w:val="none"/>
          <w:shd w:val="clear" w:color="auto" w:fill="FFFFFF"/>
          <w:lang w:eastAsia="zh-CN"/>
        </w:rPr>
        <w:t>。</w:t>
      </w:r>
    </w:p>
    <w:p>
      <w:pPr>
        <w:ind w:firstLine="640" w:firstLineChars="200"/>
        <w:rPr>
          <w:rFonts w:ascii="仿宋_GB2312" w:hAnsi="黑体" w:eastAsia="仿宋_GB2312" w:cs="Times New Roman"/>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白沙黎族自治县政协办公室</w:t>
      </w:r>
      <w:r>
        <w:rPr>
          <w:rFonts w:hint="eastAsia" w:ascii="仿宋" w:hAnsi="仿宋" w:eastAsia="仿宋" w:cs="仿宋"/>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政府性基金预算</w:t>
      </w:r>
      <w:r>
        <w:rPr>
          <w:rFonts w:hint="eastAsia" w:ascii="仿宋_GB2312" w:hAnsi="黑体" w:eastAsia="仿宋_GB2312"/>
          <w:sz w:val="32"/>
          <w:szCs w:val="32"/>
        </w:rPr>
        <w:t>“三公”经费预算数为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白沙黎族自治县政协办公室</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黑体" w:hAnsi="黑体" w:eastAsia="黑体"/>
          <w:sz w:val="32"/>
          <w:shd w:val="clear" w:color="auto" w:fill="FFFFFF"/>
        </w:rPr>
      </w:pPr>
      <w:r>
        <w:rPr>
          <w:rFonts w:hint="eastAsia" w:ascii="仿宋_GB2312" w:hAnsi="黑体" w:eastAsia="仿宋_GB2312"/>
          <w:sz w:val="32"/>
          <w:szCs w:val="32"/>
        </w:rPr>
        <w:t>本单位无政府性基金预算</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sz w:val="32"/>
          <w:szCs w:val="32"/>
          <w:lang w:eastAsia="zh-CN"/>
        </w:rPr>
      </w:pPr>
      <w:r>
        <w:rPr>
          <w:rFonts w:hint="eastAsia" w:ascii="仿宋_GB2312" w:hAnsi="黑体" w:eastAsia="仿宋_GB2312"/>
          <w:sz w:val="32"/>
          <w:szCs w:val="32"/>
        </w:rPr>
        <w:t>本单位无政府性基金预算</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本单位无政府性基金预算</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白沙黎族自治县政协办公室</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 w:hAnsi="仿宋" w:eastAsia="仿宋" w:cs="仿宋"/>
          <w:sz w:val="32"/>
          <w:szCs w:val="32"/>
        </w:rPr>
        <w:t>，</w:t>
      </w:r>
      <w:r>
        <w:rPr>
          <w:rFonts w:hint="eastAsia" w:ascii="仿宋" w:hAnsi="仿宋" w:eastAsia="仿宋" w:cs="仿宋"/>
          <w:sz w:val="32"/>
          <w:szCs w:val="32"/>
          <w:lang w:eastAsia="zh-CN"/>
        </w:rPr>
        <w:t>白沙黎族自治县政协办公室</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教育支出、</w:t>
      </w:r>
      <w:r>
        <w:rPr>
          <w:rFonts w:hint="eastAsia" w:ascii="仿宋_GB2312" w:hAnsi="黑体" w:eastAsia="仿宋_GB2312"/>
          <w:sz w:val="32"/>
          <w:szCs w:val="32"/>
        </w:rPr>
        <w:t>社会保障和就业支出、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支出、住房保障支出。</w:t>
      </w:r>
      <w:r>
        <w:rPr>
          <w:rFonts w:hint="eastAsia" w:ascii="仿宋" w:hAnsi="仿宋" w:eastAsia="仿宋" w:cs="仿宋"/>
          <w:sz w:val="32"/>
          <w:szCs w:val="32"/>
          <w:lang w:eastAsia="zh-CN"/>
        </w:rPr>
        <w:t>白沙黎族自治县政协办公室</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年</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640.51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白沙黎族自治县政协办公室</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eastAsia="zh-CN"/>
        </w:rPr>
      </w:pPr>
      <w:r>
        <w:rPr>
          <w:rFonts w:hint="eastAsia" w:ascii="仿宋" w:hAnsi="仿宋" w:eastAsia="仿宋" w:cs="仿宋"/>
          <w:sz w:val="32"/>
          <w:szCs w:val="32"/>
          <w:lang w:eastAsia="zh-CN"/>
        </w:rPr>
        <w:t>白沙黎族自治县政协办公室</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640.51</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lang w:val="en-US" w:eastAsia="zh-CN"/>
        </w:rPr>
        <w:t>640.51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olor w:val="auto"/>
          <w:sz w:val="32"/>
          <w:szCs w:val="32"/>
          <w:lang w:val="en-US" w:eastAsia="zh-CN"/>
        </w:rPr>
        <w:t>47.4</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项目支出增加。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白沙黎族自治县政协办公室</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eastAsia="zh-CN"/>
        </w:rPr>
      </w:pPr>
      <w:r>
        <w:rPr>
          <w:rFonts w:hint="eastAsia" w:ascii="仿宋" w:hAnsi="仿宋" w:eastAsia="仿宋" w:cs="仿宋"/>
          <w:sz w:val="32"/>
          <w:szCs w:val="32"/>
          <w:lang w:eastAsia="zh-CN"/>
        </w:rPr>
        <w:t>白沙黎族自治县政协办公室</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640.51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485.91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75.86</w:t>
      </w:r>
      <w:r>
        <w:rPr>
          <w:rFonts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154.6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24.14</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olor w:val="auto"/>
          <w:sz w:val="32"/>
          <w:szCs w:val="32"/>
          <w:lang w:val="en-US" w:eastAsia="zh-CN"/>
        </w:rPr>
        <w:t>47.4</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项目支出增加。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 w:hAnsi="仿宋" w:eastAsia="仿宋" w:cs="仿宋"/>
          <w:sz w:val="32"/>
          <w:szCs w:val="32"/>
          <w:lang w:eastAsia="zh-CN"/>
        </w:rPr>
        <w:t>白沙黎族自治县政协办公室</w:t>
      </w:r>
      <w:r>
        <w:rPr>
          <w:rFonts w:hint="eastAsia" w:ascii="仿宋_GB2312" w:hAnsi="黑体" w:eastAsia="仿宋_GB2312" w:cs="仿宋_GB2312"/>
          <w:sz w:val="32"/>
          <w:szCs w:val="32"/>
        </w:rPr>
        <w:t>本级运行经费预算</w:t>
      </w:r>
      <w:r>
        <w:rPr>
          <w:rFonts w:hint="eastAsia" w:ascii="仿宋_GB2312" w:hAnsi="黑体" w:eastAsia="仿宋_GB2312" w:cs="仿宋_GB2312"/>
          <w:sz w:val="32"/>
          <w:szCs w:val="32"/>
          <w:lang w:val="en-US" w:eastAsia="zh-CN"/>
        </w:rPr>
        <w:t>38.14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w:t>
      </w:r>
      <w:r>
        <w:rPr>
          <w:rFonts w:hint="eastAsia" w:ascii="仿宋" w:hAnsi="仿宋" w:eastAsia="仿宋" w:cs="仿宋"/>
          <w:sz w:val="32"/>
          <w:szCs w:val="32"/>
          <w:lang w:eastAsia="zh-CN"/>
        </w:rPr>
        <w:t>白沙黎族自治县政协办公室</w:t>
      </w:r>
      <w:r>
        <w:rPr>
          <w:rFonts w:hint="eastAsia" w:ascii="仿宋_GB2312" w:hAnsi="黑体" w:eastAsia="仿宋_GB2312" w:cs="仿宋_GB2312"/>
          <w:sz w:val="32"/>
          <w:szCs w:val="32"/>
        </w:rPr>
        <w:t>本级政府采购预算总额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2023年</w:t>
      </w:r>
      <w:r>
        <w:rPr>
          <w:rFonts w:hint="eastAsia" w:ascii="仿宋_GB2312" w:hAnsi="黑体" w:eastAsia="仿宋_GB2312"/>
          <w:sz w:val="32"/>
          <w:szCs w:val="32"/>
        </w:rPr>
        <w:t>12月31日，</w:t>
      </w:r>
      <w:r>
        <w:rPr>
          <w:rFonts w:hint="eastAsia" w:ascii="仿宋" w:hAnsi="仿宋" w:eastAsia="仿宋" w:cs="仿宋"/>
          <w:sz w:val="32"/>
          <w:szCs w:val="32"/>
          <w:lang w:eastAsia="zh-CN"/>
        </w:rPr>
        <w:t>白沙黎族自治县政协办公室</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3辆，其中，领导干部用车0辆，机要通信应急用车0辆、一般执法执勤用车0辆、特种专业技术用车0辆、其他用车3辆。单位价值</w:t>
      </w:r>
      <w:bookmarkStart w:id="1" w:name="_GoBack"/>
      <w:bookmarkEnd w:id="1"/>
      <w:r>
        <w:rPr>
          <w:rFonts w:hint="eastAsia" w:ascii="仿宋_GB2312" w:hAnsi="黑体" w:eastAsia="仿宋_GB2312" w:cs="仿宋_GB2312"/>
          <w:sz w:val="32"/>
          <w:szCs w:val="32"/>
        </w:rPr>
        <w:t>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w:t>
      </w:r>
      <w:r>
        <w:rPr>
          <w:rFonts w:hint="eastAsia" w:ascii="仿宋" w:hAnsi="仿宋" w:eastAsia="仿宋" w:cs="仿宋"/>
          <w:sz w:val="32"/>
          <w:szCs w:val="32"/>
          <w:lang w:eastAsia="zh-CN"/>
        </w:rPr>
        <w:t>白沙黎族自治县政协办公室</w:t>
      </w: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145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AECCA5-00CE-4E5F-BD9E-1C5006997F5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466A60DB-FAF6-4C1F-B603-FD9341BBF132}"/>
  </w:font>
  <w:font w:name="方正小标宋简体">
    <w:panose1 w:val="02000000000000000000"/>
    <w:charset w:val="86"/>
    <w:family w:val="auto"/>
    <w:pitch w:val="default"/>
    <w:sig w:usb0="00000001" w:usb1="080E0000" w:usb2="00000000" w:usb3="00000000" w:csb0="00040000" w:csb1="00000000"/>
    <w:embedRegular r:id="rId3" w:fontKey="{C4A0F040-E205-4D2F-A525-08ADF0A8BDF5}"/>
  </w:font>
  <w:font w:name="仿宋_GB2312">
    <w:panose1 w:val="02010609030101010101"/>
    <w:charset w:val="86"/>
    <w:family w:val="modern"/>
    <w:pitch w:val="default"/>
    <w:sig w:usb0="00000001" w:usb1="080E0000" w:usb2="00000000" w:usb3="00000000" w:csb0="00040000" w:csb1="00000000"/>
    <w:embedRegular r:id="rId4" w:fontKey="{6FC93C74-6E97-4B49-B935-DE430249038E}"/>
  </w:font>
  <w:font w:name="仿宋">
    <w:panose1 w:val="02010609060101010101"/>
    <w:charset w:val="86"/>
    <w:family w:val="auto"/>
    <w:pitch w:val="default"/>
    <w:sig w:usb0="800002BF" w:usb1="38CF7CFA" w:usb2="00000016" w:usb3="00000000" w:csb0="00040001" w:csb1="00000000"/>
    <w:embedRegular r:id="rId5" w:fontKey="{82D6907E-63FD-4810-860E-76AC06504C80}"/>
  </w:font>
  <w:font w:name="ˎ̥">
    <w:altName w:val="微软雅黑"/>
    <w:panose1 w:val="00000000000000000000"/>
    <w:charset w:val="00"/>
    <w:family w:val="auto"/>
    <w:pitch w:val="default"/>
    <w:sig w:usb0="00000000" w:usb1="00000000" w:usb2="00000000" w:usb3="00000000" w:csb0="00040001" w:csb1="00000000"/>
    <w:embedRegular r:id="rId6" w:fontKey="{7BCBEE98-F60D-4C20-A176-863C8ED2E96C}"/>
  </w:font>
  <w:font w:name="楷体">
    <w:panose1 w:val="02010609060101010101"/>
    <w:charset w:val="86"/>
    <w:family w:val="modern"/>
    <w:pitch w:val="default"/>
    <w:sig w:usb0="800002BF" w:usb1="38CF7CFA" w:usb2="00000016" w:usb3="00000000" w:csb0="00040001" w:csb1="00000000"/>
    <w:embedRegular r:id="rId7" w:fontKey="{B5DB6CEB-11D5-4E0D-AD6E-E30D2455408E}"/>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YTI3ZTFkYTlmZWQ0MjVjNTM0MGRjZTFhM2NkYWQifQ=="/>
  </w:docVars>
  <w:rsids>
    <w:rsidRoot w:val="00F91B44"/>
    <w:rsid w:val="00003088"/>
    <w:rsid w:val="001326C1"/>
    <w:rsid w:val="00173B57"/>
    <w:rsid w:val="002530AD"/>
    <w:rsid w:val="00293316"/>
    <w:rsid w:val="002956BC"/>
    <w:rsid w:val="002A59FA"/>
    <w:rsid w:val="002E73B0"/>
    <w:rsid w:val="003847B6"/>
    <w:rsid w:val="004522A5"/>
    <w:rsid w:val="00474F12"/>
    <w:rsid w:val="004A1C49"/>
    <w:rsid w:val="00525863"/>
    <w:rsid w:val="00537B3F"/>
    <w:rsid w:val="0059423F"/>
    <w:rsid w:val="00640059"/>
    <w:rsid w:val="006871F7"/>
    <w:rsid w:val="006B1FB3"/>
    <w:rsid w:val="0075151D"/>
    <w:rsid w:val="00786240"/>
    <w:rsid w:val="00793A7F"/>
    <w:rsid w:val="007B3322"/>
    <w:rsid w:val="007E4EAF"/>
    <w:rsid w:val="009262C2"/>
    <w:rsid w:val="00926751"/>
    <w:rsid w:val="00947538"/>
    <w:rsid w:val="00995DA5"/>
    <w:rsid w:val="009F52FB"/>
    <w:rsid w:val="00A545A0"/>
    <w:rsid w:val="00C91D51"/>
    <w:rsid w:val="00CA7DBE"/>
    <w:rsid w:val="00CD7757"/>
    <w:rsid w:val="00DC65EF"/>
    <w:rsid w:val="00DD3FD8"/>
    <w:rsid w:val="00E3389C"/>
    <w:rsid w:val="00E73A4A"/>
    <w:rsid w:val="00ED50D0"/>
    <w:rsid w:val="00ED6580"/>
    <w:rsid w:val="00F91B44"/>
    <w:rsid w:val="00FB0A31"/>
    <w:rsid w:val="05036165"/>
    <w:rsid w:val="067121C5"/>
    <w:rsid w:val="06920DD3"/>
    <w:rsid w:val="07180EDF"/>
    <w:rsid w:val="07A444F0"/>
    <w:rsid w:val="08534046"/>
    <w:rsid w:val="08603C33"/>
    <w:rsid w:val="08635FC0"/>
    <w:rsid w:val="086D7F3F"/>
    <w:rsid w:val="0A553799"/>
    <w:rsid w:val="0AB019E4"/>
    <w:rsid w:val="0BA8528A"/>
    <w:rsid w:val="0BAF4527"/>
    <w:rsid w:val="0D3B4716"/>
    <w:rsid w:val="0D70032A"/>
    <w:rsid w:val="0E0607DB"/>
    <w:rsid w:val="0F473201"/>
    <w:rsid w:val="0FCE7ABE"/>
    <w:rsid w:val="108D617A"/>
    <w:rsid w:val="10971AC9"/>
    <w:rsid w:val="111E2F24"/>
    <w:rsid w:val="115B2507"/>
    <w:rsid w:val="117011CB"/>
    <w:rsid w:val="118F7224"/>
    <w:rsid w:val="12C42549"/>
    <w:rsid w:val="135E1BB4"/>
    <w:rsid w:val="136D6624"/>
    <w:rsid w:val="15AC61F1"/>
    <w:rsid w:val="15C10FA6"/>
    <w:rsid w:val="15CE597B"/>
    <w:rsid w:val="16D70F36"/>
    <w:rsid w:val="18EB23E0"/>
    <w:rsid w:val="196F028E"/>
    <w:rsid w:val="1A1957FC"/>
    <w:rsid w:val="1AAE5800"/>
    <w:rsid w:val="1CF3532D"/>
    <w:rsid w:val="1E2B280B"/>
    <w:rsid w:val="1E502F6F"/>
    <w:rsid w:val="1E5249E4"/>
    <w:rsid w:val="200D4350"/>
    <w:rsid w:val="20E41B4D"/>
    <w:rsid w:val="21725432"/>
    <w:rsid w:val="21D253B4"/>
    <w:rsid w:val="22045728"/>
    <w:rsid w:val="22901C3A"/>
    <w:rsid w:val="234B55D9"/>
    <w:rsid w:val="255E54E5"/>
    <w:rsid w:val="268C1E35"/>
    <w:rsid w:val="29497F95"/>
    <w:rsid w:val="294D6B6E"/>
    <w:rsid w:val="2A126B69"/>
    <w:rsid w:val="2A631C63"/>
    <w:rsid w:val="2D2F7F00"/>
    <w:rsid w:val="2D8A2AA6"/>
    <w:rsid w:val="2D913861"/>
    <w:rsid w:val="2DFD751B"/>
    <w:rsid w:val="2E2F7CF1"/>
    <w:rsid w:val="2F6508E3"/>
    <w:rsid w:val="2FB00615"/>
    <w:rsid w:val="2FEE7D11"/>
    <w:rsid w:val="30F821C1"/>
    <w:rsid w:val="31CE3C57"/>
    <w:rsid w:val="31E87FAD"/>
    <w:rsid w:val="32826138"/>
    <w:rsid w:val="329F4DE7"/>
    <w:rsid w:val="33141204"/>
    <w:rsid w:val="33C649CC"/>
    <w:rsid w:val="33D1686D"/>
    <w:rsid w:val="343E25CC"/>
    <w:rsid w:val="350841F1"/>
    <w:rsid w:val="371F2FE2"/>
    <w:rsid w:val="381C4C98"/>
    <w:rsid w:val="38EF7D08"/>
    <w:rsid w:val="3901681A"/>
    <w:rsid w:val="399D3A6A"/>
    <w:rsid w:val="3C5A5D2C"/>
    <w:rsid w:val="3D2E4540"/>
    <w:rsid w:val="3D3A341D"/>
    <w:rsid w:val="3D4B2093"/>
    <w:rsid w:val="3D875E3A"/>
    <w:rsid w:val="3E595805"/>
    <w:rsid w:val="3EDE1592"/>
    <w:rsid w:val="3EE56D45"/>
    <w:rsid w:val="3F0A26CC"/>
    <w:rsid w:val="40714B61"/>
    <w:rsid w:val="421E7D61"/>
    <w:rsid w:val="43677841"/>
    <w:rsid w:val="448308B0"/>
    <w:rsid w:val="45223CF2"/>
    <w:rsid w:val="45AD0008"/>
    <w:rsid w:val="45D22AFB"/>
    <w:rsid w:val="45F64630"/>
    <w:rsid w:val="465652E2"/>
    <w:rsid w:val="46E10A50"/>
    <w:rsid w:val="48B43A0B"/>
    <w:rsid w:val="49102EE4"/>
    <w:rsid w:val="4924288A"/>
    <w:rsid w:val="49391718"/>
    <w:rsid w:val="49B035C1"/>
    <w:rsid w:val="49E33018"/>
    <w:rsid w:val="4AB91191"/>
    <w:rsid w:val="4B4B0292"/>
    <w:rsid w:val="4BA3431C"/>
    <w:rsid w:val="4BC6187F"/>
    <w:rsid w:val="4C1F1419"/>
    <w:rsid w:val="4D18507F"/>
    <w:rsid w:val="4DB67BF0"/>
    <w:rsid w:val="50757372"/>
    <w:rsid w:val="509556CF"/>
    <w:rsid w:val="51114F4D"/>
    <w:rsid w:val="51A24F4D"/>
    <w:rsid w:val="52D4230E"/>
    <w:rsid w:val="52DE29B8"/>
    <w:rsid w:val="52ED70A3"/>
    <w:rsid w:val="547D3737"/>
    <w:rsid w:val="5489216B"/>
    <w:rsid w:val="54C34E7C"/>
    <w:rsid w:val="55607F46"/>
    <w:rsid w:val="56365F45"/>
    <w:rsid w:val="56804419"/>
    <w:rsid w:val="56AF6D4B"/>
    <w:rsid w:val="59787997"/>
    <w:rsid w:val="59DA664A"/>
    <w:rsid w:val="5A691B46"/>
    <w:rsid w:val="5BAA6D64"/>
    <w:rsid w:val="5C8038F6"/>
    <w:rsid w:val="5D2A34C6"/>
    <w:rsid w:val="5D486D94"/>
    <w:rsid w:val="5D723A4E"/>
    <w:rsid w:val="5EE8666F"/>
    <w:rsid w:val="5F30232F"/>
    <w:rsid w:val="5FFA29C7"/>
    <w:rsid w:val="60472AA9"/>
    <w:rsid w:val="61B709D0"/>
    <w:rsid w:val="641B4473"/>
    <w:rsid w:val="65066F15"/>
    <w:rsid w:val="6569119C"/>
    <w:rsid w:val="65FB3841"/>
    <w:rsid w:val="66990E78"/>
    <w:rsid w:val="66D1110B"/>
    <w:rsid w:val="671F0207"/>
    <w:rsid w:val="67E51781"/>
    <w:rsid w:val="68763F17"/>
    <w:rsid w:val="68A82FFE"/>
    <w:rsid w:val="68F92625"/>
    <w:rsid w:val="6A734A9D"/>
    <w:rsid w:val="6AC10320"/>
    <w:rsid w:val="6BAE62FA"/>
    <w:rsid w:val="6C1D65C7"/>
    <w:rsid w:val="6DA50FDE"/>
    <w:rsid w:val="6EBF05BB"/>
    <w:rsid w:val="70080BF8"/>
    <w:rsid w:val="70CD5BDC"/>
    <w:rsid w:val="71F127FB"/>
    <w:rsid w:val="72154771"/>
    <w:rsid w:val="727B5B77"/>
    <w:rsid w:val="743022BB"/>
    <w:rsid w:val="752A2738"/>
    <w:rsid w:val="763A4370"/>
    <w:rsid w:val="76B954BF"/>
    <w:rsid w:val="76BD2EA2"/>
    <w:rsid w:val="778E615F"/>
    <w:rsid w:val="77A24B68"/>
    <w:rsid w:val="78722D5B"/>
    <w:rsid w:val="78CA1682"/>
    <w:rsid w:val="796603EE"/>
    <w:rsid w:val="79C13CAE"/>
    <w:rsid w:val="7A58283B"/>
    <w:rsid w:val="7A653ED2"/>
    <w:rsid w:val="7C041CF9"/>
    <w:rsid w:val="7CB013D6"/>
    <w:rsid w:val="7DE17D17"/>
    <w:rsid w:val="7E6A01FC"/>
    <w:rsid w:val="FEEE7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ind w:left="420" w:leftChars="200"/>
    </w:pPr>
    <w:rPr>
      <w:rFonts w:ascii="Times New Roman" w:hAnsi="Times New Roman" w:eastAsia="宋体" w:cs="Times New Roman"/>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autoRedefine/>
    <w:qFormat/>
    <w:uiPriority w:val="0"/>
    <w:pPr>
      <w:ind w:firstLine="420" w:firstLineChars="200"/>
    </w:pPr>
    <w:rPr>
      <w:rFonts w:ascii="Times New Roman" w:hAnsi="Times New Roman" w:eastAsia="宋体" w:cs="Times New Roman"/>
    </w:rPr>
  </w:style>
  <w:style w:type="paragraph" w:customStyle="1" w:styleId="8">
    <w:name w:val="List Paragraph"/>
    <w:basedOn w:val="1"/>
    <w:autoRedefine/>
    <w:qFormat/>
    <w:uiPriority w:val="34"/>
    <w:pPr>
      <w:ind w:firstLine="420" w:firstLineChars="200"/>
    </w:pPr>
  </w:style>
  <w:style w:type="character" w:customStyle="1" w:styleId="9">
    <w:name w:val="页眉 Char"/>
    <w:basedOn w:val="7"/>
    <w:link w:val="4"/>
    <w:autoRedefine/>
    <w:semiHidden/>
    <w:qFormat/>
    <w:uiPriority w:val="99"/>
    <w:rPr>
      <w:sz w:val="18"/>
      <w:szCs w:val="18"/>
    </w:rPr>
  </w:style>
  <w:style w:type="character" w:customStyle="1" w:styleId="10">
    <w:name w:val="页脚 Char"/>
    <w:basedOn w:val="7"/>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545</Words>
  <Characters>3107</Characters>
  <Lines>25</Lines>
  <Paragraphs>7</Paragraphs>
  <TotalTime>51</TotalTime>
  <ScaleCrop>false</ScaleCrop>
  <LinksUpToDate>false</LinksUpToDate>
  <CharactersWithSpaces>3645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企业用户_688215316</cp:lastModifiedBy>
  <cp:lastPrinted>2023-03-06T11:57:00Z</cp:lastPrinted>
  <dcterms:modified xsi:type="dcterms:W3CDTF">2024-03-05T02:03:51Z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FB713CAC97FA4607862039574461DC43_13</vt:lpwstr>
  </property>
</Properties>
</file>