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白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沙黎族自治县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CN"/>
        </w:rPr>
        <w:t>信访局</w:t>
      </w:r>
    </w:p>
    <w:p>
      <w:pPr>
        <w:widowControl/>
        <w:adjustRightInd w:val="0"/>
        <w:snapToGrid w:val="0"/>
        <w:spacing w:line="720" w:lineRule="exact"/>
        <w:jc w:val="center"/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2023年综合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CN"/>
        </w:rPr>
        <w:t>事务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经费-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CN"/>
        </w:rPr>
        <w:t>信访宣传网络推广</w:t>
      </w:r>
    </w:p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项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CN"/>
        </w:rPr>
        <w:t>目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绩效评价报告</w:t>
      </w:r>
    </w:p>
    <w:p>
      <w:pPr>
        <w:widowControl/>
        <w:adjustRightInd w:val="0"/>
        <w:snapToGrid w:val="0"/>
        <w:spacing w:line="720" w:lineRule="exact"/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Tahoma" w:eastAsia="黑体" w:cs="Times New Roman"/>
          <w:kern w:val="0"/>
          <w:sz w:val="28"/>
          <w:szCs w:val="28"/>
        </w:rPr>
      </w:pPr>
    </w:p>
    <w:p>
      <w:pPr>
        <w:spacing w:line="760" w:lineRule="exact"/>
        <w:ind w:left="1405" w:hanging="1405" w:hangingChars="5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评价类型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：</w:t>
      </w:r>
      <w:r>
        <w:rPr>
          <w:rFonts w:hint="eastAsia" w:ascii="仿宋" w:hAnsi="仿宋" w:eastAsia="仿宋" w:cs="仿宋"/>
          <w:sz w:val="28"/>
          <w:szCs w:val="28"/>
          <w:u w:val="none"/>
        </w:rPr>
        <w:t>□实施过程评价</w:t>
      </w:r>
      <w:r>
        <w:rPr>
          <w:rFonts w:hint="eastAsia" w:ascii="仿宋" w:hAnsi="仿宋" w:eastAsia="仿宋" w:cs="仿宋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sz w:val="28"/>
          <w:szCs w:val="28"/>
          <w:u w:val="none"/>
        </w:rPr>
        <w:t>☑完成结果评价</w:t>
      </w:r>
    </w:p>
    <w:p>
      <w:pPr>
        <w:spacing w:line="760" w:lineRule="exact"/>
        <w:ind w:left="1405" w:hanging="1405" w:hangingChars="5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综合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事务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经费-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信访宣传网络推广</w:t>
      </w:r>
      <w:r>
        <w:rPr>
          <w:rFonts w:hint="eastAsia" w:ascii="仿宋" w:hAnsi="仿宋" w:eastAsia="仿宋" w:cs="仿宋"/>
          <w:sz w:val="28"/>
          <w:szCs w:val="28"/>
          <w:u w:val="single"/>
        </w:rPr>
        <w:t>项目</w:t>
      </w:r>
    </w:p>
    <w:p>
      <w:pPr>
        <w:spacing w:line="760" w:lineRule="exact"/>
        <w:ind w:firstLine="1124" w:firstLineChars="400"/>
        <w:jc w:val="both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项目单位：</w:t>
      </w:r>
      <w:bookmarkStart w:id="0" w:name="_Hlk45828616"/>
      <w:r>
        <w:rPr>
          <w:rFonts w:hint="eastAsia" w:ascii="仿宋" w:hAnsi="仿宋" w:eastAsia="仿宋" w:cs="仿宋"/>
          <w:sz w:val="28"/>
          <w:szCs w:val="28"/>
          <w:u w:val="single"/>
        </w:rPr>
        <w:t>白沙黎族自治县</w:t>
      </w:r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信访局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760" w:lineRule="exact"/>
        <w:ind w:left="1402" w:leftChars="534" w:hanging="281" w:hangingChars="1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主管部门：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评价时间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2024年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日至 2024年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日 </w:t>
      </w:r>
    </w:p>
    <w:p>
      <w:pPr>
        <w:spacing w:line="760" w:lineRule="exact"/>
        <w:ind w:left="1402" w:leftChars="534" w:hanging="281" w:hanging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组织方式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：</w:t>
      </w:r>
      <w:r>
        <w:rPr>
          <w:rFonts w:hint="eastAsia" w:ascii="仿宋" w:hAnsi="仿宋" w:eastAsia="仿宋" w:cs="仿宋"/>
          <w:sz w:val="28"/>
          <w:szCs w:val="28"/>
          <w:u w:val="none"/>
        </w:rPr>
        <w:t>□财政部门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</w:rPr>
        <w:t>□主管部门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☑项目单位 </w:t>
      </w:r>
    </w:p>
    <w:p>
      <w:pPr>
        <w:spacing w:line="760" w:lineRule="exact"/>
        <w:ind w:left="1405" w:hanging="1405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评价机构：</w:t>
      </w:r>
      <w:r>
        <w:rPr>
          <w:rFonts w:hint="eastAsia" w:ascii="仿宋" w:hAnsi="仿宋" w:eastAsia="仿宋" w:cs="仿宋"/>
          <w:sz w:val="28"/>
          <w:szCs w:val="28"/>
          <w:u w:val="none"/>
        </w:rPr>
        <w:t>□中介机构</w:t>
      </w:r>
      <w:r>
        <w:rPr>
          <w:rFonts w:hint="eastAsia" w:ascii="仿宋" w:hAnsi="仿宋" w:eastAsia="仿宋" w:cs="仿宋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sz w:val="28"/>
          <w:szCs w:val="28"/>
          <w:u w:val="none"/>
        </w:rPr>
        <w:t>□专家组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☑项目单位评价组</w:t>
      </w:r>
    </w:p>
    <w:p>
      <w:pPr>
        <w:spacing w:line="760" w:lineRule="exact"/>
        <w:ind w:left="1405" w:hanging="1405" w:hangingChars="500"/>
        <w:rPr>
          <w:rFonts w:ascii="楷体" w:hAnsi="楷体" w:eastAsia="楷体" w:cs="楷体"/>
          <w:b/>
          <w:bCs/>
          <w:color w:val="FF000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仿宋_GB2312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ascii="Tahoma" w:hAnsi="仿宋_GB2312" w:eastAsia="仿宋_GB2312" w:cs="Times New Roman"/>
          <w:kern w:val="0"/>
          <w:sz w:val="28"/>
          <w:szCs w:val="28"/>
        </w:rPr>
      </w:pPr>
    </w:p>
    <w:p>
      <w:pPr>
        <w:spacing w:line="760" w:lineRule="exact"/>
        <w:ind w:left="1210" w:leftChars="176" w:hanging="840" w:hangingChars="30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评价单位（盖章）：白沙黎族自治县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信访局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76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上报时间：2024年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p>
      <w:pPr>
        <w:spacing w:line="760" w:lineRule="exact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项目基本信息</w:t>
      </w:r>
    </w:p>
    <w:tbl>
      <w:tblPr>
        <w:tblStyle w:val="11"/>
        <w:tblpPr w:vertAnchor="text" w:horzAnchor="page" w:tblpX="2095" w:tblpY="340"/>
        <w:tblOverlap w:val="never"/>
        <w:tblW w:w="85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316"/>
        <w:gridCol w:w="373"/>
        <w:gridCol w:w="72"/>
        <w:gridCol w:w="556"/>
        <w:gridCol w:w="920"/>
        <w:gridCol w:w="226"/>
        <w:gridCol w:w="602"/>
        <w:gridCol w:w="139"/>
        <w:gridCol w:w="512"/>
        <w:gridCol w:w="568"/>
        <w:gridCol w:w="372"/>
        <w:gridCol w:w="125"/>
        <w:gridCol w:w="422"/>
        <w:gridCol w:w="778"/>
        <w:gridCol w:w="136"/>
        <w:gridCol w:w="1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8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3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白沙黎族自治县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信访局</w:t>
            </w:r>
          </w:p>
        </w:tc>
        <w:tc>
          <w:tcPr>
            <w:tcW w:w="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5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bookmarkStart w:id="6" w:name="_GoBack"/>
            <w:bookmarkEnd w:id="6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王哲</w:t>
            </w:r>
          </w:p>
        </w:tc>
        <w:tc>
          <w:tcPr>
            <w:tcW w:w="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0898-27723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43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白沙黎族自治县牙叉镇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牙叉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中路190号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县人民政府综合办公楼一楼</w:t>
            </w:r>
          </w:p>
        </w:tc>
        <w:tc>
          <w:tcPr>
            <w:tcW w:w="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572800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84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经常性项目（）     一次性项目（√）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left="360" w:hanging="315" w:hangingChars="15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计划投资(万元）</w:t>
            </w:r>
          </w:p>
        </w:tc>
        <w:tc>
          <w:tcPr>
            <w:tcW w:w="1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8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实际到位(万元）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8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left="360" w:hanging="315" w:hangingChars="1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实际使用 (万元）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其中：省级资金</w:t>
            </w:r>
          </w:p>
        </w:tc>
        <w:tc>
          <w:tcPr>
            <w:tcW w:w="1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其中：省级资金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其中：省级资金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县级资金</w:t>
            </w:r>
          </w:p>
        </w:tc>
        <w:tc>
          <w:tcPr>
            <w:tcW w:w="10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8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县级资金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8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县级资金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58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二、绩效评价指标得分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14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决策过程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决策依据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决策程序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资金分配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分配办法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分配结果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4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项目管理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资金到位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到位率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到位时效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资金管理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资金使用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组织实施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组织机构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管理制度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4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项目绩效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项目产出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产出数量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产出质量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产出时效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产出成本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项目效果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环境效益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可持续性影响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21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评价等次</w:t>
            </w:r>
          </w:p>
        </w:tc>
        <w:tc>
          <w:tcPr>
            <w:tcW w:w="23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8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  名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职务/职称</w:t>
            </w:r>
          </w:p>
        </w:tc>
        <w:tc>
          <w:tcPr>
            <w:tcW w:w="46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单 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21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王哲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政府办主任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（兼信访局局长）</w:t>
            </w:r>
          </w:p>
        </w:tc>
        <w:tc>
          <w:tcPr>
            <w:tcW w:w="46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白沙县黎族自治县人民政府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周彩秀</w:t>
            </w: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报账员</w:t>
            </w:r>
          </w:p>
        </w:tc>
        <w:tc>
          <w:tcPr>
            <w:tcW w:w="46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白沙县黎族自治县信访局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858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项目单位负责人（签字并盖章）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/>
              </w:rPr>
            </w:pPr>
          </w:p>
          <w:p>
            <w:pPr>
              <w:ind w:firstLine="4200" w:firstLineChars="2000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ind w:firstLine="5880" w:firstLineChars="2800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ind w:firstLine="5880" w:firstLineChars="2800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ind w:firstLine="5880" w:firstLineChars="2800"/>
              <w:jc w:val="right"/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二〇二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月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both"/>
        <w:rPr>
          <w:rFonts w:hint="eastAsia" w:ascii="楷体" w:hAnsi="楷体" w:eastAsia="楷体" w:cs="Times New Roman"/>
          <w:b/>
          <w:bCs/>
          <w:kern w:val="0"/>
        </w:rPr>
        <w:sectPr>
          <w:footerReference r:id="rId3" w:type="default"/>
          <w:pgSz w:w="11906" w:h="16838"/>
          <w:pgMar w:top="1417" w:right="1984" w:bottom="1417" w:left="1984" w:header="709" w:footer="709" w:gutter="0"/>
          <w:pgNumType w:fmt="numberInDash"/>
          <w:cols w:space="720" w:num="1"/>
          <w:docGrid w:type="lines" w:linePitch="369" w:charSpace="0"/>
        </w:sectPr>
      </w:pPr>
    </w:p>
    <w:p>
      <w:pPr>
        <w:tabs>
          <w:tab w:val="right" w:leader="dot" w:pos="8302"/>
        </w:tabs>
        <w:adjustRightInd w:val="0"/>
        <w:snapToGrid w:val="0"/>
        <w:spacing w:line="5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目     录</w:t>
      </w:r>
    </w:p>
    <w:p>
      <w:pPr>
        <w:pStyle w:val="2"/>
      </w:pP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一、项目概况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1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</w:t>
      </w:r>
      <w:r>
        <w:rPr>
          <w:rFonts w:hint="eastAsia" w:ascii="仿宋" w:hAnsi="仿宋" w:eastAsia="仿宋" w:cs="仿宋"/>
          <w:sz w:val="24"/>
          <w:lang w:eastAsia="zh-CN"/>
        </w:rPr>
        <w:t>概况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1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1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 项目组织实施情况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2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（一）项目组织情况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2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（二）项目管理情况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</w:rPr>
        <w:t>三、项目决策及资金使用管理情况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（一）项目决策情况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（二）项目资金到位情况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（三）项目资金使用情况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（四）项目资金管理情况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</w:rPr>
        <w:t>四、项目绩效情况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绩效目标完成情况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（二）项目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绩效目标未完成情况及原因分析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</w:t>
      </w: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" w:hAnsi="仿宋" w:eastAsia="仿宋" w:cs="仿宋"/>
          <w:b/>
          <w:sz w:val="24"/>
        </w:rPr>
        <w:t>评价结论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</w:rPr>
        <w:t>5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</w:rPr>
        <w:t>六、</w:t>
      </w:r>
      <w:r>
        <w:rPr>
          <w:rFonts w:hint="eastAsia" w:ascii="仿宋" w:hAnsi="仿宋" w:eastAsia="仿宋" w:cs="仿宋"/>
          <w:b/>
          <w:sz w:val="24"/>
          <w:lang w:eastAsia="zh-CN"/>
        </w:rPr>
        <w:t>主要经验及做法、存在问题和改进措施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6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（一）主要经验及作法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5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（二）存在问题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</w:p>
    <w:p>
      <w:pPr>
        <w:tabs>
          <w:tab w:val="right" w:leader="dot" w:pos="8504"/>
        </w:tabs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（三）改进措施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6</w:t>
      </w:r>
    </w:p>
    <w:p>
      <w:pPr>
        <w:tabs>
          <w:tab w:val="right" w:leader="dot" w:pos="8504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附件：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财政支出绩效评价指标体系表</w:t>
      </w:r>
      <w:r>
        <w:rPr>
          <w:rFonts w:hint="eastAsia" w:ascii="仿宋" w:hAnsi="仿宋" w:eastAsia="仿宋" w:cs="仿宋"/>
          <w:b/>
          <w:sz w:val="24"/>
        </w:rPr>
        <w:tab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7</w:t>
      </w: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883" w:firstLineChars="20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883" w:firstLineChars="2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综合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事务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经费-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信访宣传网络推广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项目绩效自评报告</w:t>
      </w:r>
    </w:p>
    <w:p>
      <w:pPr>
        <w:spacing w:line="530" w:lineRule="exact"/>
        <w:ind w:firstLine="105" w:firstLineChars="50"/>
        <w:jc w:val="center"/>
        <w:rPr>
          <w:rFonts w:ascii="楷体_GB2312" w:hAnsi="仿宋" w:eastAsia="楷体_GB2312"/>
          <w:szCs w:val="32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为推进预算绩效管理工作，提高财政资金使用效益，根据白沙黎族自治县财政局《关于开展项目绩效自评工作的通知》（白财〔2023〕44号）的要求，我们对本单位“2023年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综合事务经费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信访宣传网络推广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”项目开展绩效自评工作。具体情况如下：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一、项目概况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(一)项目基本情况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本项目为“综合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事务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经费-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信访宣传网络推广</w:t>
      </w:r>
      <w:r>
        <w:rPr>
          <w:rFonts w:hint="eastAsia" w:ascii="仿宋" w:hAnsi="仿宋" w:eastAsia="仿宋" w:cs="仿宋"/>
          <w:kern w:val="0"/>
          <w:sz w:val="32"/>
          <w:szCs w:val="32"/>
        </w:rPr>
        <w:t>”，属于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一次性项</w:t>
      </w:r>
      <w:r>
        <w:rPr>
          <w:rFonts w:hint="eastAsia" w:ascii="仿宋" w:hAnsi="仿宋" w:eastAsia="仿宋" w:cs="仿宋"/>
          <w:kern w:val="0"/>
          <w:sz w:val="32"/>
          <w:szCs w:val="32"/>
        </w:rPr>
        <w:t>目，系白沙黎族自治县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kern w:val="0"/>
          <w:sz w:val="32"/>
          <w:szCs w:val="32"/>
        </w:rPr>
        <w:t>局实施的202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的综合事务经费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之一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，具体实施内容系通过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新闻媒体宣传推广信访工作亮点，以宣传工作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提升信访工作知晓率，提升信访工作社会效益，推动信访事务顺利</w:t>
      </w:r>
      <w:r>
        <w:rPr>
          <w:rFonts w:hint="eastAsia" w:ascii="仿宋" w:hAnsi="仿宋" w:eastAsia="仿宋" w:cs="仿宋"/>
          <w:kern w:val="0"/>
          <w:sz w:val="32"/>
          <w:szCs w:val="32"/>
        </w:rPr>
        <w:t>进行。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32" w:leftChars="328" w:hanging="643" w:hangingChars="200"/>
        <w:jc w:val="both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1.项目性质：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属于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一次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性项目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2.主要内容、涉及范围：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主要为支付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新闻媒体上宣传推广我县信访工作亮点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并刊登报道的</w:t>
      </w:r>
      <w:r>
        <w:rPr>
          <w:rFonts w:hint="eastAsia" w:ascii="仿宋" w:hAnsi="仿宋" w:eastAsia="仿宋" w:cs="仿宋"/>
          <w:kern w:val="0"/>
          <w:sz w:val="32"/>
          <w:szCs w:val="32"/>
        </w:rPr>
        <w:t>费用支出。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(二)项目年度预算绩效目标和绩效指标设定情况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1.绩效目标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网络新闻媒体宣传信访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本项目的绩效目标是确保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在中央或省级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我县信访工作亮点，加强我县信访工作宣传力度，提升我县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信访考核工作名次，达到预期目标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2.绩效指标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产出指标一质量指标：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省在级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我县信访工作亮点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1起。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产出目标：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信访宣传网络推广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年内完成100%、项目资金成本控制率≤100%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能在新闻媒体上宣传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我县信访工作亮点，提升我县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年度考核名次，也提升人民群众对我县信访工作的知晓率。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满意度指标：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服务对象满意度≥90%。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二、项目组织实施情况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（一）项目组织情况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为做好此项工作，我局积极向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政府请示报告，争取到县级资金支持。资金下达后，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单位领导及时召集有关职能科室负责人开展部署工作，认真研究项目的使用范围，安排好资金的使用计划，明确分工、落实责任，促使项目资金效益最大化。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信访宣传网络推广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费，用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在网络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我县信访工作亮点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支出。</w:t>
      </w:r>
      <w:bookmarkStart w:id="1" w:name="_Toc2828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（二）项目管理情况</w:t>
      </w:r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本单位严格监督整个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信访工作宣传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使用过程，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局要求和规定执行，及时跟踪进度，督促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按时按质按量完成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工作目标及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三、项目决策及资金使用管理情况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(一)项目决策情况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立项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符合部门职责，符合本县经济社会发展规划和部门年度工作计划，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申报条件，项目预算由本单位编制，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向县政府请示批复，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拨付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(二)项目资金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到位情况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本项目经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人民政府批复，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资金到位率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sz w:val="32"/>
          <w:szCs w:val="32"/>
        </w:rPr>
        <w:t>)项目资金使用情况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下达到位后，我局积极梳理我县信访工作亮点工作，积极联络对接媒体开展信访宣传工作，将资金用于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在网络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我县信访工作亮点的费用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2023年12月31日，项目实际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万元，预算执行率为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sz w:val="32"/>
          <w:szCs w:val="32"/>
        </w:rPr>
        <w:t>)项目资金管理情况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资金管理执行《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白沙黎族自治县信访局财务制度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及《海南省行政事业单位财务报账管理办法（试行）》（琼财支〔2014〕1883号）的规定，资金管理执行报账制，执行国库集中支付制度，资金专款专用，会计核算由</w:t>
      </w:r>
      <w:r>
        <w:rPr>
          <w:rFonts w:hint="eastAsia" w:ascii="仿宋" w:hAnsi="仿宋" w:eastAsia="仿宋" w:cs="仿宋"/>
          <w:kern w:val="0"/>
          <w:sz w:val="32"/>
          <w:szCs w:val="32"/>
        </w:rPr>
        <w:t>白沙黎族自治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县财政局会计核算中心负责，执行《政府会计制度》。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评价小组经查阅相关资料，项目资金按照预算批复用途使用，资金支付符合程序，使用效果较好，未发现虚列项目支出、截留、挤占、挪用项目资金、超标准开支情况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，会计核算规范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四、项目绩效情况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（一）项目绩效目标完成情况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4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本项目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批复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万元，在实施过程基本按照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批复执行，在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年度及时完成预算支出共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%，项目成本控制较好。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但经评价组检查，未于年初做好此项工作预算，年中才结合工作情况申请资金，统筹性不够，不利于信访宣传工作开展。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项目的经济性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本项目批复预算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万元，完成预算支出共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万元，支出率100%，该项目通过践行资金管理的基本原则，厉行节约、量入为出，严格控制成本。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2.项目的效率性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本项目按照计划时间完成，符合项目进度，符合项目效率性要求。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3.项目的效益性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本项目实施后，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在网络新闻媒体上宣传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并刊登报道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我县信访工作亮点，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加强我县信访宣传工作力度，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年度信访考核名次，也提高人民群众对我县信访工作的知晓率，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提升了我县委县政府为民办实事的宣传力度，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更好的服务人民群众。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（1）经济效益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通过实施本项目，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提高信访工作知晓率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，提高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信访工作宣传力度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，间接促进本县经济发展。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社会效益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本项目实施后，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进一步加强了我县信访宣传工作力度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对外宣传我县县委、县政府为民办实事，提高了我县年度信访考核名次，促进了社会和谐，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带来良好的社会效益，更好的服务人民群众。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环境效益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项目无需设置环境效益目标。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项目的可持续性分析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本项目实施完成后，能够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进一步加强我县信访宣传工作力度，提升我县县委、县政府为民办实事的宣传力度，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还能带来良好的社会效益，更好的服务人民群众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因此项目具有可持续性。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（二）项目绩效目标未完成情况及原因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分析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2" w:name="_Toc30030"/>
      <w:r>
        <w:rPr>
          <w:rFonts w:hint="eastAsia" w:ascii="黑体" w:hAnsi="黑体" w:eastAsia="黑体" w:cs="黑体"/>
          <w:b/>
          <w:bCs/>
          <w:sz w:val="28"/>
          <w:szCs w:val="28"/>
        </w:rPr>
        <w:t>五、综合评价结论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Style w:val="14"/>
          <w:rFonts w:ascii="仿宋" w:hAnsi="仿宋" w:eastAsia="仿宋" w:cs="仿宋"/>
          <w:b w:val="0"/>
          <w:bCs/>
          <w:kern w:val="0"/>
          <w:sz w:val="28"/>
          <w:szCs w:val="28"/>
          <w:lang w:bidi="ar"/>
        </w:rPr>
      </w:pPr>
      <w:r>
        <w:rPr>
          <w:rStyle w:val="14"/>
          <w:rFonts w:hint="eastAsia" w:ascii="仿宋" w:hAnsi="仿宋" w:eastAsia="仿宋" w:cs="仿宋"/>
          <w:b w:val="0"/>
          <w:bCs/>
          <w:kern w:val="0"/>
          <w:sz w:val="28"/>
          <w:szCs w:val="28"/>
          <w:lang w:bidi="ar"/>
        </w:rPr>
        <w:t>项目综合得分为</w:t>
      </w:r>
      <w:r>
        <w:rPr>
          <w:rStyle w:val="14"/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 w:bidi="ar"/>
        </w:rPr>
        <w:t>91</w:t>
      </w:r>
      <w:r>
        <w:rPr>
          <w:rStyle w:val="14"/>
          <w:rFonts w:hint="eastAsia" w:ascii="仿宋" w:hAnsi="仿宋" w:eastAsia="仿宋" w:cs="仿宋"/>
          <w:b w:val="0"/>
          <w:bCs/>
          <w:kern w:val="0"/>
          <w:sz w:val="28"/>
          <w:szCs w:val="28"/>
          <w:lang w:bidi="ar"/>
        </w:rPr>
        <w:t>分，绩效级别评定为“</w:t>
      </w:r>
      <w:r>
        <w:rPr>
          <w:rStyle w:val="14"/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 w:bidi="ar"/>
        </w:rPr>
        <w:t>优秀</w:t>
      </w:r>
      <w:r>
        <w:rPr>
          <w:rStyle w:val="14"/>
          <w:rFonts w:hint="eastAsia" w:ascii="仿宋" w:hAnsi="仿宋" w:eastAsia="仿宋" w:cs="仿宋"/>
          <w:b w:val="0"/>
          <w:bCs/>
          <w:kern w:val="0"/>
          <w:sz w:val="28"/>
          <w:szCs w:val="28"/>
          <w:lang w:bidi="ar"/>
        </w:rPr>
        <w:t>”。</w:t>
      </w:r>
    </w:p>
    <w:tbl>
      <w:tblPr>
        <w:tblStyle w:val="11"/>
        <w:tblW w:w="8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181"/>
        <w:gridCol w:w="1181"/>
        <w:gridCol w:w="1183"/>
        <w:gridCol w:w="3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42" w:type="dxa"/>
            <w:tcBorders>
              <w:top w:val="double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评价指标</w:t>
            </w:r>
          </w:p>
        </w:tc>
        <w:tc>
          <w:tcPr>
            <w:tcW w:w="1181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分值</w:t>
            </w:r>
          </w:p>
        </w:tc>
        <w:tc>
          <w:tcPr>
            <w:tcW w:w="1181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得分</w:t>
            </w:r>
          </w:p>
        </w:tc>
        <w:tc>
          <w:tcPr>
            <w:tcW w:w="1183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绩效等级</w:t>
            </w:r>
          </w:p>
        </w:tc>
        <w:tc>
          <w:tcPr>
            <w:tcW w:w="3623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绩效等级标准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42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项目决策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20.00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.00</w:t>
            </w:r>
          </w:p>
        </w:tc>
        <w:tc>
          <w:tcPr>
            <w:tcW w:w="118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优秀</w:t>
            </w:r>
          </w:p>
        </w:tc>
        <w:tc>
          <w:tcPr>
            <w:tcW w:w="362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优秀（18-20）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良好（16-17）                一般（14-15）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较差（13分以下）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2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项目管理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25.00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.00</w:t>
            </w:r>
          </w:p>
        </w:tc>
        <w:tc>
          <w:tcPr>
            <w:tcW w:w="118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优秀</w:t>
            </w:r>
          </w:p>
        </w:tc>
        <w:tc>
          <w:tcPr>
            <w:tcW w:w="362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优秀（22-25）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良好（20-21）             一般（17-19）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较差（16分以下）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2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项目绩效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55.00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.00</w:t>
            </w:r>
          </w:p>
        </w:tc>
        <w:tc>
          <w:tcPr>
            <w:tcW w:w="118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优秀</w:t>
            </w:r>
          </w:p>
        </w:tc>
        <w:tc>
          <w:tcPr>
            <w:tcW w:w="362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优秀（49-55）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良好（44-48）              一般（38-43）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较差（37以下）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2" w:type="dxa"/>
            <w:tcBorders>
              <w:top w:val="dotted" w:color="000000" w:sz="4" w:space="0"/>
              <w:left w:val="nil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综合绩效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100.00</w:t>
            </w:r>
          </w:p>
        </w:tc>
        <w:tc>
          <w:tcPr>
            <w:tcW w:w="1181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91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.00</w:t>
            </w:r>
          </w:p>
        </w:tc>
        <w:tc>
          <w:tcPr>
            <w:tcW w:w="1183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>优秀</w:t>
            </w:r>
          </w:p>
        </w:tc>
        <w:tc>
          <w:tcPr>
            <w:tcW w:w="3623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优秀（90-100）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良好（80-89）                     一般（60-79）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较差（59以下）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/>
          <w:lang w:val="en-US" w:eastAsia="zh-CN"/>
        </w:rPr>
      </w:pPr>
      <w:bookmarkStart w:id="3" w:name="_Toc9998"/>
      <w:r>
        <w:rPr>
          <w:rFonts w:hint="eastAsia" w:ascii="仿宋_GB2312" w:hAnsi="仿宋_GB2312" w:eastAsia="仿宋_GB2312" w:cs="仿宋_GB2312"/>
          <w:sz w:val="32"/>
          <w:szCs w:val="32"/>
        </w:rPr>
        <w:t>1.“项目决策”评价指标满分为20分，评价得分为1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分。该指标的扣分原因主要是：项目目标未量化，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分配办法不够合理，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年初未做预算年中再追加，</w:t>
      </w:r>
      <w:r>
        <w:rPr>
          <w:rFonts w:hint="eastAsia" w:ascii="仿宋_GB2312" w:hAnsi="仿宋_GB2312" w:eastAsia="仿宋_GB2312" w:cs="仿宋_GB2312"/>
          <w:sz w:val="32"/>
          <w:szCs w:val="32"/>
        </w:rPr>
        <w:t>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2.“项目管理”评价指标满分为25分，评价得分为2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该指标的扣分原因主要是：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组织管理制度还需继续完善，扣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.“项目绩效”评价指标满分为5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分，评价得分为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分。该指标的扣分原因主要是：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产出质量、经济效益、环境效益、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可持续影响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未设置，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outlineLvl w:val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六、主要经验及做法、存在问题和改进措施</w:t>
      </w:r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bookmarkStart w:id="4" w:name="_Toc21800"/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1.项目预算编制科学、合理，预算执行率较好，基本满足本单位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工作实际需要，资金到位及时，为项目的顺利实施提供充分的资金保障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通过宣传我县信访工作亮点，提高群众对信访工作知晓率和群众信访满意率，使我县信访年度考核名次有所提升，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了我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委、县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政府为民办实事的宣传力度，带来良好的社会效益，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进一步推动我县各级职能单位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更好的服务人民群众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2.项目管理资金到位及时、管理规范，严格按相关规定组织实施。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绩效严格控制成本及时效，项目完成较好，产生较好的社会影响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，促进了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信访宣传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顺利开展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（二）存在问题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1.年初设定绩效目标未细化、量化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2.绩效目标设置不全面。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（三）计划改进措施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1.年初绩效目标设置应当细化、量化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2.将根据本次评价补充完善项目绩效目标。</w:t>
      </w:r>
    </w:p>
    <w:bookmarkEnd w:id="4"/>
    <w:p/>
    <w:p/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综合事务经费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项目绩效评价指标体系</w:t>
      </w:r>
    </w:p>
    <w:p>
      <w:pPr>
        <w:pageBreakBefore/>
        <w:spacing w:line="5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outlineLvl w:val="0"/>
        <w:rPr>
          <w:rFonts w:hint="eastAsia" w:ascii="仿宋" w:hAnsi="仿宋" w:eastAsia="仿宋" w:cs="仿宋"/>
          <w:b/>
          <w:bCs/>
          <w:color w:val="FF0000"/>
        </w:rPr>
      </w:pPr>
      <w:bookmarkStart w:id="5" w:name="_Toc18025"/>
      <w:r>
        <w:rPr>
          <w:rFonts w:hint="eastAsia" w:ascii="黑体" w:hAnsi="黑体" w:eastAsia="黑体" w:cs="黑体"/>
          <w:b/>
          <w:bCs/>
          <w:sz w:val="30"/>
          <w:szCs w:val="30"/>
        </w:rPr>
        <w:t>附件：</w:t>
      </w:r>
      <w:bookmarkEnd w:id="5"/>
    </w:p>
    <w:tbl>
      <w:tblPr>
        <w:tblStyle w:val="11"/>
        <w:tblW w:w="15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700"/>
        <w:gridCol w:w="1066"/>
        <w:gridCol w:w="734"/>
        <w:gridCol w:w="1183"/>
        <w:gridCol w:w="617"/>
        <w:gridCol w:w="2367"/>
        <w:gridCol w:w="2500"/>
        <w:gridCol w:w="3879"/>
        <w:gridCol w:w="573"/>
        <w:gridCol w:w="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2023年综合事务经费项目绩效评价指标体系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白沙黎族自治县信访局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65" w:firstLineChars="700"/>
              <w:jc w:val="both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绩效等级：优秀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分值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二级指标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分值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三级指标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分值 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指标解释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评价标准 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评价依据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得分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小计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项目决策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项目目标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项目内容 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目标是否明确、细化、量化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目标明确（1分）；            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目标细化（1分）；            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目标量化（2分）； 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根据本单位工作实际追加预算，目的明确，目标细化、量化，目标明确、细化、量化，但因此项目没有于年实做预算，量化还不够明确。本指标得2分。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决策过程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决策依据 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项目是否符合经济社会发展规划和部门年度工作计划：    是否根据需要制定中长期实施规划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项目符合经济社会发展规划和部门年度工作计划（2分）；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根据需要制定中长期实施 规划（1分）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项目符合部门职责，符合本县经济社会发展规划和部门年度工作计划，该指标得2分。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决策程序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项目是否符合申报条件；    申报、批受程序是否符合相关管理办法；               项目调整是否履行相应手续 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项目符合申报条件(2分)；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申报、批复程序符合相关管理办法（2分）；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项目调整履行相应手续（1分）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项目符合申报条件，项目由本单位编制预算，由白沙县财政局批复下达部门年初预算，均履行相应手续，本指标得5分。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分配办法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是否根据需要制定相关资金管理办法．并在管理法中明确资金分配办法：资金分配因素是否全面、合理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办法健全、规范(1分)；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因素选择全面、合理（1分）；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本项目依据本单位财务管理制度实施资金管理，资金分配因素全面、合理，但还有提升空间，因此该指标得1分。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分配结果 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资金分配是否符合相关管理办法；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分配结果是否合理 </w:t>
            </w:r>
          </w:p>
        </w:tc>
        <w:tc>
          <w:tcPr>
            <w:tcW w:w="25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项目符合相关分配办法（2分）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资金分配合理（4分）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项目符合预算法、相关资金管理办法；资金分配结果基本合理，该指标得6分。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到位率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实际到位/计划到位×100%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根据项日实际到位资金占计划的比重计算得分（3分）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项目2023年预算计划安排财政资金为1万元，经查阅相关会计资料与拨款文件，截止2023年12月31日到位资金共为1万元，项目整体资金实际到位率为100.00%，得3分。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到位时效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资金是否发时到位；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若末及时到位，是否影响项目进度 ；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及时到位（2分），末及时到位但末影响项目进度（1.5分），未及时到位并影响项目进度（0.1分）。</w:t>
            </w:r>
          </w:p>
        </w:tc>
        <w:tc>
          <w:tcPr>
            <w:tcW w:w="38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项目资金及时到位，本指标得2分。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是否存在支出依据不合理。虚列项目支出的情况，足否存在截留、挤占、挪用项目资金情况；是否存在超标准开支情况；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根据相关会计资料显示，项目的资金用于本单位综合事务事项支出，未发现项目存在支出依据不合规、虚列、截留、挤占、挪用项目资金、超标准开支情况，该指标得7分。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项目专项资金管理、费用支出等财务制度是否健全，是否严格执行：会计核算是否规范 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财务制度健全(1分)，严格执行制度（1分），会计核算规范（1分）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执行《白沙黎族自治县信访局财务制度》及《海南省行政事业单位财务报账管理办法（试行）》（琼财支〔2014〕1883号）的规定，资金管理执行报账制，执行国库集中支付制度，资金专款专用，会计核算由白沙县财政局会计核算中心负责，执行《政府会计制度》，会计核算基本规范。本指标得3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组织实施 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项目管理机构是否健全，分工是否明确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机构健全，分工明确（1分）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本单位机构健全，分工明确，本指标得1分。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管理制度 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是否建立健全项目管理制度：是否严格执行相关项目管理制度 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建立健全项目管理制度（2分），严格执行相关项目管理制度(2分），项目按照合理程序执行（5分）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根据评价组检查，本单位项目管理还需加强与提升足，扣1分。该指标得分8分。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项目绩效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项目产出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产出数量 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项目产出数量是否达到绩效目标 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照年初或调整后的绩效目标评价产出数量（按优5分、良3分、中2分、差1分进行评分）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本项目绩效目标为在网络推广宣传工作亮点一篇，达到年初设定绩效目标，本指标得5分。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产出质量 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项目产出质量是否达到绩效目标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对照年初或调整后的绩效目标评价产出数量（按优4分、良3分、中2分、差1分进行评分）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本项目在网络扩大信访工作亮点时与事实相符，宣传稿达到我县要求质量，基本达到绩效目标，但置产出质量指标未设置细化，本指标得3分。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产出时效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项目产出时效是否达到绩效目标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对照年初或调整后的绩效目标评价产出数量（按优3分、良2分、中1分、差0分进行评分）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本项目2023年及时支出，本指标得3分。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产出成本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项目产出成本是否达到绩效目标控制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对照年初或调整后的绩效目标评价产出数量（按优3分、良2分、中1分、差0分进行评分）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本项目年初预算35万元，实际支出51.4万元，资金结余10.08万元，预算执行率为80.39%，支出控制在预算范围内，存在预算编制不够准确，资金额度占用的问题，扣1分。本指标得2分。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项目效果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项目实施是否产生直接或间接经济效益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对照年初或调整后的绩效目标评价经济效益（8分）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未设置经济效益目标，扣2分。本项目的实施为县困难党员、老党员、困难群众、驻县军警以及部分县工作人员提供了一定的经济补助跟慰问，对保障基本民生、促进社会公平，助力和巩固脱贫攻坚成果，具有十分重要的意义。本指标扣4分，得4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项目效果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社会效益 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项目实施是否产生社会综合效益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对照年初或调整后申报的绩效目标评价社会效益（8分）</w:t>
            </w:r>
          </w:p>
        </w:tc>
        <w:tc>
          <w:tcPr>
            <w:tcW w:w="3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的实施为本单位执行信访事务提供了有利的经济支持，加快了排查矛盾纠纷及信访事项办理的速度，提升了信访事项的办理质量，提高了工作效率，全力以赴为困难群众排忧解难，确保全县社会和谐稳定。得8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环境效益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项目实施是否对环境产生积极或消极影响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对照年初或调整后申报的绩效目标评价环境效益（8分）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项目无需设置环境效益目标，本指标得8分。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可持续性影响  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项目实施后对人、自然、资源是否带来可持续影响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对照年初或调整后申报的绩效目标评价可持续影响（8分）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的实施，旨在避免因信访事项产生社会不良影响，以维护全县社会稳定为己任，加强矛盾纠纷的排查化解工作，持续做好防范化解维稳工作，对促进社会和谐具有重要意义，具有良好的可持续性影响。得7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服务对象满意度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项目预期服务对象对项目实施的满意程度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对照年初或调整后申报的绩效目标评价服务对象满意度（8分）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本项目受益对象为上访群众、慰问对象，经调查，满意度达90%以上，得8分。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总分 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</w:tbl>
    <w:p/>
    <w:sectPr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B487"/>
    <w:multiLevelType w:val="singleLevel"/>
    <w:tmpl w:val="33E0B48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zlhZmM2M2E2NTE0ZGU4OTg4MGQwM2IyOWNmZDEifQ=="/>
  </w:docVars>
  <w:rsids>
    <w:rsidRoot w:val="00F544C8"/>
    <w:rsid w:val="001D7535"/>
    <w:rsid w:val="005356D0"/>
    <w:rsid w:val="006D33AD"/>
    <w:rsid w:val="00766D3F"/>
    <w:rsid w:val="00885BC3"/>
    <w:rsid w:val="009B5C2A"/>
    <w:rsid w:val="00F544C8"/>
    <w:rsid w:val="011B4F8E"/>
    <w:rsid w:val="01945A45"/>
    <w:rsid w:val="02315D72"/>
    <w:rsid w:val="0254109E"/>
    <w:rsid w:val="035C5C29"/>
    <w:rsid w:val="03DA695E"/>
    <w:rsid w:val="03F03611"/>
    <w:rsid w:val="040335A6"/>
    <w:rsid w:val="04545EBC"/>
    <w:rsid w:val="051253A3"/>
    <w:rsid w:val="05F06968"/>
    <w:rsid w:val="05F93298"/>
    <w:rsid w:val="064417C0"/>
    <w:rsid w:val="06624D4F"/>
    <w:rsid w:val="06BB6B7B"/>
    <w:rsid w:val="06D00654"/>
    <w:rsid w:val="07934D48"/>
    <w:rsid w:val="08BA2420"/>
    <w:rsid w:val="08CA4A2C"/>
    <w:rsid w:val="08F06A72"/>
    <w:rsid w:val="09132E32"/>
    <w:rsid w:val="094B2997"/>
    <w:rsid w:val="099C0173"/>
    <w:rsid w:val="09B67E73"/>
    <w:rsid w:val="0AC54B85"/>
    <w:rsid w:val="0B17595E"/>
    <w:rsid w:val="0B487C97"/>
    <w:rsid w:val="0B530272"/>
    <w:rsid w:val="0BAB6A7A"/>
    <w:rsid w:val="0BBE01AF"/>
    <w:rsid w:val="0C711345"/>
    <w:rsid w:val="0CD835FD"/>
    <w:rsid w:val="0D17662A"/>
    <w:rsid w:val="0D217877"/>
    <w:rsid w:val="0D3B303B"/>
    <w:rsid w:val="0D645B33"/>
    <w:rsid w:val="0D7D411E"/>
    <w:rsid w:val="0D885F49"/>
    <w:rsid w:val="0E0012F7"/>
    <w:rsid w:val="0E3166A7"/>
    <w:rsid w:val="0E514F14"/>
    <w:rsid w:val="0EB05C0D"/>
    <w:rsid w:val="0EBB0442"/>
    <w:rsid w:val="0EEF5D35"/>
    <w:rsid w:val="0F135B60"/>
    <w:rsid w:val="0F3F72F8"/>
    <w:rsid w:val="10B57FEF"/>
    <w:rsid w:val="1127215C"/>
    <w:rsid w:val="113D1F03"/>
    <w:rsid w:val="12585171"/>
    <w:rsid w:val="12E7662B"/>
    <w:rsid w:val="13622B46"/>
    <w:rsid w:val="13F74903"/>
    <w:rsid w:val="14032D3C"/>
    <w:rsid w:val="147C3160"/>
    <w:rsid w:val="149A5AAB"/>
    <w:rsid w:val="152F66D4"/>
    <w:rsid w:val="155833B0"/>
    <w:rsid w:val="156F4582"/>
    <w:rsid w:val="15C15131"/>
    <w:rsid w:val="15D6143E"/>
    <w:rsid w:val="15E321A1"/>
    <w:rsid w:val="16B52B9D"/>
    <w:rsid w:val="16C0292B"/>
    <w:rsid w:val="17F83ADB"/>
    <w:rsid w:val="18202370"/>
    <w:rsid w:val="18391160"/>
    <w:rsid w:val="186660C0"/>
    <w:rsid w:val="187D07DC"/>
    <w:rsid w:val="18970E10"/>
    <w:rsid w:val="18A4534E"/>
    <w:rsid w:val="19937ADD"/>
    <w:rsid w:val="19F879E3"/>
    <w:rsid w:val="1B705E2E"/>
    <w:rsid w:val="1B974069"/>
    <w:rsid w:val="1BA17F56"/>
    <w:rsid w:val="1BC0258A"/>
    <w:rsid w:val="1BDF09D5"/>
    <w:rsid w:val="1BF17C09"/>
    <w:rsid w:val="1C1F0F99"/>
    <w:rsid w:val="1C2A41A6"/>
    <w:rsid w:val="1C3E75B2"/>
    <w:rsid w:val="1C7369DD"/>
    <w:rsid w:val="1C832460"/>
    <w:rsid w:val="1CA730F1"/>
    <w:rsid w:val="1D87752C"/>
    <w:rsid w:val="1D887C83"/>
    <w:rsid w:val="1DD46A02"/>
    <w:rsid w:val="1E2214BD"/>
    <w:rsid w:val="1E2D533B"/>
    <w:rsid w:val="1E9645CB"/>
    <w:rsid w:val="1EBA694C"/>
    <w:rsid w:val="1EBD1A51"/>
    <w:rsid w:val="1EC23B1D"/>
    <w:rsid w:val="1EFD046B"/>
    <w:rsid w:val="1F985FB6"/>
    <w:rsid w:val="1FB820B0"/>
    <w:rsid w:val="202C4F08"/>
    <w:rsid w:val="207E300F"/>
    <w:rsid w:val="20A6282B"/>
    <w:rsid w:val="20E02DBE"/>
    <w:rsid w:val="210C044D"/>
    <w:rsid w:val="217F694A"/>
    <w:rsid w:val="21A0729E"/>
    <w:rsid w:val="21D92AF7"/>
    <w:rsid w:val="220A42FF"/>
    <w:rsid w:val="22250FB2"/>
    <w:rsid w:val="22366FBF"/>
    <w:rsid w:val="22D73AD1"/>
    <w:rsid w:val="22ED1F64"/>
    <w:rsid w:val="2377681F"/>
    <w:rsid w:val="23D04229"/>
    <w:rsid w:val="240C48F3"/>
    <w:rsid w:val="24AB5638"/>
    <w:rsid w:val="2555254D"/>
    <w:rsid w:val="257A669B"/>
    <w:rsid w:val="261372A9"/>
    <w:rsid w:val="261C6149"/>
    <w:rsid w:val="265664BD"/>
    <w:rsid w:val="266B7088"/>
    <w:rsid w:val="2715565E"/>
    <w:rsid w:val="27222251"/>
    <w:rsid w:val="27344FD5"/>
    <w:rsid w:val="27A11F3F"/>
    <w:rsid w:val="27F46050"/>
    <w:rsid w:val="282D7AD6"/>
    <w:rsid w:val="285B5113"/>
    <w:rsid w:val="287C51A1"/>
    <w:rsid w:val="28B100B6"/>
    <w:rsid w:val="28B8106E"/>
    <w:rsid w:val="28EA13D7"/>
    <w:rsid w:val="290578CE"/>
    <w:rsid w:val="296504EE"/>
    <w:rsid w:val="29757934"/>
    <w:rsid w:val="29AB5D56"/>
    <w:rsid w:val="2A243EDE"/>
    <w:rsid w:val="2AAF3023"/>
    <w:rsid w:val="2AD06C82"/>
    <w:rsid w:val="2AD468BE"/>
    <w:rsid w:val="2AF21DCE"/>
    <w:rsid w:val="2B1862C8"/>
    <w:rsid w:val="2B81713C"/>
    <w:rsid w:val="2B9805F4"/>
    <w:rsid w:val="2C2B17C8"/>
    <w:rsid w:val="2C484515"/>
    <w:rsid w:val="2D2E4D1F"/>
    <w:rsid w:val="2D365FA9"/>
    <w:rsid w:val="2D41142B"/>
    <w:rsid w:val="2D4423E0"/>
    <w:rsid w:val="2D8B753A"/>
    <w:rsid w:val="2E8A2A8A"/>
    <w:rsid w:val="2EA227B6"/>
    <w:rsid w:val="2EB952E4"/>
    <w:rsid w:val="2EC561E9"/>
    <w:rsid w:val="2F2B40FD"/>
    <w:rsid w:val="30530AFF"/>
    <w:rsid w:val="308A51E0"/>
    <w:rsid w:val="30BB528B"/>
    <w:rsid w:val="31E46D59"/>
    <w:rsid w:val="31F0000F"/>
    <w:rsid w:val="325E0F99"/>
    <w:rsid w:val="32AC1FAB"/>
    <w:rsid w:val="32EF1C44"/>
    <w:rsid w:val="32F148E6"/>
    <w:rsid w:val="330F1E9C"/>
    <w:rsid w:val="33895F92"/>
    <w:rsid w:val="33A417DC"/>
    <w:rsid w:val="33D16210"/>
    <w:rsid w:val="342565C7"/>
    <w:rsid w:val="34560246"/>
    <w:rsid w:val="34833E85"/>
    <w:rsid w:val="34D03D2B"/>
    <w:rsid w:val="34F06D87"/>
    <w:rsid w:val="351606F2"/>
    <w:rsid w:val="356C6703"/>
    <w:rsid w:val="35E811F1"/>
    <w:rsid w:val="36452FD4"/>
    <w:rsid w:val="367F28A3"/>
    <w:rsid w:val="373A68F1"/>
    <w:rsid w:val="375B26EC"/>
    <w:rsid w:val="376F1048"/>
    <w:rsid w:val="37884079"/>
    <w:rsid w:val="38411823"/>
    <w:rsid w:val="39302173"/>
    <w:rsid w:val="39B675E5"/>
    <w:rsid w:val="39B85171"/>
    <w:rsid w:val="3A2023D3"/>
    <w:rsid w:val="3A350DD0"/>
    <w:rsid w:val="3A7E4695"/>
    <w:rsid w:val="3A95001B"/>
    <w:rsid w:val="3AA059AA"/>
    <w:rsid w:val="3B1656A9"/>
    <w:rsid w:val="3C051F20"/>
    <w:rsid w:val="3C2928BC"/>
    <w:rsid w:val="3C9D771D"/>
    <w:rsid w:val="3D587DEE"/>
    <w:rsid w:val="3D7625C0"/>
    <w:rsid w:val="3D762770"/>
    <w:rsid w:val="3D7A273D"/>
    <w:rsid w:val="3D8C4DAB"/>
    <w:rsid w:val="3DC52FCF"/>
    <w:rsid w:val="3E2F6196"/>
    <w:rsid w:val="3E467A40"/>
    <w:rsid w:val="3E951AD9"/>
    <w:rsid w:val="3EA97032"/>
    <w:rsid w:val="3F29019A"/>
    <w:rsid w:val="3F704764"/>
    <w:rsid w:val="3F727B03"/>
    <w:rsid w:val="40065580"/>
    <w:rsid w:val="402430AE"/>
    <w:rsid w:val="40346F07"/>
    <w:rsid w:val="4185131B"/>
    <w:rsid w:val="41FD6762"/>
    <w:rsid w:val="423057A0"/>
    <w:rsid w:val="428E244F"/>
    <w:rsid w:val="42BE1422"/>
    <w:rsid w:val="42DF0898"/>
    <w:rsid w:val="434731DB"/>
    <w:rsid w:val="4375548F"/>
    <w:rsid w:val="447B2ED8"/>
    <w:rsid w:val="44807917"/>
    <w:rsid w:val="44DE7272"/>
    <w:rsid w:val="455B5A6E"/>
    <w:rsid w:val="45DE68DC"/>
    <w:rsid w:val="45E64A60"/>
    <w:rsid w:val="45E81992"/>
    <w:rsid w:val="46662B89"/>
    <w:rsid w:val="466F1C6B"/>
    <w:rsid w:val="46DF1D62"/>
    <w:rsid w:val="472D5B9F"/>
    <w:rsid w:val="477C356D"/>
    <w:rsid w:val="47B921B5"/>
    <w:rsid w:val="483473D2"/>
    <w:rsid w:val="486307E6"/>
    <w:rsid w:val="487B7694"/>
    <w:rsid w:val="4897634B"/>
    <w:rsid w:val="48B43330"/>
    <w:rsid w:val="49535597"/>
    <w:rsid w:val="49A602DE"/>
    <w:rsid w:val="49FF1ADF"/>
    <w:rsid w:val="4A043BDF"/>
    <w:rsid w:val="4A4622AC"/>
    <w:rsid w:val="4A9B45E4"/>
    <w:rsid w:val="4ACE1085"/>
    <w:rsid w:val="4AD522BE"/>
    <w:rsid w:val="4B396319"/>
    <w:rsid w:val="4B52478F"/>
    <w:rsid w:val="4B6F3542"/>
    <w:rsid w:val="4B9479C8"/>
    <w:rsid w:val="4BA112B8"/>
    <w:rsid w:val="4BB56E82"/>
    <w:rsid w:val="4BBC6C65"/>
    <w:rsid w:val="4C276ADD"/>
    <w:rsid w:val="4CA36AA9"/>
    <w:rsid w:val="4CB866F1"/>
    <w:rsid w:val="4CE522DE"/>
    <w:rsid w:val="4D2640E7"/>
    <w:rsid w:val="4D3C24A1"/>
    <w:rsid w:val="4D710E1E"/>
    <w:rsid w:val="4DAB5937"/>
    <w:rsid w:val="4DEF6E6D"/>
    <w:rsid w:val="4E9B4155"/>
    <w:rsid w:val="4F0107B8"/>
    <w:rsid w:val="4F075F91"/>
    <w:rsid w:val="4F762098"/>
    <w:rsid w:val="4F904824"/>
    <w:rsid w:val="4FED15EB"/>
    <w:rsid w:val="50913DDE"/>
    <w:rsid w:val="50A329C4"/>
    <w:rsid w:val="50BC70A9"/>
    <w:rsid w:val="50C91FFF"/>
    <w:rsid w:val="50CA7123"/>
    <w:rsid w:val="512F4462"/>
    <w:rsid w:val="513165CC"/>
    <w:rsid w:val="517D0741"/>
    <w:rsid w:val="51C45897"/>
    <w:rsid w:val="51DD5F82"/>
    <w:rsid w:val="521D63F3"/>
    <w:rsid w:val="5252417F"/>
    <w:rsid w:val="532E31AA"/>
    <w:rsid w:val="53301A4E"/>
    <w:rsid w:val="536357F9"/>
    <w:rsid w:val="539B35E5"/>
    <w:rsid w:val="53FB7E9C"/>
    <w:rsid w:val="549C2606"/>
    <w:rsid w:val="553A6141"/>
    <w:rsid w:val="553F2626"/>
    <w:rsid w:val="55803F63"/>
    <w:rsid w:val="558B4A96"/>
    <w:rsid w:val="55947D9B"/>
    <w:rsid w:val="55CF62A7"/>
    <w:rsid w:val="56114277"/>
    <w:rsid w:val="56CA46EC"/>
    <w:rsid w:val="575F2288"/>
    <w:rsid w:val="579400AC"/>
    <w:rsid w:val="57ED4AD9"/>
    <w:rsid w:val="5802486A"/>
    <w:rsid w:val="5893241F"/>
    <w:rsid w:val="58B4253A"/>
    <w:rsid w:val="59AF79B1"/>
    <w:rsid w:val="5B9F0E19"/>
    <w:rsid w:val="5BD61F00"/>
    <w:rsid w:val="5C54614C"/>
    <w:rsid w:val="5C63360D"/>
    <w:rsid w:val="5C784350"/>
    <w:rsid w:val="5CB86B45"/>
    <w:rsid w:val="5DC93E92"/>
    <w:rsid w:val="5E4E7AC0"/>
    <w:rsid w:val="5E857808"/>
    <w:rsid w:val="5EA86802"/>
    <w:rsid w:val="5EA936B5"/>
    <w:rsid w:val="5ECC03E5"/>
    <w:rsid w:val="5ED03430"/>
    <w:rsid w:val="5F721013"/>
    <w:rsid w:val="5F721A4D"/>
    <w:rsid w:val="6004610E"/>
    <w:rsid w:val="607B5142"/>
    <w:rsid w:val="60837911"/>
    <w:rsid w:val="608C6933"/>
    <w:rsid w:val="60CE29BE"/>
    <w:rsid w:val="60DD05A5"/>
    <w:rsid w:val="61275B04"/>
    <w:rsid w:val="620E4997"/>
    <w:rsid w:val="621F66DD"/>
    <w:rsid w:val="625C0C00"/>
    <w:rsid w:val="62C71CAC"/>
    <w:rsid w:val="62E85626"/>
    <w:rsid w:val="62FE7142"/>
    <w:rsid w:val="63241BCD"/>
    <w:rsid w:val="637B0540"/>
    <w:rsid w:val="64182EF2"/>
    <w:rsid w:val="646C6732"/>
    <w:rsid w:val="64B5146F"/>
    <w:rsid w:val="64C5469B"/>
    <w:rsid w:val="65231F44"/>
    <w:rsid w:val="65C92F8A"/>
    <w:rsid w:val="664647A8"/>
    <w:rsid w:val="665974D3"/>
    <w:rsid w:val="668A0416"/>
    <w:rsid w:val="66B367BF"/>
    <w:rsid w:val="6737356E"/>
    <w:rsid w:val="67461652"/>
    <w:rsid w:val="674C4699"/>
    <w:rsid w:val="67E204B2"/>
    <w:rsid w:val="68187BF5"/>
    <w:rsid w:val="68436616"/>
    <w:rsid w:val="68486173"/>
    <w:rsid w:val="689471A0"/>
    <w:rsid w:val="68CF35D4"/>
    <w:rsid w:val="694D5EBD"/>
    <w:rsid w:val="695B42CE"/>
    <w:rsid w:val="69610797"/>
    <w:rsid w:val="69717D1C"/>
    <w:rsid w:val="69CD480D"/>
    <w:rsid w:val="69D96F79"/>
    <w:rsid w:val="6A367D59"/>
    <w:rsid w:val="6A6C4B51"/>
    <w:rsid w:val="6AB33F74"/>
    <w:rsid w:val="6AD50099"/>
    <w:rsid w:val="6B5D49B6"/>
    <w:rsid w:val="6B9F5D25"/>
    <w:rsid w:val="6C000C36"/>
    <w:rsid w:val="6C10146C"/>
    <w:rsid w:val="6C1413E0"/>
    <w:rsid w:val="6CBC2287"/>
    <w:rsid w:val="6CC44632"/>
    <w:rsid w:val="6CDB239E"/>
    <w:rsid w:val="6CEB4362"/>
    <w:rsid w:val="6D363B37"/>
    <w:rsid w:val="6D37467E"/>
    <w:rsid w:val="6D9E0A39"/>
    <w:rsid w:val="6DBA2360"/>
    <w:rsid w:val="6DCA785B"/>
    <w:rsid w:val="6E0D1EC7"/>
    <w:rsid w:val="6E2674FD"/>
    <w:rsid w:val="6E2A4B59"/>
    <w:rsid w:val="6E7B05CA"/>
    <w:rsid w:val="6E8919F3"/>
    <w:rsid w:val="6EC970FC"/>
    <w:rsid w:val="6EF12B7C"/>
    <w:rsid w:val="6F035595"/>
    <w:rsid w:val="6F2743DA"/>
    <w:rsid w:val="6F3A30D2"/>
    <w:rsid w:val="6F475752"/>
    <w:rsid w:val="6FB33FDC"/>
    <w:rsid w:val="6FB70A83"/>
    <w:rsid w:val="6FE32433"/>
    <w:rsid w:val="704B1357"/>
    <w:rsid w:val="70F07412"/>
    <w:rsid w:val="715A56BA"/>
    <w:rsid w:val="71B23A6D"/>
    <w:rsid w:val="71CB4F26"/>
    <w:rsid w:val="72084827"/>
    <w:rsid w:val="720F40C9"/>
    <w:rsid w:val="7220225E"/>
    <w:rsid w:val="72474644"/>
    <w:rsid w:val="727670CE"/>
    <w:rsid w:val="728C07BF"/>
    <w:rsid w:val="7298552C"/>
    <w:rsid w:val="73546F10"/>
    <w:rsid w:val="73FC7D31"/>
    <w:rsid w:val="740C6F71"/>
    <w:rsid w:val="74AF2565"/>
    <w:rsid w:val="75730FFD"/>
    <w:rsid w:val="759B0672"/>
    <w:rsid w:val="75A0588D"/>
    <w:rsid w:val="77507CCB"/>
    <w:rsid w:val="7758298F"/>
    <w:rsid w:val="77CE1A00"/>
    <w:rsid w:val="78322307"/>
    <w:rsid w:val="783A2C54"/>
    <w:rsid w:val="791423FA"/>
    <w:rsid w:val="79150CAF"/>
    <w:rsid w:val="794D3FCA"/>
    <w:rsid w:val="795F0AEE"/>
    <w:rsid w:val="79966F0C"/>
    <w:rsid w:val="79E63522"/>
    <w:rsid w:val="7A7B20D0"/>
    <w:rsid w:val="7AD77B71"/>
    <w:rsid w:val="7AF37A34"/>
    <w:rsid w:val="7B0939C1"/>
    <w:rsid w:val="7B146D37"/>
    <w:rsid w:val="7C63612E"/>
    <w:rsid w:val="7C6B072D"/>
    <w:rsid w:val="7C71504F"/>
    <w:rsid w:val="7C9B3227"/>
    <w:rsid w:val="7D0B60D8"/>
    <w:rsid w:val="7D5B7654"/>
    <w:rsid w:val="7D8A2951"/>
    <w:rsid w:val="7DF53B8D"/>
    <w:rsid w:val="7E225A7A"/>
    <w:rsid w:val="7E5C2D49"/>
    <w:rsid w:val="7E6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00" w:lineRule="exact"/>
      <w:ind w:firstLine="440" w:firstLineChars="200"/>
      <w:outlineLvl w:val="0"/>
    </w:pPr>
    <w:rPr>
      <w:b/>
      <w:bCs/>
      <w:kern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annotation subject"/>
    <w:basedOn w:val="5"/>
    <w:next w:val="5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00"/>
      <w:sz w:val="18"/>
      <w:szCs w:val="18"/>
      <w:u w:val="non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p14-2"/>
    <w:basedOn w:val="1"/>
    <w:qFormat/>
    <w:uiPriority w:val="0"/>
    <w:pPr>
      <w:spacing w:line="456" w:lineRule="auto"/>
      <w:jc w:val="left"/>
    </w:pPr>
    <w:rPr>
      <w:kern w:val="0"/>
      <w:szCs w:val="21"/>
    </w:rPr>
  </w:style>
  <w:style w:type="character" w:customStyle="1" w:styleId="18">
    <w:name w:val="font1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批注文字 字符"/>
    <w:basedOn w:val="13"/>
    <w:link w:val="5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1">
    <w:name w:val="style41"/>
    <w:basedOn w:val="13"/>
    <w:qFormat/>
    <w:uiPriority w:val="0"/>
    <w:rPr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740</Words>
  <Characters>4218</Characters>
  <Lines>35</Lines>
  <Paragraphs>9</Paragraphs>
  <TotalTime>14</TotalTime>
  <ScaleCrop>false</ScaleCrop>
  <LinksUpToDate>false</LinksUpToDate>
  <CharactersWithSpaces>4949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2021-06-04T00:53:00Z</dcterms:created>
  <dc:creator>Administrator</dc:creator>
  <cp:lastModifiedBy>Administrator</cp:lastModifiedBy>
  <cp:lastPrinted>2024-03-28T08:11:36Z</cp:lastPrinted>
  <dcterms:modified xsi:type="dcterms:W3CDTF">2024-03-28T08:11:39Z</dcterms:modified>
  <dc:title>财政支出项目绩效自评报告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ABA25DD7E93F4FFFB8E81D60BB453267</vt:lpwstr>
  </property>
</Properties>
</file>