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电商惠农超市防火防盗、用电和食品安全管理制度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为防止火灾、失窃、用电事故的发生，确保食品安全，杜绝隐患，电商惠农超市法人代表为第一负责人，现规定如下：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电商惠农超市内严禁烟火，定期组织学习消防安全等相关知识，人人会用灭火器材，人人都当安全员、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消防员。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下班时要切断电源，关好门窗，定期检查维修电器设备和线路，保持良好无损。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安装摄像头，下班要锁好门。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进货物时，一是查验供货方主体资格合法的有效证件、商品名称、生产厂名和厂址；二是查验商标、性能、用途、生产批号、产品标准号、定量包装、规格等级等；三是查验生产日期、保持期，对散装食品要查验、检验检疫证明，否则不能购进上架。在食品贮存上做到分类上架，通风无污染，防鼠防虫、防火、防霉烂，定期检查，查漏补缺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五、积极配合白沙食药监局开展商品食品检查工作。</w:t>
      </w:r>
    </w:p>
    <w:sectPr>
      <w:pgSz w:w="11906" w:h="16838"/>
      <w:pgMar w:top="2098" w:right="1474" w:bottom="1984" w:left="1587" w:header="851" w:footer="992" w:gutter="0"/>
      <w:paperSrc w:first="0" w:oth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呐喊体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2017-12-15T08:27:00Z</dcterms:created>
  <dc:creator>點點</dc:creator>
  <cp:lastModifiedBy>未定义</cp:lastModifiedBy>
  <dcterms:modified xsi:type="dcterms:W3CDTF">2019-01-30T01:29:29Z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