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  <w:lang w:val="en-US" w:eastAsia="zh-CN"/>
        </w:rPr>
        <w:t>核算站工作经费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项目</w:t>
      </w:r>
    </w:p>
    <w:p>
      <w:pPr>
        <w:pStyle w:val="10"/>
        <w:rPr>
          <w:rFonts w:hint="eastAsia"/>
          <w:lang w:val="en-US" w:eastAsia="zh-CN"/>
        </w:rPr>
      </w:pPr>
    </w:p>
    <w:p>
      <w:pPr>
        <w:jc w:val="center"/>
        <w:rPr>
          <w:rFonts w:ascii="方正小标宋简体" w:hAnsi="黑体" w:eastAsia="方正小标宋简体" w:cs="宋体"/>
          <w:kern w:val="0"/>
          <w:sz w:val="72"/>
          <w:szCs w:val="72"/>
        </w:rPr>
      </w:pPr>
      <w:r>
        <w:rPr>
          <w:rFonts w:hint="eastAsia" w:ascii="方正小标宋简体" w:hAnsi="黑体" w:eastAsia="方正小标宋简体" w:cs="宋体"/>
          <w:kern w:val="0"/>
          <w:sz w:val="72"/>
          <w:szCs w:val="72"/>
          <w:lang w:eastAsia="zh-CN"/>
        </w:rPr>
        <w:t>绩效自评</w:t>
      </w:r>
      <w:r>
        <w:rPr>
          <w:rFonts w:hint="eastAsia" w:ascii="方正小标宋简体" w:hAnsi="黑体" w:eastAsia="方正小标宋简体" w:cs="宋体"/>
          <w:kern w:val="0"/>
          <w:sz w:val="72"/>
          <w:szCs w:val="72"/>
        </w:rPr>
        <w:t>报告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  <w:u w:val="none"/>
        </w:rPr>
      </w:pPr>
    </w:p>
    <w:p>
      <w:pPr>
        <w:rPr>
          <w:rFonts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 xml:space="preserve">    </w:t>
      </w:r>
      <w:r>
        <w:rPr>
          <w:rFonts w:hint="eastAsia" w:hAnsi="宋体"/>
          <w:sz w:val="28"/>
          <w:szCs w:val="28"/>
          <w:u w:val="none"/>
        </w:rPr>
        <w:t xml:space="preserve"> 评价类型：</w:t>
      </w:r>
      <w:r>
        <w:rPr>
          <w:rFonts w:hint="eastAsia" w:hAnsi="宋体"/>
          <w:spacing w:val="-20"/>
          <w:sz w:val="36"/>
          <w:u w:val="none"/>
        </w:rPr>
        <w:t>□</w:t>
      </w:r>
      <w:r>
        <w:rPr>
          <w:rFonts w:hint="eastAsia" w:hAnsi="宋体"/>
          <w:sz w:val="28"/>
          <w:szCs w:val="28"/>
          <w:u w:val="none"/>
        </w:rPr>
        <w:t xml:space="preserve">实施过程评价      </w:t>
      </w:r>
      <w:r>
        <w:rPr>
          <w:rFonts w:hint="eastAsia" w:hAnsi="宋体"/>
          <w:spacing w:val="-20"/>
          <w:sz w:val="36"/>
          <w:u w:val="none"/>
          <w:lang w:eastAsia="zh-CN"/>
        </w:rPr>
        <w:t>☑</w:t>
      </w:r>
      <w:r>
        <w:rPr>
          <w:rFonts w:hint="eastAsia" w:hAnsi="宋体"/>
          <w:sz w:val="28"/>
          <w:szCs w:val="28"/>
          <w:u w:val="none"/>
        </w:rPr>
        <w:t>完成结果评价</w:t>
      </w:r>
    </w:p>
    <w:p>
      <w:pPr>
        <w:ind w:left="1400" w:hanging="1400" w:hangingChars="500"/>
        <w:rPr>
          <w:rFonts w:hint="default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hAnsi="宋体"/>
          <w:sz w:val="28"/>
          <w:szCs w:val="28"/>
        </w:rPr>
        <w:t xml:space="preserve">     项目名称：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核算站工作经费                               </w:t>
      </w:r>
    </w:p>
    <w:p>
      <w:pPr>
        <w:ind w:left="2240" w:hanging="2240" w:hangingChars="800"/>
        <w:rPr>
          <w:rFonts w:hint="default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hAnsi="宋体"/>
          <w:sz w:val="28"/>
          <w:szCs w:val="28"/>
        </w:rPr>
        <w:t xml:space="preserve">     项目单位：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白沙黎族自治县邦溪镇财政所                         </w:t>
      </w:r>
    </w:p>
    <w:p>
      <w:pPr>
        <w:ind w:left="1400" w:hanging="1400" w:hangingChars="5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主管部门：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白沙黎族自治县财政局                         </w:t>
      </w:r>
      <w:r>
        <w:rPr>
          <w:rFonts w:hint="eastAsia" w:hAnsi="宋体"/>
          <w:sz w:val="28"/>
          <w:szCs w:val="28"/>
        </w:rPr>
        <w:t xml:space="preserve">  </w:t>
      </w:r>
    </w:p>
    <w:p>
      <w:pPr>
        <w:ind w:left="1400" w:hanging="1400" w:hangingChars="500"/>
        <w:rPr>
          <w:rFonts w:hint="default" w:hAnsi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 xml:space="preserve">     评价时间</w:t>
      </w:r>
      <w:r>
        <w:rPr>
          <w:rFonts w:hint="eastAsia" w:hAnsi="宋体"/>
          <w:color w:val="auto"/>
          <w:sz w:val="28"/>
          <w:szCs w:val="28"/>
        </w:rPr>
        <w:t>：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日至202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ind w:left="1400" w:hanging="1400" w:hangingChars="500"/>
        <w:rPr>
          <w:rFonts w:hAnsi="宋体"/>
          <w:sz w:val="28"/>
          <w:szCs w:val="28"/>
          <w:u w:val="none"/>
        </w:rPr>
      </w:pPr>
      <w:r>
        <w:rPr>
          <w:rFonts w:hint="eastAsia" w:hAnsi="宋体"/>
          <w:sz w:val="28"/>
          <w:szCs w:val="28"/>
        </w:rPr>
        <w:t xml:space="preserve">     </w:t>
      </w:r>
      <w:r>
        <w:rPr>
          <w:rFonts w:hint="eastAsia" w:hAnsi="宋体"/>
          <w:sz w:val="28"/>
          <w:szCs w:val="28"/>
          <w:u w:val="none"/>
        </w:rPr>
        <w:t>组织方式：</w:t>
      </w:r>
      <w:r>
        <w:rPr>
          <w:rFonts w:hint="eastAsia" w:hAnsi="宋体"/>
          <w:spacing w:val="-20"/>
          <w:sz w:val="36"/>
          <w:u w:val="none"/>
        </w:rPr>
        <w:t>□</w:t>
      </w:r>
      <w:r>
        <w:rPr>
          <w:rFonts w:hint="eastAsia" w:hAnsi="宋体"/>
          <w:sz w:val="28"/>
          <w:szCs w:val="28"/>
          <w:u w:val="none"/>
        </w:rPr>
        <w:t xml:space="preserve">财政部门     </w:t>
      </w:r>
      <w:r>
        <w:rPr>
          <w:rFonts w:hint="eastAsia" w:hAnsi="宋体"/>
          <w:spacing w:val="-20"/>
          <w:sz w:val="36"/>
          <w:u w:val="none"/>
        </w:rPr>
        <w:t>□</w:t>
      </w:r>
      <w:r>
        <w:rPr>
          <w:rFonts w:hint="eastAsia" w:hAnsi="宋体"/>
          <w:sz w:val="28"/>
          <w:szCs w:val="28"/>
          <w:u w:val="none"/>
        </w:rPr>
        <w:t xml:space="preserve">主管部门     </w:t>
      </w:r>
      <w:r>
        <w:rPr>
          <w:rFonts w:hint="eastAsia" w:hAnsi="宋体"/>
          <w:spacing w:val="-20"/>
          <w:sz w:val="36"/>
          <w:u w:val="none"/>
          <w:lang w:eastAsia="zh-CN"/>
        </w:rPr>
        <w:t>☑</w:t>
      </w:r>
      <w:r>
        <w:rPr>
          <w:rFonts w:hint="eastAsia" w:hAnsi="宋体"/>
          <w:sz w:val="28"/>
          <w:szCs w:val="28"/>
          <w:u w:val="none"/>
        </w:rPr>
        <w:t>项目单位</w:t>
      </w:r>
    </w:p>
    <w:p>
      <w:pPr>
        <w:ind w:left="1400" w:hanging="1400" w:hangingChars="500"/>
        <w:rPr>
          <w:rFonts w:hAnsi="宋体"/>
          <w:sz w:val="28"/>
          <w:szCs w:val="28"/>
          <w:u w:val="none"/>
        </w:rPr>
      </w:pPr>
      <w:r>
        <w:rPr>
          <w:rFonts w:hint="eastAsia" w:hAnsi="宋体"/>
          <w:sz w:val="28"/>
          <w:szCs w:val="28"/>
          <w:u w:val="none"/>
        </w:rPr>
        <w:t xml:space="preserve">     评价机构：</w:t>
      </w:r>
      <w:r>
        <w:rPr>
          <w:rFonts w:hint="eastAsia" w:hAnsi="宋体"/>
          <w:spacing w:val="-20"/>
          <w:sz w:val="36"/>
          <w:u w:val="none"/>
        </w:rPr>
        <w:t>□</w:t>
      </w:r>
      <w:r>
        <w:rPr>
          <w:rFonts w:hint="eastAsia" w:hAnsi="宋体"/>
          <w:sz w:val="28"/>
          <w:szCs w:val="28"/>
          <w:u w:val="none"/>
        </w:rPr>
        <w:t xml:space="preserve">中介机构     </w:t>
      </w:r>
      <w:r>
        <w:rPr>
          <w:rFonts w:hint="eastAsia" w:hAnsi="宋体"/>
          <w:spacing w:val="-20"/>
          <w:sz w:val="36"/>
          <w:u w:val="none"/>
        </w:rPr>
        <w:t>□</w:t>
      </w:r>
      <w:r>
        <w:rPr>
          <w:rFonts w:hint="eastAsia" w:hAnsi="宋体"/>
          <w:sz w:val="28"/>
          <w:szCs w:val="28"/>
          <w:u w:val="none"/>
        </w:rPr>
        <w:t xml:space="preserve">专家组     </w:t>
      </w:r>
      <w:r>
        <w:rPr>
          <w:rFonts w:hint="eastAsia" w:hAnsi="宋体"/>
          <w:spacing w:val="-20"/>
          <w:sz w:val="36"/>
          <w:u w:val="none"/>
          <w:lang w:eastAsia="zh-CN"/>
        </w:rPr>
        <w:t>☑</w:t>
      </w:r>
      <w:r>
        <w:rPr>
          <w:rFonts w:hint="eastAsia" w:hAnsi="宋体"/>
          <w:sz w:val="28"/>
          <w:szCs w:val="28"/>
          <w:u w:val="none"/>
        </w:rPr>
        <w:t>项目单位评价组</w:t>
      </w:r>
    </w:p>
    <w:p>
      <w:pPr>
        <w:rPr>
          <w:rFonts w:hAnsi="仿宋_GB2312"/>
          <w:szCs w:val="28"/>
        </w:rPr>
      </w:pPr>
    </w:p>
    <w:p>
      <w:pPr>
        <w:ind w:left="1050" w:hanging="1050" w:hangingChars="500"/>
        <w:rPr>
          <w:rFonts w:hAnsi="宋体"/>
          <w:szCs w:val="28"/>
        </w:rPr>
      </w:pPr>
      <w:r>
        <w:rPr>
          <w:rFonts w:hint="eastAsia" w:hAnsi="仿宋_GB2312"/>
          <w:szCs w:val="28"/>
        </w:rPr>
        <w:t xml:space="preserve">           </w:t>
      </w:r>
    </w:p>
    <w:p>
      <w:pPr>
        <w:ind w:left="1400" w:hanging="1400" w:hangingChars="500"/>
        <w:jc w:val="center"/>
        <w:rPr>
          <w:rFonts w:hint="default" w:hAnsi="宋体" w:eastAsiaTheme="minorEastAsia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评价单位（盖章）：</w:t>
      </w:r>
      <w:r>
        <w:rPr>
          <w:rFonts w:hint="eastAsia" w:hAnsi="宋体"/>
          <w:sz w:val="28"/>
          <w:szCs w:val="28"/>
          <w:lang w:val="en-US" w:eastAsia="zh-CN"/>
        </w:rPr>
        <w:t>白沙黎族自治县邦溪镇财政所</w:t>
      </w:r>
    </w:p>
    <w:p>
      <w:pPr>
        <w:ind w:left="1400" w:hanging="1400" w:hangingChars="500"/>
        <w:jc w:val="center"/>
        <w:rPr>
          <w:rFonts w:hAnsi="宋体"/>
          <w:szCs w:val="28"/>
        </w:rPr>
      </w:pPr>
      <w:r>
        <w:rPr>
          <w:rFonts w:hint="eastAsia" w:hAnsi="宋体"/>
          <w:sz w:val="28"/>
          <w:szCs w:val="28"/>
        </w:rPr>
        <w:t>上报时间：202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</w:rPr>
        <w:t>月</w:t>
      </w:r>
    </w:p>
    <w:p>
      <w:pPr>
        <w:pageBreakBefore/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项目基本信息</w:t>
      </w: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12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96"/>
        <w:gridCol w:w="396"/>
        <w:gridCol w:w="62"/>
        <w:gridCol w:w="540"/>
        <w:gridCol w:w="797"/>
        <w:gridCol w:w="837"/>
        <w:gridCol w:w="508"/>
        <w:gridCol w:w="332"/>
        <w:gridCol w:w="1350"/>
        <w:gridCol w:w="264"/>
        <w:gridCol w:w="159"/>
        <w:gridCol w:w="1141"/>
        <w:gridCol w:w="25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9583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0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项目实施单位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白沙黎族自治县邦溪镇财政所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6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白沙黎族自治县邦溪镇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项目类型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经常性项目（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）       一次性项目（ </w:t>
            </w:r>
            <w:r>
              <w:rPr>
                <w:rFonts w:hint="eastAsia" w:ascii="Arial" w:hAnsi="Arial" w:eastAsia="仿宋" w:cs="Arial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年初预算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实际到位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实际使用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省级资金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省级资金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省级资金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县级资金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县级资金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县级资金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9583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绩效评价指标评分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一级指标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二级指标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三级指标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项目决策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项目目标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目标内容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决策过程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决策依据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决策程序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资金分配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分配办法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分配结果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项目管理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资金到位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到位率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到位时效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资金管理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资金使用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财务管理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组织实施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组织机构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管理制度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项目绩效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55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项目产出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产出数量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产出质量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产出时效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产出成本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项目效益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经济效益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环境效益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可持续影响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服务对象满意度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总分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100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496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评价等次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83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2" w:type="dxa"/>
            <w:gridSpan w:val="2"/>
            <w:vAlign w:val="center"/>
          </w:tcPr>
          <w:p>
            <w:pPr>
              <w:tabs>
                <w:tab w:val="left" w:pos="592"/>
              </w:tabs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49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陈铭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所长</w:t>
            </w:r>
          </w:p>
        </w:tc>
        <w:tc>
          <w:tcPr>
            <w:tcW w:w="494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白沙黎族自治县邦溪镇财政所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郑小蓉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核算站站长</w:t>
            </w:r>
          </w:p>
        </w:tc>
        <w:tc>
          <w:tcPr>
            <w:tcW w:w="49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白沙黎族自治县邦溪镇财政所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刘丽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报账员</w:t>
            </w:r>
            <w:bookmarkStart w:id="20" w:name="_GoBack"/>
            <w:bookmarkEnd w:id="20"/>
          </w:p>
        </w:tc>
        <w:tc>
          <w:tcPr>
            <w:tcW w:w="49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白沙黎族自治县邦溪镇财政所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958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评价工作组组长（签字）：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/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项目单位负责人（签字并盖章）：</w:t>
            </w:r>
          </w:p>
          <w:p>
            <w:pPr>
              <w:ind w:firstLine="6300" w:firstLineChars="30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二〇二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月</w:t>
            </w:r>
          </w:p>
        </w:tc>
      </w:tr>
    </w:tbl>
    <w:p>
      <w:pPr>
        <w:spacing w:line="530" w:lineRule="exact"/>
        <w:ind w:firstLine="221" w:firstLineChars="50"/>
        <w:jc w:val="center"/>
        <w:rPr>
          <w:rFonts w:ascii="宋体" w:hAnsi="宋体"/>
          <w:b/>
          <w:sz w:val="44"/>
          <w:szCs w:val="44"/>
        </w:rPr>
      </w:pPr>
    </w:p>
    <w:p>
      <w:pPr>
        <w:pageBreakBefore/>
        <w:spacing w:line="530" w:lineRule="exact"/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TOC \o "1-2" \h \u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"_Toc23770"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一、基本情况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_Toc23770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"_Toc28343"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（一）项目概况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_Toc28343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"_Toc24517"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（二）项目年度预算绩效目标和绩效指标设定情况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_Toc24517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"_Toc20503"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二、项目组织实施情况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_Toc20503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"_Toc20064"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（一）项目组织情况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_Toc20064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"_Toc22710"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（二）项目管理情况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_Toc22710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"_Toc4435"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三、项目决策及资金使用管理情况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_Toc4435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"_Toc27405"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（一）项目决策情况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_Toc27405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"_Toc29663"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（二）项目资金安排情况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_Toc29663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"_Toc30045"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（三）项目资金使用情况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_Toc30045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"_Toc17207"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（四）项目资金管理情况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_Toc17207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"_Toc12313"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四、项目绩效情况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_Toc12313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"_Toc15821"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（一）项目绩效目标完成情况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_Toc15821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"_Toc20630"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（二）项目绩效目标未完成情况及原因分析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_Toc20630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"_Toc31169"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五、综合评价结论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_Toc31169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"_Toc23070"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六、其他需要说明的问题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_Toc23070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"_Toc25624"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（一）后续工作计划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_Toc25624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9"/>
        <w:tabs>
          <w:tab w:val="right" w:leader="dot" w:pos="8306"/>
        </w:tabs>
        <w:spacing w:line="360" w:lineRule="auto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"_Toc18665"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（二）主要经验及做法、存在问题和改进措施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_Toc18665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fldChar w:fldCharType="begin"/>
      </w:r>
      <w:r>
        <w:instrText xml:space="preserve"> HYPERLINK \l "_Toc18025"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附件：财政支出绩效评价指标体系表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PAGEREF _Toc18025 \h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spacing w:line="360" w:lineRule="auto"/>
        <w:ind w:firstLine="140" w:firstLineChars="50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ageBreakBefore/>
        <w:jc w:val="center"/>
        <w:outlineLvl w:val="0"/>
        <w:rPr>
          <w:rFonts w:ascii="宋体" w:hAnsi="宋体" w:eastAsia="宋体" w:cs="宋体"/>
          <w:b/>
          <w:bCs/>
          <w:sz w:val="44"/>
          <w:szCs w:val="44"/>
        </w:rPr>
      </w:pPr>
      <w:bookmarkStart w:id="0" w:name="_Toc16603"/>
      <w:bookmarkStart w:id="1" w:name="_Toc6084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核算站工作经费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绩效自评报告</w:t>
      </w:r>
      <w:bookmarkEnd w:id="0"/>
      <w:bookmarkEnd w:id="1"/>
    </w:p>
    <w:p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7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根据白沙黎族自治县财政局《关于开展2023年度项目支出绩效自评工作的通知》（白财〔2024〕22号）要求，为推进预算绩效管理工作，提高财政资金使用效益，对本单位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“核算站工作经费”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项目开展绩效自评工作。现就评价情况报告如下：</w:t>
      </w:r>
    </w:p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2" w:name="_Toc23770"/>
      <w:r>
        <w:rPr>
          <w:rFonts w:hint="eastAsia" w:ascii="黑体" w:hAnsi="黑体" w:eastAsia="黑体" w:cs="黑体"/>
          <w:b/>
          <w:bCs/>
          <w:sz w:val="30"/>
          <w:szCs w:val="30"/>
        </w:rPr>
        <w:t>基本情况</w:t>
      </w:r>
      <w:bookmarkEnd w:id="2"/>
    </w:p>
    <w:p>
      <w:pPr>
        <w:numPr>
          <w:ilvl w:val="0"/>
          <w:numId w:val="2"/>
        </w:numPr>
        <w:spacing w:line="560" w:lineRule="exact"/>
        <w:ind w:firstLine="602" w:firstLineChars="20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" w:name="_Toc28343"/>
      <w:r>
        <w:rPr>
          <w:rFonts w:hint="eastAsia" w:ascii="仿宋" w:hAnsi="仿宋" w:eastAsia="仿宋" w:cs="仿宋"/>
          <w:b/>
          <w:bCs/>
          <w:sz w:val="30"/>
          <w:szCs w:val="30"/>
        </w:rPr>
        <w:t>项目概况</w:t>
      </w:r>
      <w:bookmarkEnd w:id="3"/>
    </w:p>
    <w:p>
      <w:pPr>
        <w:spacing w:line="579" w:lineRule="exact"/>
        <w:ind w:firstLine="600" w:firstLineChars="200"/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核算站工作经费属于经常性项目，系本单位实施的2023年预算项目，具体实施内容系开展核算站正常工作等支出，保障系白沙黎族自治县邦溪镇财政所（以下简称“白沙邦溪财政所”）开展日常工作的正常进行。</w:t>
      </w:r>
    </w:p>
    <w:p>
      <w:pPr>
        <w:numPr>
          <w:ilvl w:val="0"/>
          <w:numId w:val="0"/>
        </w:numPr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4" w:name="_Toc24517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项目年度预算绩效目标和绩效指标设定情况</w:t>
      </w:r>
      <w:bookmarkEnd w:id="4"/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项目年度目标：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核算站工作经费在2023年完成。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数量指标：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2023年度核算站工作经费资金支付进度率≥95%；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sz w:val="30"/>
          <w:szCs w:val="30"/>
        </w:rPr>
        <w:t>社会效益指标：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项目实施后社会效益十分明显；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质量指标：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保障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白沙邦溪财政所会议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工作的顺利开展；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时效指标：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2023年度完成支付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白沙邦溪财政所日常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工作所需支出；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成本指标：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项目产出成本控制在≤100%；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服务对象满意度指标：服务对象满意度≥90%。</w:t>
      </w:r>
    </w:p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5" w:name="_Toc20503"/>
      <w:r>
        <w:rPr>
          <w:rFonts w:hint="eastAsia" w:ascii="黑体" w:hAnsi="黑体" w:eastAsia="黑体" w:cs="黑体"/>
          <w:b/>
          <w:bCs/>
          <w:sz w:val="30"/>
          <w:szCs w:val="30"/>
        </w:rPr>
        <w:t>项目组织实施情况</w:t>
      </w:r>
      <w:bookmarkEnd w:id="5"/>
    </w:p>
    <w:p>
      <w:pPr>
        <w:numPr>
          <w:ilvl w:val="0"/>
          <w:numId w:val="3"/>
        </w:numPr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6" w:name="_Toc20064"/>
      <w:r>
        <w:rPr>
          <w:rFonts w:hint="eastAsia" w:ascii="仿宋" w:hAnsi="仿宋" w:eastAsia="仿宋" w:cs="仿宋"/>
          <w:b/>
          <w:bCs/>
          <w:sz w:val="30"/>
          <w:szCs w:val="30"/>
        </w:rPr>
        <w:t>项目组织情况</w:t>
      </w:r>
      <w:bookmarkEnd w:id="6"/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7" w:name="_Toc2271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本单位就日常费用、工资等费用进行比例划分，同时强调谁报销谁负责原则，要求报销人员严格执行白沙县财政报销手续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项目管理情况</w:t>
      </w:r>
      <w:bookmarkEnd w:id="7"/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在项目管理上，坚持以白沙县财政报销手续为主，并严格遵守白沙县有关项目支出管理规定，每一笔支付均要进行审核后方能支出。</w:t>
      </w:r>
    </w:p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8" w:name="_Toc4435"/>
      <w:r>
        <w:rPr>
          <w:rFonts w:hint="eastAsia" w:ascii="黑体" w:hAnsi="黑体" w:eastAsia="黑体" w:cs="黑体"/>
          <w:b/>
          <w:bCs/>
          <w:sz w:val="30"/>
          <w:szCs w:val="30"/>
        </w:rPr>
        <w:t>项目决策及资金使用管理情况</w:t>
      </w:r>
      <w:bookmarkEnd w:id="8"/>
    </w:p>
    <w:p>
      <w:pPr>
        <w:numPr>
          <w:ilvl w:val="0"/>
          <w:numId w:val="0"/>
        </w:numPr>
        <w:adjustRightInd w:val="0"/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9" w:name="_Toc27405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项目决策情况</w:t>
      </w:r>
      <w:bookmarkEnd w:id="9"/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0" w:name="_Toc2966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为保障2023年度本单位日常活动正常开展，本单位通过年初预算安排将核算站工作经费做为2023年预算项目实施。</w:t>
      </w:r>
    </w:p>
    <w:p>
      <w:pPr>
        <w:numPr>
          <w:ilvl w:val="0"/>
          <w:numId w:val="0"/>
        </w:numPr>
        <w:adjustRightInd w:val="0"/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项目资金安排情况</w:t>
      </w:r>
      <w:bookmarkEnd w:id="10"/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11" w:name="_Toc3004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2023年核算站工作经费资金来源自2023年预算批复文件，该项目预算支出源自预算项目“核算站工作经费”，项目预算金额为32,519.00元，本项目资金及时到位率100%。该笔资金全部用于核算站工作需求的支出。</w:t>
      </w:r>
    </w:p>
    <w:p>
      <w:pPr>
        <w:numPr>
          <w:ilvl w:val="0"/>
          <w:numId w:val="0"/>
        </w:numPr>
        <w:adjustRightInd w:val="0"/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项目资金使用情况</w:t>
      </w:r>
      <w:bookmarkEnd w:id="11"/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2" w:name="_Toc17207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截至2023年12月末，本单位2023年核算站工作经费支出金额为32,519.00元，支付进度率100%。</w:t>
      </w:r>
    </w:p>
    <w:p>
      <w:pPr>
        <w:numPr>
          <w:ilvl w:val="0"/>
          <w:numId w:val="0"/>
        </w:numPr>
        <w:adjustRightInd w:val="0"/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项目资金管理情况</w:t>
      </w:r>
      <w:bookmarkEnd w:id="12"/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本单位在项目实施时，虽未制定专门的资金管理办法，但在项目实施过程中严格执行白沙县项目实施及报账程序，采购时遵循三方询价原则确定供应商，在项目支出时均有内部层级审批方才付款。</w:t>
      </w:r>
    </w:p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13" w:name="_Toc12313"/>
      <w:r>
        <w:rPr>
          <w:rFonts w:hint="eastAsia" w:ascii="黑体" w:hAnsi="黑体" w:eastAsia="黑体" w:cs="黑体"/>
          <w:b/>
          <w:bCs/>
          <w:sz w:val="30"/>
          <w:szCs w:val="30"/>
        </w:rPr>
        <w:t>项目绩效情况</w:t>
      </w:r>
      <w:bookmarkEnd w:id="13"/>
    </w:p>
    <w:p>
      <w:pPr>
        <w:numPr>
          <w:ilvl w:val="0"/>
          <w:numId w:val="4"/>
        </w:numPr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14" w:name="_Toc15821"/>
      <w:r>
        <w:rPr>
          <w:rFonts w:hint="eastAsia" w:ascii="仿宋" w:hAnsi="仿宋" w:eastAsia="仿宋" w:cs="仿宋"/>
          <w:b/>
          <w:bCs/>
          <w:sz w:val="30"/>
          <w:szCs w:val="30"/>
        </w:rPr>
        <w:t>项目绩效目标完成情况</w:t>
      </w:r>
      <w:bookmarkEnd w:id="14"/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1.项目的经济性分析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（1）项目成本（预算）控制情况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本项目年初预算安排32,519.00元，全部用于2023年度县核算站工作经费。项目内容符合我县业务工作经济发展需求，本年项目支付金额32,519.00元，预算资金支付率为100%。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（2）项目成本（预算）节约情况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项目经费根据项目内容确定，严格项目开支管理，严格控制经费使用，无重复开支和乱开支现象，项目开支32,519.00元，符合项目预算规定，没有超支与挪用现象。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2.项目的效率性分析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（1）项目的实施进度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本单位根据日常开展工作过程中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支付的工资及日常活动经费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已在2023年完成支付，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给予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本单位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日常活动经费等费用均已按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标准完成支出。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（2）项目完成质量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项目各项费用支出时，完全按照年初计划及费用分配比例实行，同时各项支出均有内部层级审批，项目管理到位，完成质量优。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3.项目的有效性分析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（1）项目预期目标完成程度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该项目有计划、有步骤稳妥实施。截至2023年末，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核算站工作经费”活动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已支出32,519.00元，项目预设的各项绩效目标均已完成。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（2）项目实施对经济和社会的影响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该项目的实施，保障本单位各部门之间日常开展活动，让各部门的日常开展活动中更有积极性,具有明显的促进作用。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4.项目的可持续性分析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5" w:name="_Toc2063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项目作为本单位经常性项目，系履行单位职责的必要环节，每年均可根据实际情况编制预算，项目在政策和资金上有一定保障。项目可持续性较好。</w:t>
      </w:r>
    </w:p>
    <w:bookmarkEnd w:id="15"/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16" w:name="_Toc31169"/>
      <w:r>
        <w:rPr>
          <w:rFonts w:hint="eastAsia" w:ascii="黑体" w:hAnsi="黑体" w:eastAsia="黑体" w:cs="黑体"/>
          <w:b/>
          <w:bCs/>
          <w:sz w:val="30"/>
          <w:szCs w:val="30"/>
        </w:rPr>
        <w:t>综合评价结论</w:t>
      </w:r>
      <w:bookmarkEnd w:id="16"/>
    </w:p>
    <w:p>
      <w:pPr>
        <w:pStyle w:val="19"/>
        <w:snapToGrid w:val="0"/>
        <w:spacing w:before="0" w:beforeLines="0" w:beforeAutospacing="0" w:after="0" w:afterLines="0" w:afterAutospacing="0" w:line="579" w:lineRule="exact"/>
        <w:ind w:firstLine="617" w:firstLineChars="193"/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项目绩效自评工作小组按照项目评价指标表，从项目决策、项目管理、项目绩效三方面对项目进行综合评价，对各项指标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进行综合打分；经评价，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eastAsia="zh-CN"/>
        </w:rPr>
        <w:t>我单位202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/>
        </w:rPr>
        <w:t>核算站工作经费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得分为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分，评价等次为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/>
        </w:rPr>
        <w:t>优秀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，项目绩效目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标基本达到了预期设定的指标。绩效自评打分情况详见后附附件《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核算站工作经费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绩效评价指标体系评分表》。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项目绩效评价得分汇总表</w:t>
      </w:r>
    </w:p>
    <w:tbl>
      <w:tblPr>
        <w:tblStyle w:val="13"/>
        <w:tblW w:w="8332" w:type="dxa"/>
        <w:tblInd w:w="118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59"/>
        <w:gridCol w:w="959"/>
        <w:gridCol w:w="1232"/>
        <w:gridCol w:w="380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评价指标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分值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得分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绩效等级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绩效等级标准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项目决策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优秀</w:t>
            </w:r>
          </w:p>
        </w:tc>
        <w:tc>
          <w:tcPr>
            <w:tcW w:w="380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优秀（18-20）、良好（16-17）、                一般（14-15）、较差（13分以下）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项目管理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优秀</w:t>
            </w:r>
          </w:p>
        </w:tc>
        <w:tc>
          <w:tcPr>
            <w:tcW w:w="380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优秀（22-25）、良好（20-21）、             一般（17-19）、较差（16分以下）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项目绩效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优秀</w:t>
            </w:r>
          </w:p>
        </w:tc>
        <w:tc>
          <w:tcPr>
            <w:tcW w:w="380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优秀（49-55）、良好（44-48）、              一般（38-43）、较差（37以下）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综合绩效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100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优秀</w:t>
            </w:r>
          </w:p>
        </w:tc>
        <w:tc>
          <w:tcPr>
            <w:tcW w:w="380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优秀（90-100）、良好（80-89）、                   一般（60-79）、较差（59以下）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17" w:name="_Toc23070"/>
      <w:r>
        <w:rPr>
          <w:rFonts w:hint="eastAsia" w:ascii="黑体" w:hAnsi="黑体" w:eastAsia="黑体" w:cs="黑体"/>
          <w:b/>
          <w:bCs/>
          <w:sz w:val="30"/>
          <w:szCs w:val="30"/>
        </w:rPr>
        <w:t>其他需要说明的问题</w:t>
      </w:r>
      <w:bookmarkEnd w:id="17"/>
    </w:p>
    <w:p>
      <w:pPr>
        <w:numPr>
          <w:ilvl w:val="0"/>
          <w:numId w:val="5"/>
        </w:numPr>
        <w:spacing w:line="560" w:lineRule="exact"/>
        <w:ind w:firstLine="602" w:firstLineChars="20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18" w:name="_Toc18665"/>
      <w:r>
        <w:rPr>
          <w:rFonts w:hint="eastAsia" w:ascii="仿宋" w:hAnsi="仿宋" w:eastAsia="仿宋" w:cs="仿宋"/>
          <w:b/>
          <w:bCs/>
          <w:sz w:val="30"/>
          <w:szCs w:val="30"/>
        </w:rPr>
        <w:t>主要经验及做法</w:t>
      </w:r>
      <w:bookmarkEnd w:id="18"/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主要经验及做法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在支出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开展专项工作经费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项目时严格执行内部财务管理制度及财政报账制度，在大额经费支出时均有经过单位内部会议讨论决定，项目经费支出合法合规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ageBreakBefore/>
        <w:spacing w:line="560" w:lineRule="exact"/>
        <w:outlineLvl w:val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60" w:lineRule="exact"/>
        <w:ind w:firstLine="602" w:firstLineChars="200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19" w:name="_Toc18025"/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核算站工作经费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绩效评价指标体系表</w:t>
      </w:r>
      <w:bookmarkEnd w:id="19"/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核算站工作经费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目绩效评价指标体系表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 w:val="0"/>
          <w:color w:val="FF000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</w:rPr>
        <w:t>单位：</w:t>
      </w:r>
      <w:r>
        <w:rPr>
          <w:rFonts w:hint="eastAsia" w:ascii="仿宋" w:hAnsi="仿宋" w:eastAsia="仿宋" w:cs="仿宋"/>
          <w:b/>
          <w:bCs/>
          <w:color w:val="auto"/>
          <w:lang w:eastAsia="zh-CN"/>
        </w:rPr>
        <w:t>白沙黎族自治县邦溪镇财政所</w:t>
      </w:r>
      <w:r>
        <w:rPr>
          <w:rFonts w:hint="eastAsia" w:ascii="仿宋" w:hAnsi="仿宋" w:eastAsia="仿宋" w:cs="仿宋"/>
          <w:b w:val="0"/>
          <w:bCs w:val="0"/>
          <w:color w:val="FF0000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FF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</w:rPr>
        <w:t>绩效等级：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优秀</w:t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 xml:space="preserve"> </w:t>
      </w:r>
    </w:p>
    <w:tbl>
      <w:tblPr>
        <w:tblStyle w:val="12"/>
        <w:tblW w:w="14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55"/>
        <w:gridCol w:w="679"/>
        <w:gridCol w:w="572"/>
        <w:gridCol w:w="788"/>
        <w:gridCol w:w="539"/>
        <w:gridCol w:w="2646"/>
        <w:gridCol w:w="2800"/>
        <w:gridCol w:w="3874"/>
        <w:gridCol w:w="470"/>
        <w:gridCol w:w="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指标解释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评价标准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评价依据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项目决策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项目目标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目标内容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目标是否明确、细化、量化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目标明确（1分），目标细化（1分），目标量化（2分）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项目实施目标明确，且已进行细化量化指标。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决策过程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决策依据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项目符合经济社会发展规划和部门年度工作计划，已根据每年实际情况指定年度实施规划。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决策程序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项目符合申报条件，申报批复程序符合市县当地项目预算管理办法，项目并无调整内容。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资金分配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分配办法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办法健全、规范（1分），因素选择全面、合理（3分）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已制定资金管理办法，资金分配因素合理全面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分配结果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资金分配是否符合相关管理办法；分配结果是否合理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项目符合相关分配办法（1分），资金分配合理（3分）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资金分配符合实际情况以及主管部门要求的项目资金管理办法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资金到位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到位率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实际到位/计划到位×100%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根据项目实际到位资金占计划的比重计算得分（3分）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资金到位率100%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到位时效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资金是否及时到位；若未及时到位，是否影响项目进度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项目资金已于2023年初及时到位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资金使用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项目资金使用支出合理合规，不存在截留、挤占、挪用项目资金情况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资金管理、费用支出等制度是否健全，是否严格执行；会计核算是否规范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财务制度健全（1分），严格执行制度（1分），会计核算规范（1分）。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项目管理严格执行主管部门要求的项目费用支出管理制度，会计核算规范。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组织实施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组织机构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机构是否健全、分工是否明确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机构健全、分工明确（1分）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单位内部组织机构健全，项目细节分工明确。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管理制度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是否建立健全项目管理制度；是否严格执行相关项目管理制度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建立健全项目管理制度（2分）；严格执行相关项目管理制度（7分）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项目已建立管理制度，在项目实施过程中严格执行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相关项目管理制度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与白沙县项目支出审批程序。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项目绩效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产出数量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项目产出数量是否达到绩效目标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对照年初或调整后的绩效目标评价产出数量（每个子项目1分，子项目得分=各子项完成率*对应分数，完成率超过100%的按100%计算。本指标总分等于各子项目得分之和，满分11分）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项目资金已经按照年初预算完成支出。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产出质量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项目产出质量是否达到绩效目标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对照年初或调整后的绩效目标评价产出质量（按优6分、良4分、中2分、差1分进行评分）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已预先制定实施计划及费用分配比例，保障了核算站工作的顺利开展，同时各项支出均有内部层级审批，项目管理到位，完成质量优。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产出时效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项目产出时效是否达到绩效目标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对照年初或调整后的绩效目标评价产出时效（按优4分、良2分、中1分、差0分进行评分）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项目产出时效为2023年度完成，实际完成时间为2023年内。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产出成本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项目产出成本是否按绩效目标控制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对照年初或调整后的绩效目标评价产出成本（按优4分、良2分、中1分、差0分进行评分）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项目产出成本已按绩效目标控制在≤100%。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项目效果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经济效益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项目实施是否产生直接或间接经济效益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对照年初或调整后的绩效目标评价经济效益（6分）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项目实施为日常经费类支出未产生可量化的经济效益，该项指标暂按50%得分。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社会效益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项目实施是否产生社会综合效益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对照年初或调整后申报的绩效目标评价社会效益（6分）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项目的实施符合社会综合发展需要，产生了可观的社会综合效益。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环境效益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项目实施是否对环境产生积极或消极影响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对照年初或调整后申报的绩效目标评价环境效益（6分）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项目实施为日常经费类支出未产生可量化的环境效益，该项指标暂按50%得分。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可持续影响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项目实施对人、自然、资源是否带来可持续影响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对照年初或调整后申报的绩效目标评价可持续影响（6分）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项目作为本单位经常性项目，系履行单位职责的必要环节，项目在政策和资金上有一定保障。项目可持续性较好。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服务对象满意度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项目预期服务对象对项目实施的满意程度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7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对照年初或调整后申报的绩效目标评价服务对象满意度（6分）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项目预设目标为满意度≥90%，实际服务对象满意度＞90%。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</w:t>
            </w:r>
          </w:p>
        </w:tc>
      </w:tr>
    </w:tbl>
    <w:p/>
    <w:sectPr>
      <w:pgSz w:w="16838" w:h="11906" w:orient="landscape"/>
      <w:pgMar w:top="1701" w:right="1304" w:bottom="1701" w:left="130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36CBD"/>
    <w:multiLevelType w:val="singleLevel"/>
    <w:tmpl w:val="D6F36C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6B916C"/>
    <w:multiLevelType w:val="singleLevel"/>
    <w:tmpl w:val="0F6B91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01DA4B7"/>
    <w:multiLevelType w:val="singleLevel"/>
    <w:tmpl w:val="201DA4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8CCACEE"/>
    <w:multiLevelType w:val="singleLevel"/>
    <w:tmpl w:val="38CCAC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B6BE433"/>
    <w:multiLevelType w:val="singleLevel"/>
    <w:tmpl w:val="6B6BE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150FE"/>
    <w:rsid w:val="002E4590"/>
    <w:rsid w:val="004B0C38"/>
    <w:rsid w:val="007A52CF"/>
    <w:rsid w:val="00B43686"/>
    <w:rsid w:val="00C150FE"/>
    <w:rsid w:val="01747E56"/>
    <w:rsid w:val="01E70AE2"/>
    <w:rsid w:val="035E4919"/>
    <w:rsid w:val="04A318AA"/>
    <w:rsid w:val="07860FE4"/>
    <w:rsid w:val="08A848AD"/>
    <w:rsid w:val="0E625C06"/>
    <w:rsid w:val="12704669"/>
    <w:rsid w:val="15331FD9"/>
    <w:rsid w:val="17832749"/>
    <w:rsid w:val="18846779"/>
    <w:rsid w:val="1A696896"/>
    <w:rsid w:val="1CDF48C5"/>
    <w:rsid w:val="1EC87BE9"/>
    <w:rsid w:val="1F2E38E2"/>
    <w:rsid w:val="1F3C3F2E"/>
    <w:rsid w:val="1F875CE6"/>
    <w:rsid w:val="22350AE4"/>
    <w:rsid w:val="23D305B1"/>
    <w:rsid w:val="28520641"/>
    <w:rsid w:val="2AB70C30"/>
    <w:rsid w:val="2C870BE6"/>
    <w:rsid w:val="2D655DF8"/>
    <w:rsid w:val="32A76E24"/>
    <w:rsid w:val="340E2648"/>
    <w:rsid w:val="355D23D3"/>
    <w:rsid w:val="35A51E38"/>
    <w:rsid w:val="35ED2F28"/>
    <w:rsid w:val="38F4304F"/>
    <w:rsid w:val="3AA922CF"/>
    <w:rsid w:val="3BAC4BF5"/>
    <w:rsid w:val="3C27466A"/>
    <w:rsid w:val="40FB7670"/>
    <w:rsid w:val="468A212D"/>
    <w:rsid w:val="46EE37D3"/>
    <w:rsid w:val="49171F5C"/>
    <w:rsid w:val="4A427DA8"/>
    <w:rsid w:val="4A8F2006"/>
    <w:rsid w:val="4B6B06B5"/>
    <w:rsid w:val="4BCB5E91"/>
    <w:rsid w:val="4C1930A0"/>
    <w:rsid w:val="4D471547"/>
    <w:rsid w:val="50016325"/>
    <w:rsid w:val="55A77F90"/>
    <w:rsid w:val="5A647BDD"/>
    <w:rsid w:val="5B3F3BFC"/>
    <w:rsid w:val="61F51865"/>
    <w:rsid w:val="62612C54"/>
    <w:rsid w:val="634F128B"/>
    <w:rsid w:val="6398439E"/>
    <w:rsid w:val="643B1CA8"/>
    <w:rsid w:val="667A42E4"/>
    <w:rsid w:val="6F9C5194"/>
    <w:rsid w:val="72C32AB2"/>
    <w:rsid w:val="74A30F93"/>
    <w:rsid w:val="769413F2"/>
    <w:rsid w:val="78E21FA1"/>
    <w:rsid w:val="79DB6935"/>
    <w:rsid w:val="79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widowControl/>
      <w:spacing w:before="150" w:beforeLines="0" w:after="150" w:afterLines="0" w:line="264" w:lineRule="auto"/>
      <w:ind w:firstLine="567"/>
    </w:pPr>
    <w:rPr>
      <w:rFonts w:hint="eastAsia" w:ascii="华文楷体" w:hAnsi="华文楷体" w:eastAsia="华文楷体" w:cs="黑体"/>
      <w:kern w:val="0"/>
      <w:sz w:val="24"/>
      <w:szCs w:val="20"/>
    </w:rPr>
  </w:style>
  <w:style w:type="paragraph" w:styleId="5">
    <w:name w:val="Body Text Indent"/>
    <w:basedOn w:val="1"/>
    <w:unhideWhenUsed/>
    <w:qFormat/>
    <w:uiPriority w:val="99"/>
    <w:pPr>
      <w:spacing w:beforeLines="0" w:afterLines="0"/>
      <w:ind w:left="105" w:hanging="105"/>
    </w:pPr>
    <w:rPr>
      <w:rFonts w:hint="default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Body Text First Indent"/>
    <w:basedOn w:val="4"/>
    <w:next w:val="11"/>
    <w:unhideWhenUsed/>
    <w:qFormat/>
    <w:uiPriority w:val="99"/>
    <w:pPr>
      <w:spacing w:before="0" w:beforeLines="0" w:after="120" w:afterLines="0" w:line="240" w:lineRule="auto"/>
      <w:ind w:firstLine="420" w:firstLineChars="100"/>
    </w:pPr>
    <w:rPr>
      <w:rFonts w:hint="default" w:ascii="Calibri" w:hAnsi="Calibri" w:eastAsia="宋体"/>
      <w:sz w:val="24"/>
      <w:szCs w:val="20"/>
    </w:rPr>
  </w:style>
  <w:style w:type="paragraph" w:styleId="11">
    <w:name w:val="Body Text First Indent 2"/>
    <w:basedOn w:val="5"/>
    <w:next w:val="10"/>
    <w:unhideWhenUsed/>
    <w:qFormat/>
    <w:uiPriority w:val="99"/>
    <w:pPr>
      <w:spacing w:beforeLines="0" w:afterLines="0"/>
      <w:ind w:firstLine="420" w:firstLineChars="200"/>
    </w:pPr>
    <w:rPr>
      <w:rFonts w:hint="default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p14-2"/>
    <w:basedOn w:val="1"/>
    <w:qFormat/>
    <w:uiPriority w:val="0"/>
    <w:pPr>
      <w:spacing w:line="456" w:lineRule="auto"/>
      <w:jc w:val="left"/>
    </w:pPr>
    <w:rPr>
      <w:kern w:val="0"/>
      <w:szCs w:val="21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7027</Words>
  <Characters>7308</Characters>
  <Lines>66</Lines>
  <Paragraphs>18</Paragraphs>
  <TotalTime>1</TotalTime>
  <ScaleCrop>false</ScaleCrop>
  <LinksUpToDate>false</LinksUpToDate>
  <CharactersWithSpaces>7621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2023-04-20T00:00:00Z</dcterms:created>
  <dc:creator>Lenovo1</dc:creator>
  <cp:lastModifiedBy>k09</cp:lastModifiedBy>
  <dcterms:modified xsi:type="dcterms:W3CDTF">2024-04-10T01:03:57Z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8E4BA704067C44E695A36A10726AD99B_13</vt:lpwstr>
  </property>
</Properties>
</file>