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color w:val="auto"/>
          <w:kern w:val="0"/>
          <w:sz w:val="44"/>
          <w:szCs w:val="44"/>
          <w:lang w:val="en-US" w:eastAsia="zh-CN"/>
        </w:rPr>
        <w:t>核算站工作经费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项目</w:t>
      </w:r>
    </w:p>
    <w:p>
      <w:pPr>
        <w:pStyle w:val="10"/>
        <w:rPr>
          <w:rFonts w:hint="eastAsia"/>
          <w:lang w:val="en-US" w:eastAsia="zh-CN"/>
        </w:rPr>
      </w:pPr>
    </w:p>
    <w:p>
      <w:pPr>
        <w:jc w:val="center"/>
        <w:rPr>
          <w:rFonts w:ascii="方正小标宋简体" w:hAnsi="黑体" w:eastAsia="方正小标宋简体" w:cs="宋体"/>
          <w:kern w:val="0"/>
          <w:sz w:val="72"/>
          <w:szCs w:val="72"/>
        </w:rPr>
      </w:pPr>
      <w:r>
        <w:rPr>
          <w:rFonts w:hint="eastAsia" w:ascii="方正小标宋简体" w:hAnsi="黑体" w:eastAsia="方正小标宋简体" w:cs="宋体"/>
          <w:kern w:val="0"/>
          <w:sz w:val="72"/>
          <w:szCs w:val="72"/>
          <w:lang w:eastAsia="zh-CN"/>
        </w:rPr>
        <w:t>绩效自评</w:t>
      </w:r>
      <w:r>
        <w:rPr>
          <w:rFonts w:hint="eastAsia" w:ascii="方正小标宋简体" w:hAnsi="黑体" w:eastAsia="方正小标宋简体" w:cs="宋体"/>
          <w:kern w:val="0"/>
          <w:sz w:val="72"/>
          <w:szCs w:val="72"/>
        </w:rPr>
        <w:t>报告</w:t>
      </w: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  <w:u w:val="none"/>
        </w:rPr>
      </w:pPr>
    </w:p>
    <w:p>
      <w:pPr>
        <w:rPr>
          <w:rFonts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</w:rPr>
        <w:t xml:space="preserve">    </w:t>
      </w:r>
      <w:r>
        <w:rPr>
          <w:rFonts w:hint="eastAsia" w:hAnsi="宋体"/>
          <w:sz w:val="28"/>
          <w:szCs w:val="28"/>
          <w:u w:val="none"/>
        </w:rPr>
        <w:t xml:space="preserve"> 评价类型：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实施过程评价      </w:t>
      </w:r>
      <w:r>
        <w:rPr>
          <w:rFonts w:hint="eastAsia" w:hAnsi="宋体"/>
          <w:spacing w:val="-20"/>
          <w:sz w:val="36"/>
          <w:u w:val="none"/>
          <w:lang w:eastAsia="zh-CN"/>
        </w:rPr>
        <w:t>☑</w:t>
      </w:r>
      <w:r>
        <w:rPr>
          <w:rFonts w:hint="eastAsia" w:hAnsi="宋体"/>
          <w:sz w:val="28"/>
          <w:szCs w:val="28"/>
          <w:u w:val="none"/>
        </w:rPr>
        <w:t>完成结果评价</w:t>
      </w:r>
    </w:p>
    <w:p>
      <w:pPr>
        <w:ind w:left="1400" w:hanging="1400" w:hangingChars="500"/>
        <w:rPr>
          <w:rFonts w:hint="default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</w:rPr>
        <w:t xml:space="preserve">     项目名称：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核算站工作经费                               </w:t>
      </w:r>
    </w:p>
    <w:p>
      <w:pPr>
        <w:ind w:left="2240" w:hanging="2240" w:hangingChars="800"/>
        <w:rPr>
          <w:rFonts w:hint="default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</w:rPr>
        <w:t xml:space="preserve">     项目单位：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白沙黎族自治县邦溪镇财政所                         </w:t>
      </w:r>
    </w:p>
    <w:p>
      <w:pPr>
        <w:ind w:left="1400" w:hanging="1400" w:hangingChars="5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主管部门：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白沙黎族自治县财政局                         </w:t>
      </w:r>
      <w:r>
        <w:rPr>
          <w:rFonts w:hint="eastAsia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hint="default" w:hAnsi="宋体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</w:rPr>
        <w:t xml:space="preserve">     评价时间</w:t>
      </w:r>
      <w:r>
        <w:rPr>
          <w:rFonts w:hint="eastAsia" w:hAnsi="宋体"/>
          <w:color w:val="auto"/>
          <w:sz w:val="28"/>
          <w:szCs w:val="28"/>
        </w:rPr>
        <w:t>：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202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年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月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日至202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年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月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15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日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</w:t>
      </w:r>
    </w:p>
    <w:p>
      <w:pPr>
        <w:ind w:left="1400" w:hanging="1400" w:hangingChars="500"/>
        <w:rPr>
          <w:rFonts w:hAnsi="宋体"/>
          <w:sz w:val="28"/>
          <w:szCs w:val="28"/>
          <w:u w:val="none"/>
        </w:rPr>
      </w:pPr>
      <w:r>
        <w:rPr>
          <w:rFonts w:hint="eastAsia" w:hAnsi="宋体"/>
          <w:sz w:val="28"/>
          <w:szCs w:val="28"/>
        </w:rPr>
        <w:t xml:space="preserve">     </w:t>
      </w:r>
      <w:r>
        <w:rPr>
          <w:rFonts w:hint="eastAsia" w:hAnsi="宋体"/>
          <w:sz w:val="28"/>
          <w:szCs w:val="28"/>
          <w:u w:val="none"/>
        </w:rPr>
        <w:t>组织方式：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财政部门     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主管部门     </w:t>
      </w:r>
      <w:r>
        <w:rPr>
          <w:rFonts w:hint="eastAsia" w:hAnsi="宋体"/>
          <w:spacing w:val="-20"/>
          <w:sz w:val="36"/>
          <w:u w:val="none"/>
          <w:lang w:eastAsia="zh-CN"/>
        </w:rPr>
        <w:t>☑</w:t>
      </w:r>
      <w:r>
        <w:rPr>
          <w:rFonts w:hint="eastAsia" w:hAnsi="宋体"/>
          <w:sz w:val="28"/>
          <w:szCs w:val="28"/>
          <w:u w:val="none"/>
        </w:rPr>
        <w:t>项目单位</w:t>
      </w:r>
    </w:p>
    <w:p>
      <w:pPr>
        <w:ind w:left="1400" w:hanging="1400" w:hangingChars="500"/>
        <w:rPr>
          <w:rFonts w:hAnsi="宋体"/>
          <w:sz w:val="28"/>
          <w:szCs w:val="28"/>
          <w:u w:val="none"/>
        </w:rPr>
      </w:pPr>
      <w:r>
        <w:rPr>
          <w:rFonts w:hint="eastAsia" w:hAnsi="宋体"/>
          <w:sz w:val="28"/>
          <w:szCs w:val="28"/>
          <w:u w:val="none"/>
        </w:rPr>
        <w:t xml:space="preserve">     评价机构：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中介机构     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专家组     </w:t>
      </w:r>
      <w:r>
        <w:rPr>
          <w:rFonts w:hint="eastAsia" w:hAnsi="宋体"/>
          <w:spacing w:val="-20"/>
          <w:sz w:val="36"/>
          <w:u w:val="none"/>
          <w:lang w:eastAsia="zh-CN"/>
        </w:rPr>
        <w:t>☑</w:t>
      </w:r>
      <w:r>
        <w:rPr>
          <w:rFonts w:hint="eastAsia" w:hAnsi="宋体"/>
          <w:sz w:val="28"/>
          <w:szCs w:val="28"/>
          <w:u w:val="none"/>
        </w:rPr>
        <w:t>项目单位评价组</w:t>
      </w:r>
    </w:p>
    <w:p>
      <w:pPr>
        <w:rPr>
          <w:rFonts w:hAnsi="仿宋_GB2312"/>
          <w:szCs w:val="28"/>
        </w:rPr>
      </w:pPr>
    </w:p>
    <w:p>
      <w:pPr>
        <w:ind w:left="1050" w:hanging="1050" w:hangingChars="500"/>
        <w:rPr>
          <w:rFonts w:hAnsi="宋体"/>
          <w:szCs w:val="28"/>
        </w:rPr>
      </w:pPr>
      <w:r>
        <w:rPr>
          <w:rFonts w:hint="eastAsia" w:hAnsi="仿宋_GB2312"/>
          <w:szCs w:val="28"/>
        </w:rPr>
        <w:t xml:space="preserve">           </w:t>
      </w:r>
    </w:p>
    <w:p>
      <w:pPr>
        <w:ind w:left="1400" w:hanging="1400" w:hangingChars="500"/>
        <w:jc w:val="center"/>
        <w:rPr>
          <w:rFonts w:hint="default" w:hAnsi="宋体" w:eastAsiaTheme="minorEastAsia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</w:rPr>
        <w:t>评价单位（盖章）：</w:t>
      </w:r>
      <w:r>
        <w:rPr>
          <w:rFonts w:hint="eastAsia" w:hAnsi="宋体"/>
          <w:sz w:val="28"/>
          <w:szCs w:val="28"/>
          <w:lang w:val="en-US" w:eastAsia="zh-CN"/>
        </w:rPr>
        <w:t>白沙黎族自治县邦溪镇财政所</w:t>
      </w:r>
    </w:p>
    <w:p>
      <w:pPr>
        <w:ind w:left="1400" w:hanging="1400" w:hangingChars="500"/>
        <w:jc w:val="center"/>
        <w:rPr>
          <w:rFonts w:hAnsi="宋体"/>
          <w:szCs w:val="28"/>
        </w:rPr>
      </w:pPr>
      <w:r>
        <w:rPr>
          <w:rFonts w:hint="eastAsia" w:hAnsi="宋体"/>
          <w:sz w:val="28"/>
          <w:szCs w:val="28"/>
        </w:rPr>
        <w:t>上报时间：202</w:t>
      </w:r>
      <w:r>
        <w:rPr>
          <w:rFonts w:hint="eastAsia" w:hAnsi="宋体"/>
          <w:sz w:val="28"/>
          <w:szCs w:val="28"/>
          <w:lang w:val="en-US" w:eastAsia="zh-CN"/>
        </w:rPr>
        <w:t>4</w:t>
      </w:r>
      <w:r>
        <w:rPr>
          <w:rFonts w:hint="eastAsia" w:hAnsi="宋体"/>
          <w:sz w:val="28"/>
          <w:szCs w:val="28"/>
        </w:rPr>
        <w:t>年</w:t>
      </w:r>
      <w:r>
        <w:rPr>
          <w:rFonts w:hint="eastAsia" w:hAnsi="宋体"/>
          <w:sz w:val="28"/>
          <w:szCs w:val="28"/>
          <w:lang w:val="en-US" w:eastAsia="zh-CN"/>
        </w:rPr>
        <w:t>3</w:t>
      </w:r>
      <w:r>
        <w:rPr>
          <w:rFonts w:hint="eastAsia" w:hAnsi="宋体"/>
          <w:color w:val="auto"/>
          <w:sz w:val="28"/>
          <w:szCs w:val="28"/>
        </w:rPr>
        <w:t>月</w:t>
      </w:r>
    </w:p>
    <w:p>
      <w:pPr>
        <w:pageBreakBefore/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12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96"/>
        <w:gridCol w:w="396"/>
        <w:gridCol w:w="62"/>
        <w:gridCol w:w="540"/>
        <w:gridCol w:w="797"/>
        <w:gridCol w:w="837"/>
        <w:gridCol w:w="508"/>
        <w:gridCol w:w="332"/>
        <w:gridCol w:w="1350"/>
        <w:gridCol w:w="264"/>
        <w:gridCol w:w="159"/>
        <w:gridCol w:w="1141"/>
        <w:gridCol w:w="257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9583" w:type="dxa"/>
            <w:gridSpan w:val="1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90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项目实施单位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白沙黎族自治县邦溪镇财政所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项目负责人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96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地址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白沙黎族自治县邦溪镇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项目类型</w:t>
            </w:r>
          </w:p>
        </w:tc>
        <w:tc>
          <w:tcPr>
            <w:tcW w:w="762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经常性项目（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）       一次性项目（ </w:t>
            </w:r>
            <w:r>
              <w:rPr>
                <w:rFonts w:hint="eastAsia" w:ascii="Arial" w:hAnsi="Arial" w:eastAsia="仿宋" w:cs="Arial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年初预算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（万元）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3.25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实际到位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（万元）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3.25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实际使用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其中：中央资金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其中：中央资金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其中：中央资金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省级资金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省级资金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省级资金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县级资金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3.25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县级资金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3.25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县级资金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9583" w:type="dxa"/>
            <w:gridSpan w:val="1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二、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绩效评价指标评分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分值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二级指标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分值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三级指标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分值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项目目标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目标内容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决策过程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决策依据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决策程序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资金分配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分配办法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分配结果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</w:t>
            </w: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资金到位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到位率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到位时效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资金管理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资金使用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财务管理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组织实施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组织机构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管理制度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项目产出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产出数量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产出质量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产出时效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产出成本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项目效益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经济效益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社会效益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环境效益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可持续影响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服务对象满意度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100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496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评价等次</w:t>
            </w:r>
          </w:p>
        </w:tc>
        <w:tc>
          <w:tcPr>
            <w:tcW w:w="4615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83" w:type="dxa"/>
            <w:gridSpan w:val="1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tabs>
                <w:tab w:val="left" w:pos="592"/>
              </w:tabs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职务/职称</w:t>
            </w:r>
          </w:p>
        </w:tc>
        <w:tc>
          <w:tcPr>
            <w:tcW w:w="494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陈铭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所长</w:t>
            </w:r>
          </w:p>
        </w:tc>
        <w:tc>
          <w:tcPr>
            <w:tcW w:w="494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白沙黎族自治县邦溪镇财政所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郑小蓉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核算站站长</w:t>
            </w:r>
          </w:p>
        </w:tc>
        <w:tc>
          <w:tcPr>
            <w:tcW w:w="494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白沙黎族自治县邦溪镇财政所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刘丽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报账员</w:t>
            </w:r>
            <w:bookmarkStart w:id="20" w:name="_GoBack"/>
            <w:bookmarkEnd w:id="20"/>
          </w:p>
        </w:tc>
        <w:tc>
          <w:tcPr>
            <w:tcW w:w="494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白沙黎族自治县邦溪镇财政所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4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  <w:jc w:val="center"/>
        </w:trPr>
        <w:tc>
          <w:tcPr>
            <w:tcW w:w="958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评价工作组组长（签字）：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  <w:p/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项目单位负责人（签字并盖章）：</w:t>
            </w:r>
          </w:p>
          <w:p>
            <w:pPr>
              <w:ind w:firstLine="6300" w:firstLineChars="30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6300" w:firstLineChars="3000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6300" w:firstLineChars="3000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二〇二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月</w:t>
            </w:r>
          </w:p>
        </w:tc>
      </w:tr>
    </w:tbl>
    <w:p>
      <w:pPr>
        <w:spacing w:line="530" w:lineRule="exact"/>
        <w:ind w:firstLine="221" w:firstLineChars="50"/>
        <w:jc w:val="center"/>
        <w:rPr>
          <w:rFonts w:ascii="宋体" w:hAnsi="宋体"/>
          <w:b/>
          <w:sz w:val="44"/>
          <w:szCs w:val="44"/>
        </w:rPr>
      </w:pPr>
    </w:p>
    <w:p>
      <w:pPr>
        <w:pageBreakBefore/>
        <w:spacing w:line="530" w:lineRule="exact"/>
        <w:ind w:firstLine="221" w:firstLineChar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目  录</w:t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TOC \o "1-2" \h \u 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"_Toc23770"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一、基本情况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_Toc23770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"_Toc28343"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（一）项目概况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_Toc28343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"_Toc24517"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（二）项目年度预算绩效目标和绩效指标设定情况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_Toc24517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"_Toc20503"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二、项目组织实施情况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_Toc20503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"_Toc20064"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（一）项目组织情况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_Toc20064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"_Toc22710"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（二）项目管理情况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_Toc22710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"_Toc4435"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三、项目决策及资金使用管理情况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_Toc4435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"_Toc27405"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（一）项目决策情况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_Toc27405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"_Toc29663"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（二）项目资金安排情况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_Toc29663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"_Toc30045"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（三）项目资金使用情况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_Toc30045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"_Toc17207"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（四）项目资金管理情况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_Toc17207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"_Toc12313"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四、项目绩效情况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_Toc12313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"_Toc15821"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（一）项目绩效目标完成情况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_Toc15821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"_Toc20630"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（二）项目绩效目标未完成情况及原因分析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_Toc20630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"_Toc31169"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五、综合评价结论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_Toc31169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"_Toc23070"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六、其他需要说明的问题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_Toc23070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"_Toc25624"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（一）后续工作计划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_Toc25624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"_Toc18665"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（二）主要经验及做法、存在问题和改进措施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_Toc18665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"_Toc18025"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附件：财政支出绩效评价指标体系表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_Toc18025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spacing w:line="360" w:lineRule="auto"/>
        <w:ind w:firstLine="140" w:firstLineChars="50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ageBreakBefore/>
        <w:jc w:val="center"/>
        <w:outlineLvl w:val="0"/>
        <w:rPr>
          <w:rFonts w:ascii="宋体" w:hAnsi="宋体" w:eastAsia="宋体" w:cs="宋体"/>
          <w:b/>
          <w:bCs/>
          <w:sz w:val="44"/>
          <w:szCs w:val="44"/>
        </w:rPr>
      </w:pPr>
      <w:bookmarkStart w:id="0" w:name="_Toc16603"/>
      <w:bookmarkStart w:id="1" w:name="_Toc6084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核算站工作经费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绩效自评报告</w:t>
      </w:r>
      <w:bookmarkEnd w:id="0"/>
      <w:bookmarkEnd w:id="1"/>
    </w:p>
    <w:p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根据白沙黎族自治县财政局《关于开展2023年度项目支出绩效自评工作的通知》（白财〔2024〕22号）要求，为推进预算绩效管理工作，提高财政资金使用效益，对本单位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“核算站工作经费”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项目开展绩效自评工作。现就评价情况报告如下：</w:t>
      </w:r>
    </w:p>
    <w:p>
      <w:pPr>
        <w:numPr>
          <w:ilvl w:val="0"/>
          <w:numId w:val="1"/>
        </w:numPr>
        <w:spacing w:line="560" w:lineRule="exact"/>
        <w:ind w:firstLine="602" w:firstLineChars="200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2" w:name="_Toc23770"/>
      <w:r>
        <w:rPr>
          <w:rFonts w:hint="eastAsia" w:ascii="黑体" w:hAnsi="黑体" w:eastAsia="黑体" w:cs="黑体"/>
          <w:b/>
          <w:bCs/>
          <w:sz w:val="30"/>
          <w:szCs w:val="30"/>
        </w:rPr>
        <w:t>基本情况</w:t>
      </w:r>
      <w:bookmarkEnd w:id="2"/>
    </w:p>
    <w:p>
      <w:pPr>
        <w:numPr>
          <w:ilvl w:val="0"/>
          <w:numId w:val="2"/>
        </w:numPr>
        <w:spacing w:line="560" w:lineRule="exact"/>
        <w:ind w:firstLine="602" w:firstLineChars="200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3" w:name="_Toc28343"/>
      <w:r>
        <w:rPr>
          <w:rFonts w:hint="eastAsia" w:ascii="仿宋" w:hAnsi="仿宋" w:eastAsia="仿宋" w:cs="仿宋"/>
          <w:b/>
          <w:bCs/>
          <w:sz w:val="30"/>
          <w:szCs w:val="30"/>
        </w:rPr>
        <w:t>项目概况</w:t>
      </w:r>
      <w:bookmarkEnd w:id="3"/>
    </w:p>
    <w:p>
      <w:pPr>
        <w:spacing w:line="579" w:lineRule="exact"/>
        <w:ind w:firstLine="600" w:firstLineChars="200"/>
        <w:rPr>
          <w:rFonts w:hint="default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核算站工作经费属于经常性项目，系本单位实施的2023年预算项目，具体实施内容系开展核算站正常工作等支出，保障系白沙黎族自治县邦溪镇财政所（以下简称“白沙邦溪财政所”）开展日常工作的正常进行。</w:t>
      </w:r>
    </w:p>
    <w:p>
      <w:pPr>
        <w:numPr>
          <w:ilvl w:val="0"/>
          <w:numId w:val="0"/>
        </w:numPr>
        <w:spacing w:line="560" w:lineRule="exact"/>
        <w:ind w:firstLine="602" w:firstLineChars="200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bookmarkStart w:id="4" w:name="_Toc24517"/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项目年度预算绩效目标和绩效指标设定情况</w:t>
      </w:r>
      <w:bookmarkEnd w:id="4"/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</w:rPr>
        <w:t>项目年度目标：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核算站工作经费在2023年完成。</w:t>
      </w:r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数量指标：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2023年度核算站工作经费资金支付进度率≥95%；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sz w:val="30"/>
          <w:szCs w:val="30"/>
        </w:rPr>
        <w:t>社会效益指标：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项目实施后社会效益十分明显；</w:t>
      </w:r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质量指标：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保障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白沙邦溪财政所会议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工作的顺利开展；</w:t>
      </w:r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时效指标：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2023年度完成支付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白沙邦溪财政所日常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工作所需支出；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成本指标：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项目产出成本控制在≤100%；</w:t>
      </w:r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服务对象满意度指标：服务对象满意度≥90%。</w:t>
      </w:r>
    </w:p>
    <w:p>
      <w:pPr>
        <w:numPr>
          <w:ilvl w:val="0"/>
          <w:numId w:val="1"/>
        </w:numPr>
        <w:spacing w:line="560" w:lineRule="exact"/>
        <w:ind w:firstLine="602" w:firstLineChars="200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5" w:name="_Toc20503"/>
      <w:r>
        <w:rPr>
          <w:rFonts w:hint="eastAsia" w:ascii="黑体" w:hAnsi="黑体" w:eastAsia="黑体" w:cs="黑体"/>
          <w:b/>
          <w:bCs/>
          <w:sz w:val="30"/>
          <w:szCs w:val="30"/>
        </w:rPr>
        <w:t>项目组织实施情况</w:t>
      </w:r>
      <w:bookmarkEnd w:id="5"/>
    </w:p>
    <w:p>
      <w:pPr>
        <w:numPr>
          <w:ilvl w:val="0"/>
          <w:numId w:val="3"/>
        </w:numPr>
        <w:spacing w:line="560" w:lineRule="exact"/>
        <w:ind w:firstLine="602" w:firstLineChars="200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bookmarkStart w:id="6" w:name="_Toc20064"/>
      <w:r>
        <w:rPr>
          <w:rFonts w:hint="eastAsia" w:ascii="仿宋" w:hAnsi="仿宋" w:eastAsia="仿宋" w:cs="仿宋"/>
          <w:b/>
          <w:bCs/>
          <w:sz w:val="30"/>
          <w:szCs w:val="30"/>
        </w:rPr>
        <w:t>项目组织情况</w:t>
      </w:r>
      <w:bookmarkEnd w:id="6"/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bookmarkStart w:id="7" w:name="_Toc2271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本单位就日常费用、工资等费用进行比例划分，同时强调谁报销谁负责原则，要求报销人员严格执行白沙县财政报销手续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02" w:firstLineChars="200"/>
        <w:outlineLvl w:val="1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项目管理情况</w:t>
      </w:r>
      <w:bookmarkEnd w:id="7"/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在项目管理上，坚持以白沙县财政报销手续为主，并严格遵守白沙县有关项目支出管理规定，每一笔支付均要进行审核后方能支出。</w:t>
      </w:r>
    </w:p>
    <w:p>
      <w:pPr>
        <w:numPr>
          <w:ilvl w:val="0"/>
          <w:numId w:val="1"/>
        </w:numPr>
        <w:spacing w:line="560" w:lineRule="exact"/>
        <w:ind w:firstLine="602" w:firstLineChars="200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8" w:name="_Toc4435"/>
      <w:r>
        <w:rPr>
          <w:rFonts w:hint="eastAsia" w:ascii="黑体" w:hAnsi="黑体" w:eastAsia="黑体" w:cs="黑体"/>
          <w:b/>
          <w:bCs/>
          <w:sz w:val="30"/>
          <w:szCs w:val="30"/>
        </w:rPr>
        <w:t>项目决策及资金使用管理情况</w:t>
      </w:r>
      <w:bookmarkEnd w:id="8"/>
    </w:p>
    <w:p>
      <w:pPr>
        <w:numPr>
          <w:ilvl w:val="0"/>
          <w:numId w:val="0"/>
        </w:numPr>
        <w:adjustRightInd w:val="0"/>
        <w:spacing w:line="560" w:lineRule="exact"/>
        <w:ind w:firstLine="602" w:firstLineChars="200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bookmarkStart w:id="9" w:name="_Toc27405"/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项目决策情况</w:t>
      </w:r>
      <w:bookmarkEnd w:id="9"/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10" w:name="_Toc29663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为保障2023年度本单位日常活动正常开展，本单位通过年初预算安排将核算站工作经费做为2023年预算项目实施。</w:t>
      </w:r>
    </w:p>
    <w:p>
      <w:pPr>
        <w:numPr>
          <w:ilvl w:val="0"/>
          <w:numId w:val="0"/>
        </w:numPr>
        <w:adjustRightInd w:val="0"/>
        <w:spacing w:line="560" w:lineRule="exact"/>
        <w:ind w:firstLine="602" w:firstLineChars="200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项目资金安排情况</w:t>
      </w:r>
      <w:bookmarkEnd w:id="10"/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11" w:name="_Toc30045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2023年核算站工作经费资金来源自2023年预算批复文件，该项目预算支出源自预算项目“核算站工作经费”，项目预算金额为32,519.00元，本项目资金及时到位率100%。该笔资金全部用于核算站工作需求的支出。</w:t>
      </w:r>
    </w:p>
    <w:p>
      <w:pPr>
        <w:numPr>
          <w:ilvl w:val="0"/>
          <w:numId w:val="0"/>
        </w:numPr>
        <w:adjustRightInd w:val="0"/>
        <w:spacing w:line="560" w:lineRule="exact"/>
        <w:ind w:firstLine="602" w:firstLineChars="200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项目资金使用情况</w:t>
      </w:r>
      <w:bookmarkEnd w:id="11"/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12" w:name="_Toc17207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截至2023年12月末，本单位2023年核算站工作经费支出金额为32,519.00元，支付进度率100%。</w:t>
      </w:r>
    </w:p>
    <w:p>
      <w:pPr>
        <w:numPr>
          <w:ilvl w:val="0"/>
          <w:numId w:val="0"/>
        </w:numPr>
        <w:adjustRightInd w:val="0"/>
        <w:spacing w:line="560" w:lineRule="exact"/>
        <w:ind w:firstLine="602" w:firstLineChars="200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（四）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项目资金管理情况</w:t>
      </w:r>
      <w:bookmarkEnd w:id="12"/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本单位在项目实施时，虽未制定专门的资金管理办法，但在项目实施过程中严格执行白沙县项目实施及报账程序，采购时遵循三方询价原则确定供应商，在项目支出时均有内部层级审批方才付款。</w:t>
      </w:r>
    </w:p>
    <w:p>
      <w:pPr>
        <w:numPr>
          <w:ilvl w:val="0"/>
          <w:numId w:val="1"/>
        </w:numPr>
        <w:spacing w:line="560" w:lineRule="exact"/>
        <w:ind w:firstLine="602" w:firstLineChars="200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13" w:name="_Toc12313"/>
      <w:r>
        <w:rPr>
          <w:rFonts w:hint="eastAsia" w:ascii="黑体" w:hAnsi="黑体" w:eastAsia="黑体" w:cs="黑体"/>
          <w:b/>
          <w:bCs/>
          <w:sz w:val="30"/>
          <w:szCs w:val="30"/>
        </w:rPr>
        <w:t>项目绩效情况</w:t>
      </w:r>
      <w:bookmarkEnd w:id="13"/>
    </w:p>
    <w:p>
      <w:pPr>
        <w:numPr>
          <w:ilvl w:val="0"/>
          <w:numId w:val="4"/>
        </w:numPr>
        <w:spacing w:line="560" w:lineRule="exact"/>
        <w:ind w:firstLine="602" w:firstLineChars="200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bookmarkStart w:id="14" w:name="_Toc15821"/>
      <w:r>
        <w:rPr>
          <w:rFonts w:hint="eastAsia" w:ascii="仿宋" w:hAnsi="仿宋" w:eastAsia="仿宋" w:cs="仿宋"/>
          <w:b/>
          <w:bCs/>
          <w:sz w:val="30"/>
          <w:szCs w:val="30"/>
        </w:rPr>
        <w:t>项目绩效目标完成情况</w:t>
      </w:r>
      <w:bookmarkEnd w:id="14"/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1.项目的经济性分析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（1）项目成本（预算）控制情况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本项目年初预算安排32,519.00元，全部用于2023年度县核算站工作经费。项目内容符合我县业务工作经济发展需求，本年项目支付金额32,519.00元，预算资金支付率为100%。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（2）项目成本（预算）节约情况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项目经费根据项目内容确定，严格项目开支管理，严格控制经费使用，无重复开支和乱开支现象，项目开支32,519.00元，符合项目预算规定，没有超支与挪用现象。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2.项目的效率性分析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（1）项目的实施进度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本单位根据日常开展工作过程中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支付的工资及日常活动经费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已在2023年完成支付，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给予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本单位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日常活动经费等费用均已按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标准完成支出。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（2）项目完成质量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项目各项费用支出时，完全按照年初计划及费用分配比例实行，同时各项支出均有内部层级审批，项目管理到位，完成质量优。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3.项目的有效性分析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（1）项目预期目标完成程度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该项目有计划、有步骤稳妥实施。截至2023年末，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核算站工作经费”活动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已支出32,519.00元，项目预设的各项绩效目标均已完成。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（2）项目实施对经济和社会的影响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该项目的实施，保障本单位各部门之间日常开展活动，让各部门的日常开展活动中更有积极性,具有明显的促进作用。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4.项目的可持续性分析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15" w:name="_Toc2063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项目作为本单位经常性项目，系履行单位职责的必要环节，每年均可根据实际情况编制预算，项目在政策和资金上有一定保障。项目可持续性较好。</w:t>
      </w:r>
    </w:p>
    <w:bookmarkEnd w:id="15"/>
    <w:p>
      <w:pPr>
        <w:numPr>
          <w:ilvl w:val="0"/>
          <w:numId w:val="1"/>
        </w:numPr>
        <w:spacing w:line="560" w:lineRule="exact"/>
        <w:ind w:firstLine="602" w:firstLineChars="200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16" w:name="_Toc31169"/>
      <w:r>
        <w:rPr>
          <w:rFonts w:hint="eastAsia" w:ascii="黑体" w:hAnsi="黑体" w:eastAsia="黑体" w:cs="黑体"/>
          <w:b/>
          <w:bCs/>
          <w:sz w:val="30"/>
          <w:szCs w:val="30"/>
        </w:rPr>
        <w:t>综合评价结论</w:t>
      </w:r>
      <w:bookmarkEnd w:id="16"/>
    </w:p>
    <w:p>
      <w:pPr>
        <w:pStyle w:val="19"/>
        <w:snapToGrid w:val="0"/>
        <w:spacing w:before="0" w:beforeLines="0" w:beforeAutospacing="0" w:after="0" w:afterLines="0" w:afterAutospacing="0" w:line="579" w:lineRule="exact"/>
        <w:ind w:firstLine="617" w:firstLineChars="193"/>
        <w:rPr>
          <w:rFonts w:hint="eastAsia" w:ascii="仿宋" w:hAnsi="仿宋" w:eastAsia="仿宋" w:cs="仿宋"/>
          <w:bCs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</w:rPr>
        <w:t>项目绩效自评工作小组按照项目评价指标表，从项目决策、项目管理、项目绩效三方面对项目进行综合评价，对各项指标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</w:rPr>
        <w:t>进行综合打分；经评价，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eastAsia="zh-CN"/>
        </w:rPr>
        <w:t>我单位202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/>
        </w:rPr>
        <w:t>核算站工作经费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</w:rPr>
        <w:t>得分为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</w:rPr>
        <w:t>分，评价等次为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/>
        </w:rPr>
        <w:t>优秀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</w:rPr>
        <w:t>，项目绩效目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</w:rPr>
        <w:t>标基本达到了预期设定的指标。绩效自评打分情况详见后附附件《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/>
        </w:rPr>
        <w:t>核算站工作经费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</w:rPr>
        <w:t>绩效评价指标体系评分表》。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项目绩效评价得分汇总表</w:t>
      </w:r>
    </w:p>
    <w:tbl>
      <w:tblPr>
        <w:tblStyle w:val="13"/>
        <w:tblW w:w="8332" w:type="dxa"/>
        <w:tblInd w:w="118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59"/>
        <w:gridCol w:w="959"/>
        <w:gridCol w:w="1232"/>
        <w:gridCol w:w="380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tblHeader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评价指标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分值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得分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绩效等级</w:t>
            </w:r>
          </w:p>
        </w:tc>
        <w:tc>
          <w:tcPr>
            <w:tcW w:w="38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绩效等级标准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项目决策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优秀（18-20）、良好（16-17）、                一般（14-15）、较差（13分以下）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项目管理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优秀（22-25）、良好（20-21）、             一般（17-19）、较差（16分以下）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项目绩效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55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46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优秀（49-55）、良好（44-48）、              一般（38-43）、较差（37以下）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综合绩效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100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优秀（90-100）、良好（80-89）、                   一般（60-79）、较差（59以下）</w:t>
            </w:r>
          </w:p>
        </w:tc>
      </w:tr>
    </w:tbl>
    <w:p>
      <w:pPr>
        <w:numPr>
          <w:ilvl w:val="0"/>
          <w:numId w:val="1"/>
        </w:numPr>
        <w:spacing w:line="560" w:lineRule="exact"/>
        <w:ind w:firstLine="602" w:firstLineChars="200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17" w:name="_Toc23070"/>
      <w:r>
        <w:rPr>
          <w:rFonts w:hint="eastAsia" w:ascii="黑体" w:hAnsi="黑体" w:eastAsia="黑体" w:cs="黑体"/>
          <w:b/>
          <w:bCs/>
          <w:sz w:val="30"/>
          <w:szCs w:val="30"/>
        </w:rPr>
        <w:t>其他需要说明的问题</w:t>
      </w:r>
      <w:bookmarkEnd w:id="17"/>
    </w:p>
    <w:p>
      <w:pPr>
        <w:numPr>
          <w:ilvl w:val="0"/>
          <w:numId w:val="5"/>
        </w:numPr>
        <w:spacing w:line="560" w:lineRule="exact"/>
        <w:ind w:firstLine="602" w:firstLineChars="200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bookmarkStart w:id="18" w:name="_Toc18665"/>
      <w:r>
        <w:rPr>
          <w:rFonts w:hint="eastAsia" w:ascii="仿宋" w:hAnsi="仿宋" w:eastAsia="仿宋" w:cs="仿宋"/>
          <w:b/>
          <w:bCs/>
          <w:sz w:val="30"/>
          <w:szCs w:val="30"/>
        </w:rPr>
        <w:t>主要经验及做法</w:t>
      </w:r>
      <w:bookmarkEnd w:id="18"/>
    </w:p>
    <w:p>
      <w:pPr>
        <w:spacing w:line="56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主要经验及做法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eastAsia="zh-CN"/>
        </w:rPr>
        <w:t>在支出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/>
        </w:rPr>
        <w:t>开展专项工作经费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eastAsia="zh-CN"/>
        </w:rPr>
        <w:t>项目时严格执行内部财务管理制度及财政报账制度，在大额经费支出时均有经过单位内部会议讨论决定，项目经费支出合法合规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ageBreakBefore/>
        <w:spacing w:line="560" w:lineRule="exact"/>
        <w:outlineLvl w:val="0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sectPr>
          <w:footerReference r:id="rId3" w:type="default"/>
          <w:pgSz w:w="11906" w:h="16838"/>
          <w:pgMar w:top="1304" w:right="1701" w:bottom="1304" w:left="1701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560" w:lineRule="exact"/>
        <w:ind w:firstLine="602" w:firstLineChars="200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19" w:name="_Toc18025"/>
      <w:r>
        <w:rPr>
          <w:rFonts w:hint="eastAsia" w:ascii="黑体" w:hAnsi="黑体" w:eastAsia="黑体" w:cs="黑体"/>
          <w:b/>
          <w:bCs/>
          <w:sz w:val="30"/>
          <w:szCs w:val="30"/>
        </w:rPr>
        <w:t>附件：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核算站工作经费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绩效评价指标体系表</w:t>
      </w:r>
      <w:bookmarkEnd w:id="19"/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核算站工作经费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目绩效评价指标体系表</w:t>
      </w:r>
    </w:p>
    <w:p>
      <w:pPr>
        <w:pStyle w:val="2"/>
        <w:jc w:val="left"/>
        <w:rPr>
          <w:rFonts w:hint="eastAsia" w:ascii="仿宋" w:hAnsi="仿宋" w:eastAsia="仿宋" w:cs="仿宋"/>
          <w:b w:val="0"/>
          <w:bCs w:val="0"/>
          <w:color w:val="FF000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</w:rPr>
        <w:t>单位：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白沙黎族自治县邦溪镇财政所</w:t>
      </w:r>
      <w:r>
        <w:rPr>
          <w:rFonts w:hint="eastAsia" w:ascii="仿宋" w:hAnsi="仿宋" w:eastAsia="仿宋" w:cs="仿宋"/>
          <w:b w:val="0"/>
          <w:bCs w:val="0"/>
          <w:color w:val="FF0000"/>
        </w:rPr>
        <w:t xml:space="preserve">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FF000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</w:rPr>
        <w:t>绩效等级：</w:t>
      </w:r>
      <w:r>
        <w:rPr>
          <w:rFonts w:hint="eastAsia" w:ascii="仿宋" w:hAnsi="仿宋" w:eastAsia="仿宋" w:cs="仿宋"/>
          <w:b/>
          <w:bCs/>
          <w:color w:val="auto"/>
          <w:lang w:val="en-US" w:eastAsia="zh-CN"/>
        </w:rPr>
        <w:t>优秀</w:t>
      </w:r>
      <w:r>
        <w:rPr>
          <w:rFonts w:hint="eastAsia" w:ascii="仿宋" w:hAnsi="仿宋" w:eastAsia="仿宋" w:cs="仿宋"/>
          <w:b/>
          <w:bCs/>
          <w:color w:val="FF0000"/>
          <w:lang w:val="en-US" w:eastAsia="zh-CN"/>
        </w:rPr>
        <w:t xml:space="preserve"> </w:t>
      </w:r>
    </w:p>
    <w:tbl>
      <w:tblPr>
        <w:tblStyle w:val="12"/>
        <w:tblW w:w="144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555"/>
        <w:gridCol w:w="679"/>
        <w:gridCol w:w="572"/>
        <w:gridCol w:w="788"/>
        <w:gridCol w:w="539"/>
        <w:gridCol w:w="2646"/>
        <w:gridCol w:w="2800"/>
        <w:gridCol w:w="3874"/>
        <w:gridCol w:w="470"/>
        <w:gridCol w:w="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指标解释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评价标准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bidi="ar"/>
              </w:rPr>
              <w:t>评价依据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得分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项目决策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项目目标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目标内容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目标是否明确、细化、量化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目标明确（1分），目标细化（1分），目标量化（2分）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项目实施目标明确，且已进行细化量化指标。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决策过程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决策依据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项目立项是否符合法律法规、相关政策、发展规划以及部门职责，用以反映和考核项目立项依据情况。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项目符合经济社会发展规划和部门年度工作计划，已根据每年实际情况指定年度实施规划。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决策程序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项目符合申报条件，申报批复程序符合市县当地项目预算管理办法，项目并无调整内容。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资金分配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分配办法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办法健全、规范（1分），因素选择全面、合理（3分）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已制定资金管理办法，资金分配因素合理全面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分配结果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资金分配是否符合相关管理办法；分配结果是否合理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项目符合相关分配办法（1分），资金分配合理（3分）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资金分配符合实际情况以及主管部门要求的项目资金管理办法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项目管理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资金到位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到位率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实际到位/计划到位×100%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根据项目实际到位资金占计划的比重计算得分（3分）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资金到位率100%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到位时效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资金是否及时到位；若未及时到位，是否影响项目进度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项目资金已于2023年初及时到位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资金管理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资金使用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项目资金使用支出合理合规，不存在截留、挤占、挪用项目资金情况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资金管理、费用支出等制度是否健全，是否严格执行；会计核算是否规范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财务制度健全（1分），严格执行制度（1分），会计核算规范（1分）。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项目管理严格执行主管部门要求的项目费用支出管理制度，会计核算规范。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组织实施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组织机构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机构是否健全、分工是否明确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机构健全、分工明确（1分）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单位内部组织机构健全，项目细节分工明确。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管理制度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是否建立健全项目管理制度；是否严格执行相关项目管理制度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建立健全项目管理制度（2分）；严格执行相关项目管理制度（7分）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项目已建立管理制度，在项目实施过程中严格执行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相关项目管理制度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与白沙县项目支出审批程序。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项目绩效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产出数量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项目产出数量是否达到绩效目标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对照年初或调整后的绩效目标评价产出数量（每个子项目1分，子项目得分=各子项完成率*对应分数，完成率超过100%的按100%计算。本指标总分等于各子项目得分之和，满分11分）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项目资金已经按照年初预算完成支出。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产出质量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项目产出质量是否达到绩效目标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对照年初或调整后的绩效目标评价产出质量（按优6分、良4分、中2分、差1分进行评分）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已预先制定实施计划及费用分配比例，保障了核算站工作的顺利开展，同时各项支出均有内部层级审批，项目管理到位，完成质量优。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产出时效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项目产出时效是否达到绩效目标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对照年初或调整后的绩效目标评价产出时效（按优4分、良2分、中1分、差0分进行评分）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项目产出时效为2023年度完成，实际完成时间为2023年内。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产出成本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项目产出成本是否按绩效目标控制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对照年初或调整后的绩效目标评价产出成本（按优4分、良2分、中1分、差0分进行评分）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项目产出成本已按绩效目标控制在≤100%。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项目效果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经济效益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项目实施是否产生直接或间接经济效益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对照年初或调整后的绩效目标评价经济效益（6分）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项目实施为日常经费类支出未产生可量化的经济效益，该项指标暂按50%得分。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社会效益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项目实施是否产生社会综合效益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对照年初或调整后申报的绩效目标评价社会效益（6分）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项目的实施符合社会综合发展需要，产生了可观的社会综合效益。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环境效益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项目实施是否对环境产生积极或消极影响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对照年初或调整后申报的绩效目标评价环境效益（6分）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项目实施为日常经费类支出未产生可量化的环境效益，该项指标暂按50%得分。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可持续影响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项目实施对人、自然、资源是否带来可持续影响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对照年初或调整后申报的绩效目标评价可持续影响（6分）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项目作为本单位经常性项目，系履行单位职责的必要环节，项目在政策和资金上有一定保障。项目可持续性较好。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服务对象满意度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项目预期服务对象对项目实施的满意程度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对照年初或调整后申报的绩效目标评价服务对象满意度（6分）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项目预设目标为满意度≥90%，实际服务对象满意度＞90%。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总分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91</w:t>
            </w:r>
          </w:p>
        </w:tc>
      </w:tr>
    </w:tbl>
    <w:p/>
    <w:sectPr>
      <w:pgSz w:w="16838" w:h="11906" w:orient="landscape"/>
      <w:pgMar w:top="1701" w:right="1304" w:bottom="1701" w:left="1304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F36CBD"/>
    <w:multiLevelType w:val="singleLevel"/>
    <w:tmpl w:val="D6F36CB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6B916C"/>
    <w:multiLevelType w:val="singleLevel"/>
    <w:tmpl w:val="0F6B91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01DA4B7"/>
    <w:multiLevelType w:val="singleLevel"/>
    <w:tmpl w:val="201DA4B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8CCACEE"/>
    <w:multiLevelType w:val="singleLevel"/>
    <w:tmpl w:val="38CCAC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B6BE433"/>
    <w:multiLevelType w:val="singleLevel"/>
    <w:tmpl w:val="6B6BE4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150FE"/>
    <w:rsid w:val="002E4590"/>
    <w:rsid w:val="004B0C38"/>
    <w:rsid w:val="007A52CF"/>
    <w:rsid w:val="00B43686"/>
    <w:rsid w:val="00C150FE"/>
    <w:rsid w:val="01747E56"/>
    <w:rsid w:val="01E70AE2"/>
    <w:rsid w:val="035E4919"/>
    <w:rsid w:val="04A318AA"/>
    <w:rsid w:val="07860FE4"/>
    <w:rsid w:val="08A848AD"/>
    <w:rsid w:val="0E625C06"/>
    <w:rsid w:val="12704669"/>
    <w:rsid w:val="15331FD9"/>
    <w:rsid w:val="17832749"/>
    <w:rsid w:val="18846779"/>
    <w:rsid w:val="1A696896"/>
    <w:rsid w:val="1CDF48C5"/>
    <w:rsid w:val="1EC87BE9"/>
    <w:rsid w:val="1F2E38E2"/>
    <w:rsid w:val="1F3C3F2E"/>
    <w:rsid w:val="1F875CE6"/>
    <w:rsid w:val="22350AE4"/>
    <w:rsid w:val="23D305B1"/>
    <w:rsid w:val="28520641"/>
    <w:rsid w:val="2AB70C30"/>
    <w:rsid w:val="2C870BE6"/>
    <w:rsid w:val="2D655DF8"/>
    <w:rsid w:val="32A76E24"/>
    <w:rsid w:val="340E2648"/>
    <w:rsid w:val="355D23D3"/>
    <w:rsid w:val="35A51E38"/>
    <w:rsid w:val="35ED2F28"/>
    <w:rsid w:val="38F4304F"/>
    <w:rsid w:val="3AA922CF"/>
    <w:rsid w:val="3BAC4BF5"/>
    <w:rsid w:val="3C27466A"/>
    <w:rsid w:val="40FB7670"/>
    <w:rsid w:val="468A212D"/>
    <w:rsid w:val="46EE37D3"/>
    <w:rsid w:val="49171F5C"/>
    <w:rsid w:val="4A427DA8"/>
    <w:rsid w:val="4A8F2006"/>
    <w:rsid w:val="4B6B06B5"/>
    <w:rsid w:val="4BCB5E91"/>
    <w:rsid w:val="4C1930A0"/>
    <w:rsid w:val="4D471547"/>
    <w:rsid w:val="50016325"/>
    <w:rsid w:val="55A77F90"/>
    <w:rsid w:val="5A647BDD"/>
    <w:rsid w:val="5B3F3BFC"/>
    <w:rsid w:val="61F51865"/>
    <w:rsid w:val="62612C54"/>
    <w:rsid w:val="634F128B"/>
    <w:rsid w:val="6398439E"/>
    <w:rsid w:val="643B1CA8"/>
    <w:rsid w:val="667A42E4"/>
    <w:rsid w:val="6F9C5194"/>
    <w:rsid w:val="72C32AB2"/>
    <w:rsid w:val="74A30F93"/>
    <w:rsid w:val="769413F2"/>
    <w:rsid w:val="78E21FA1"/>
    <w:rsid w:val="79DB6935"/>
    <w:rsid w:val="79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"/>
    <w:basedOn w:val="1"/>
    <w:unhideWhenUsed/>
    <w:qFormat/>
    <w:uiPriority w:val="0"/>
    <w:pPr>
      <w:widowControl/>
      <w:spacing w:before="150" w:beforeLines="0" w:after="150" w:afterLines="0" w:line="264" w:lineRule="auto"/>
      <w:ind w:firstLine="567"/>
    </w:pPr>
    <w:rPr>
      <w:rFonts w:hint="eastAsia" w:ascii="华文楷体" w:hAnsi="华文楷体" w:eastAsia="华文楷体" w:cs="黑体"/>
      <w:kern w:val="0"/>
      <w:sz w:val="24"/>
      <w:szCs w:val="20"/>
    </w:rPr>
  </w:style>
  <w:style w:type="paragraph" w:styleId="5">
    <w:name w:val="Body Text Indent"/>
    <w:basedOn w:val="1"/>
    <w:unhideWhenUsed/>
    <w:qFormat/>
    <w:uiPriority w:val="99"/>
    <w:pPr>
      <w:spacing w:beforeLines="0" w:afterLines="0"/>
      <w:ind w:left="105" w:hanging="105"/>
    </w:pPr>
    <w:rPr>
      <w:rFonts w:hint="default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Body Text First Indent"/>
    <w:basedOn w:val="4"/>
    <w:next w:val="11"/>
    <w:unhideWhenUsed/>
    <w:qFormat/>
    <w:uiPriority w:val="99"/>
    <w:pPr>
      <w:spacing w:before="0" w:beforeLines="0" w:after="120" w:afterLines="0" w:line="240" w:lineRule="auto"/>
      <w:ind w:firstLine="420" w:firstLineChars="100"/>
    </w:pPr>
    <w:rPr>
      <w:rFonts w:hint="default" w:ascii="Calibri" w:hAnsi="Calibri" w:eastAsia="宋体"/>
      <w:sz w:val="24"/>
      <w:szCs w:val="20"/>
    </w:rPr>
  </w:style>
  <w:style w:type="paragraph" w:styleId="11">
    <w:name w:val="Body Text First Indent 2"/>
    <w:basedOn w:val="5"/>
    <w:next w:val="10"/>
    <w:unhideWhenUsed/>
    <w:qFormat/>
    <w:uiPriority w:val="99"/>
    <w:pPr>
      <w:spacing w:beforeLines="0" w:afterLines="0"/>
      <w:ind w:firstLine="420" w:firstLineChars="200"/>
    </w:pPr>
    <w:rPr>
      <w:rFonts w:hint="default"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p14-2"/>
    <w:basedOn w:val="1"/>
    <w:qFormat/>
    <w:uiPriority w:val="0"/>
    <w:pPr>
      <w:spacing w:line="456" w:lineRule="auto"/>
      <w:jc w:val="left"/>
    </w:pPr>
    <w:rPr>
      <w:kern w:val="0"/>
      <w:szCs w:val="21"/>
    </w:rPr>
  </w:style>
  <w:style w:type="character" w:customStyle="1" w:styleId="17">
    <w:name w:val="font2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51"/>
    <w:basedOn w:val="14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paragraph" w:customStyle="1" w:styleId="19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7027</Words>
  <Characters>7308</Characters>
  <Lines>66</Lines>
  <Paragraphs>18</Paragraphs>
  <TotalTime>1</TotalTime>
  <ScaleCrop>false</ScaleCrop>
  <LinksUpToDate>false</LinksUpToDate>
  <CharactersWithSpaces>7621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2023-04-20T00:00:00Z</dcterms:created>
  <dc:creator>Lenovo1</dc:creator>
  <cp:lastModifiedBy>k09</cp:lastModifiedBy>
  <dcterms:modified xsi:type="dcterms:W3CDTF">2024-04-10T01:03:57Z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8E4BA704067C44E695A36A10726AD99B_13</vt:lpwstr>
  </property>
</Properties>
</file>