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宋体" w:hAnsi="宋体" w:eastAsia="宋体" w:cs="宋体"/>
          <w:i w:val="0"/>
          <w:caps w:val="0"/>
          <w:color w:val="333333"/>
          <w:spacing w:val="0"/>
          <w:sz w:val="24"/>
          <w:szCs w:val="24"/>
        </w:rPr>
      </w:pPr>
      <w:r>
        <w:rPr>
          <w:rFonts w:hint="eastAsia" w:ascii="方正小标宋简体" w:hAnsi="方正小标宋简体" w:eastAsia="方正小标宋简体" w:cs="方正小标宋简体"/>
          <w:b w:val="0"/>
          <w:bCs/>
          <w:kern w:val="44"/>
          <w:sz w:val="44"/>
          <w:szCs w:val="44"/>
          <w:lang w:eastAsia="zh-CN"/>
        </w:rPr>
        <w:t>打安镇</w:t>
      </w:r>
      <w:r>
        <w:rPr>
          <w:rFonts w:hint="eastAsia" w:ascii="方正小标宋简体" w:hAnsi="方正小标宋简体" w:eastAsia="方正小标宋简体" w:cs="方正小标宋简体"/>
          <w:b w:val="0"/>
          <w:bCs/>
          <w:kern w:val="44"/>
          <w:sz w:val="44"/>
          <w:szCs w:val="44"/>
        </w:rPr>
        <w:t>2021政府信息公开工作年度报告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2021年白沙黎族自治县打安镇人民政府共公开12项单位信息内容，其中包括机构概况专栏内的《打安镇人民政府机构概况》，以及《白沙黎族自治县打安镇人民政府2021年预算公开》、关于印发《白沙县打安镇农村裸露土地种草绿化半年专项行动实施方案》、《关于明确监测帮扶对象中非建档立卡脱贫户纳入发展生产奖励金范围的通知》等12项财政信息，积极认真推进政府信息公开工作，在服务经济社会发展、行政权力、资金使用透明化。保障公民群众的知情权、表达权与监督权方面发挥了积极作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kern w:val="0"/>
          <w:sz w:val="32"/>
          <w:szCs w:val="32"/>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仿宋_GB2312" w:hAnsi="仿宋_GB2312" w:eastAsia="仿宋_GB2312" w:cs="仿宋_GB2312"/>
                <w:kern w:val="0"/>
                <w:sz w:val="24"/>
                <w:szCs w:val="24"/>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仿宋_GB2312" w:hAnsi="仿宋_GB2312" w:eastAsia="仿宋_GB2312" w:cs="仿宋_GB2312"/>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b/>
          <w:i w:val="0"/>
          <w:caps w:val="0"/>
          <w:color w:val="333333"/>
          <w:spacing w:val="0"/>
          <w:sz w:val="32"/>
          <w:szCs w:val="32"/>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i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4"/>
        <w:gridCol w:w="3230"/>
        <w:gridCol w:w="689"/>
        <w:gridCol w:w="689"/>
        <w:gridCol w:w="689"/>
        <w:gridCol w:w="689"/>
        <w:gridCol w:w="689"/>
        <w:gridCol w:w="689"/>
        <w:gridCol w:w="6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79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65"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65"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lang w:val="en-US"/>
              </w:rP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lang w:val="en-US"/>
              </w:rP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仿宋_GB2312" w:hAnsi="仿宋_GB2312" w:eastAsia="仿宋_GB2312" w:cs="仿宋_GB2312"/>
                <w:kern w:val="0"/>
                <w:sz w:val="20"/>
                <w:szCs w:val="20"/>
                <w:lang w:val="en-US" w:eastAsia="zh-CN" w:bidi="ar"/>
              </w:rPr>
              <w:t> 0</w:t>
            </w:r>
          </w:p>
        </w:tc>
        <w:tc>
          <w:tcPr>
            <w:tcW w:w="6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仿宋_GB2312" w:hAnsi="仿宋_GB2312" w:eastAsia="仿宋_GB2312" w:cs="仿宋_GB2312"/>
                <w:kern w:val="0"/>
                <w:sz w:val="20"/>
                <w:szCs w:val="20"/>
                <w:lang w:val="en-US" w:eastAsia="zh-CN" w:bidi="ar"/>
              </w:rPr>
              <w:t>0 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四、政府信息公开行政复议、行政诉讼情况</w:t>
      </w:r>
    </w:p>
    <w:tbl>
      <w:tblPr>
        <w:tblStyle w:val="4"/>
        <w:tblW w:w="97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4"/>
        <w:gridCol w:w="644"/>
        <w:gridCol w:w="644"/>
        <w:gridCol w:w="644"/>
        <w:gridCol w:w="644"/>
        <w:gridCol w:w="644"/>
        <w:gridCol w:w="644"/>
        <w:gridCol w:w="645"/>
        <w:gridCol w:w="645"/>
        <w:gridCol w:w="645"/>
        <w:gridCol w:w="645"/>
        <w:gridCol w:w="645"/>
        <w:gridCol w:w="645"/>
        <w:gridCol w:w="645"/>
        <w:gridCol w:w="7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1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2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9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lang w:val="en-US"/>
              </w:rPr>
            </w:pPr>
            <w:r>
              <w:rPr>
                <w:rFonts w:hint="eastAsia" w:ascii="仿宋_GB2312" w:hAnsi="仿宋_GB2312" w:eastAsia="仿宋_GB2312" w:cs="仿宋_GB2312"/>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kern w:val="0"/>
                <w:sz w:val="20"/>
                <w:szCs w:val="20"/>
                <w:lang w:val="en-US" w:eastAsia="zh-CN" w:bidi="ar"/>
              </w:rPr>
              <w:t> 0</w:t>
            </w:r>
          </w:p>
        </w:tc>
        <w:tc>
          <w:tcPr>
            <w:tcW w:w="71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r>
              <w:rPr>
                <w:rFonts w:hint="eastAsia" w:ascii="仿宋_GB2312" w:hAnsi="仿宋_GB2312" w:eastAsia="仿宋_GB2312" w:cs="仿宋_GB2312"/>
                <w:kern w:val="0"/>
                <w:sz w:val="20"/>
                <w:szCs w:val="20"/>
                <w:lang w:val="en-US" w:eastAsia="zh-CN" w:bidi="ar"/>
              </w:rPr>
              <w:t> 0</w:t>
            </w:r>
          </w:p>
        </w:tc>
      </w:tr>
    </w:tbl>
    <w:p>
      <w:pPr>
        <w:keepNext w:val="0"/>
        <w:keepLines w:val="0"/>
        <w:widowControl/>
        <w:suppressLineNumbers w:val="0"/>
        <w:jc w:val="left"/>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存在的问题：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（一）对政务公开工作、政府信息公开工作宣传不足，对政务公开工作不重视。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（二）公开内容简单，工作的时效性有所欠缺。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改进的情况：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（一）不断健全完善政府信息和政务公开工作机制，建立和完善政府公共信息平台。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（二）是加大透明力度，充分利用政府信息公开平台，进一步扩大信息公开的数量与质量，提升透明度。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outlineLvl w:val="9"/>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（三）加强培训沟通，加强相关工作人员的业务能力培训，做到及时了解上级部门关于政府信息公开的最新要求，做到及时、准确地发布政府信息。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color w:val="000000" w:themeColor="text1"/>
          <w:lang w:eastAsia="zh-CN"/>
          <w14:textFill>
            <w14:solidFill>
              <w14:schemeClr w14:val="tx1"/>
            </w14:solidFill>
          </w14:textFill>
        </w:rPr>
      </w:pPr>
      <w:r>
        <w:rPr>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862E6F-3BE5-4907-85ED-0B664198EF8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1E272901-2E31-4F7F-8B7B-AFCC9FF18048}"/>
  </w:font>
  <w:font w:name="仿宋_GB2312">
    <w:panose1 w:val="02010609030101010101"/>
    <w:charset w:val="86"/>
    <w:family w:val="auto"/>
    <w:pitch w:val="default"/>
    <w:sig w:usb0="00000001" w:usb1="080E0000" w:usb2="00000000" w:usb3="00000000" w:csb0="00040000" w:csb1="00000000"/>
    <w:embedRegular r:id="rId3" w:fontKey="{7934E690-BF27-4949-84C5-4C21B80362EB}"/>
  </w:font>
  <w:font w:name="楷体">
    <w:panose1 w:val="02010609060101010101"/>
    <w:charset w:val="86"/>
    <w:family w:val="auto"/>
    <w:pitch w:val="default"/>
    <w:sig w:usb0="800002BF" w:usb1="38CF7CFA" w:usb2="00000016" w:usb3="00000000" w:csb0="00040001" w:csb1="00000000"/>
    <w:embedRegular r:id="rId4" w:fontKey="{4CB82C27-37AB-4F8A-8122-F3226AC41DA7}"/>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6C35CD"/>
    <w:multiLevelType w:val="singleLevel"/>
    <w:tmpl w:val="306C35C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90204"/>
    <w:rsid w:val="19CD4D25"/>
    <w:rsid w:val="2FB477BD"/>
    <w:rsid w:val="3ECC2FD8"/>
    <w:rsid w:val="4E790204"/>
    <w:rsid w:val="716324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白沙县党政机关单位</Company>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2022-01-29T03:24:00Z</dcterms:created>
  <dc:creator>白日梦游</dc:creator>
  <cp:lastModifiedBy>Administrator</cp:lastModifiedBy>
  <dcterms:modified xsi:type="dcterms:W3CDTF">2022-01-29T03:59:44Z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2EBCF65E827E46FE92F1F6616E2942B5</vt:lpwstr>
  </property>
</Properties>
</file>