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sz w:val="27"/>
          <w:szCs w:val="27"/>
        </w:rPr>
        <w:t>打安镇2022政府信息公开工作年度报告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（一）总体情况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2022年白沙黎族自治县打安镇人民政府共公开11项单位信息内容，其中包括公开制度的《打安镇人民政府信息公开制度》，以及公开目录《2022年白沙黎族自治县打安镇人民政府部门预算说明》、《打安镇人民政府2021年绩效自评报告》、《白沙黎族自治县打安镇人民政府2021年度部门决算公开》等11项公开信息，积极认真推进政府信息公开工作，在服务经济社会发展、行政权力、资金使用透明化。保障公民群众的知情权、表达权与监督权方面发挥了积极作用。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（二）主动公开政府信息的情况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2"/>
        <w:gridCol w:w="2178"/>
        <w:gridCol w:w="2178"/>
        <w:gridCol w:w="21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本年制发件数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本年废止件数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规范性文件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行政许可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2"/>
        <w:gridCol w:w="55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行政处罚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行政强制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6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2FB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信息内容</w:t>
            </w:r>
          </w:p>
        </w:tc>
        <w:tc>
          <w:tcPr>
            <w:tcW w:w="37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本年收费金额（单位:万元）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行业事业性收费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（三）收到和处理政府信息公开申请情况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603"/>
        <w:gridCol w:w="1589"/>
        <w:gridCol w:w="617"/>
        <w:gridCol w:w="799"/>
        <w:gridCol w:w="801"/>
        <w:gridCol w:w="1173"/>
        <w:gridCol w:w="1173"/>
        <w:gridCol w:w="431"/>
        <w:gridCol w:w="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自然人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法人或其他组织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50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商业企业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科研机构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社会公益组织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法律服务机构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三、本年度办理结果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1、属于国家秘密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2、其他法律行政法规禁止公开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3、危及“三安全一稳定”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4、保护第三方合法权益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5、属于三类内部事务信息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6、属于四类过程性信息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7、属于行政执法案卷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8、属于行政查询事项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1、本机关不掌握相关政府信息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2、没有现成信息需要另行制作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3、补正后申请内容仍不明确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1、信访举报投诉诉求类申请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2、重复申请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3、要求提供公开出版物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4、无正当理由大量反复申请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5、要求行政机关确认或重新出具已获取信息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1、申请人无正当理由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2、申请人逾期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3、其他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四、结转下年度继续办理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  <w:bdr w:val="none" w:color="auto" w:sz="0" w:space="0"/>
        </w:rPr>
        <w:t>（四）政府信息公开行政复议、行政诉讼情况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06"/>
        <w:gridCol w:w="606"/>
        <w:gridCol w:w="606"/>
        <w:gridCol w:w="363"/>
        <w:gridCol w:w="606"/>
        <w:gridCol w:w="606"/>
        <w:gridCol w:w="606"/>
        <w:gridCol w:w="606"/>
        <w:gridCol w:w="363"/>
        <w:gridCol w:w="607"/>
        <w:gridCol w:w="607"/>
        <w:gridCol w:w="607"/>
        <w:gridCol w:w="607"/>
        <w:gridCol w:w="3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行政复议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未经复议直接起诉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5997"/>
                <w:sz w:val="18"/>
                <w:szCs w:val="18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（五）存在的主要问题及改进情况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存在的问题：（一）对政务公开工作的重要性还未认识到位，政府信息公开工作宣传不足，对政务公开工作不够重视。 （二）公开内容比较简单，部分工作人员对于政府信息公开工作认识不深，工作的时效性有所欠缺。 改进的情况：（一）不断健全完善政府信息和政务公开工作机制，建立和完善政府公共信息平台。 （二）是加大透明力度，充分利用政府信息公开平台，进一步扩大信息公开的数量与质量，提升透明度。 （三）加强培训沟通，加强相关工作人员的业务能力培训，做到及时了解上级部门关于政府信息公开的最新要求，做到及时、准确地发布政府信息。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（六）其他需要报告的事项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 xml:space="preserve">无其他需要报告事项。 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77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1369</Words>
  <Characters>1386</Characters>
  <TotalTime>0</TotalTime>
  <ScaleCrop>false</ScaleCrop>
  <LinksUpToDate>false</LinksUpToDate>
  <CharactersWithSpaces>1414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2023-01-19T02:37:00Z</dcterms:created>
  <dc:creator>Administrator</dc:creator>
  <cp:lastModifiedBy>窃格瓦拉</cp:lastModifiedBy>
  <dcterms:modified xsi:type="dcterms:W3CDTF">2023-01-19T02:37:23Z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779FC4D9983D4D488A3C58ADE7B003A7</vt:lpwstr>
  </property>
</Properties>
</file>