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color w:val="000000"/>
          <w:highlight w:val="none"/>
        </w:rPr>
      </w:pPr>
      <w:r>
        <w:rPr>
          <w:rFonts w:hint="eastAsia" w:ascii="仿宋_GB2312"/>
          <w:color w:val="000000"/>
          <w:highlight w:val="none"/>
        </w:rPr>
        <w:t xml:space="preserve">  </w:t>
      </w:r>
    </w:p>
    <w:p>
      <w:pPr>
        <w:jc w:val="center"/>
        <w:rPr>
          <w:rFonts w:hint="eastAsia" w:ascii="仿宋_GB2312"/>
          <w:b/>
          <w:bCs/>
          <w:color w:val="000000"/>
          <w:highlight w:val="none"/>
        </w:rPr>
      </w:pPr>
      <w:bookmarkStart w:id="1" w:name="_GoBack"/>
      <w:r>
        <w:rPr>
          <w:rFonts w:hint="eastAsia" w:ascii="方正小标宋简体" w:eastAsia="方正小标宋简体"/>
          <w:b/>
          <w:bCs/>
          <w:color w:val="000000"/>
          <w:sz w:val="44"/>
          <w:szCs w:val="44"/>
          <w:highlight w:val="none"/>
          <w:lang w:val="en-US" w:eastAsia="zh-CN"/>
        </w:rPr>
        <w:t>2023年</w:t>
      </w:r>
      <w:r>
        <w:rPr>
          <w:rFonts w:hint="eastAsia" w:ascii="方正小标宋简体" w:eastAsia="方正小标宋简体"/>
          <w:b/>
          <w:bCs/>
          <w:color w:val="000000"/>
          <w:sz w:val="44"/>
          <w:szCs w:val="44"/>
          <w:highlight w:val="none"/>
          <w:lang w:eastAsia="zh-CN"/>
        </w:rPr>
        <w:t>专项债券</w:t>
      </w:r>
      <w:r>
        <w:rPr>
          <w:rFonts w:hint="eastAsia" w:ascii="方正小标宋简体" w:eastAsia="方正小标宋简体"/>
          <w:b/>
          <w:bCs/>
          <w:color w:val="000000"/>
          <w:sz w:val="44"/>
          <w:szCs w:val="44"/>
          <w:highlight w:val="none"/>
          <w:lang w:val="en-US" w:eastAsia="zh-CN"/>
        </w:rPr>
        <w:t>白沙黎族自治县人民医院扩建项目</w:t>
      </w:r>
      <w:r>
        <w:rPr>
          <w:rFonts w:hint="eastAsia" w:ascii="方正小标宋简体" w:eastAsia="方正小标宋简体"/>
          <w:b/>
          <w:bCs/>
          <w:color w:val="000000"/>
          <w:sz w:val="44"/>
          <w:szCs w:val="44"/>
          <w:highlight w:val="none"/>
        </w:rPr>
        <w:t>绩效自评报告</w:t>
      </w:r>
      <w:bookmarkEnd w:id="1"/>
    </w:p>
    <w:p>
      <w:pPr>
        <w:ind w:firstLine="643" w:firstLineChars="200"/>
        <w:outlineLvl w:val="0"/>
        <w:rPr>
          <w:rFonts w:hint="eastAsia" w:ascii="黑体" w:hAnsi="黑体" w:eastAsia="黑体" w:cs="黑体"/>
          <w:b/>
          <w:bCs/>
          <w:color w:val="000000"/>
          <w:highlight w:val="none"/>
        </w:rPr>
      </w:pPr>
      <w:r>
        <w:rPr>
          <w:rFonts w:hint="eastAsia" w:ascii="黑体" w:hAnsi="黑体" w:eastAsia="黑体" w:cs="黑体"/>
          <w:b/>
          <w:bCs/>
          <w:color w:val="000000"/>
          <w:highlight w:val="none"/>
        </w:rPr>
        <w:t>一、项目概况</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3" w:firstLineChars="200"/>
        <w:jc w:val="both"/>
        <w:textAlignment w:val="auto"/>
        <w:rPr>
          <w:rFonts w:hint="eastAsia" w:ascii="仿宋" w:hAnsi="仿宋" w:eastAsia="仿宋" w:cs="仿宋"/>
          <w:b/>
          <w:bCs/>
          <w:color w:val="000000"/>
          <w:highlight w:val="none"/>
          <w:lang w:eastAsia="zh-CN"/>
        </w:rPr>
      </w:pPr>
      <w:r>
        <w:rPr>
          <w:rFonts w:hint="eastAsia" w:ascii="仿宋" w:hAnsi="仿宋" w:eastAsia="仿宋" w:cs="仿宋"/>
          <w:b/>
          <w:bCs/>
          <w:color w:val="000000"/>
          <w:highlight w:val="none"/>
        </w:rPr>
        <w:t>（一）</w:t>
      </w:r>
      <w:r>
        <w:rPr>
          <w:rFonts w:hint="eastAsia" w:ascii="仿宋" w:hAnsi="仿宋" w:eastAsia="仿宋" w:cs="仿宋"/>
          <w:b/>
          <w:bCs/>
          <w:color w:val="000000"/>
          <w:highlight w:val="none"/>
          <w:lang w:eastAsia="zh-CN"/>
        </w:rPr>
        <w:t>项目基本情况</w:t>
      </w:r>
    </w:p>
    <w:p>
      <w:pPr>
        <w:spacing w:line="600" w:lineRule="exact"/>
        <w:ind w:firstLine="640"/>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rPr>
        <w:t>本项目总用地面积51922.46㎡</w:t>
      </w:r>
      <w:r>
        <w:rPr>
          <w:rFonts w:hint="eastAsia" w:ascii="仿宋" w:hAnsi="仿宋" w:eastAsia="仿宋" w:cs="仿宋"/>
          <w:kern w:val="2"/>
          <w:sz w:val="32"/>
          <w:szCs w:val="32"/>
          <w:highlight w:val="none"/>
          <w:lang w:eastAsia="zh-CN"/>
        </w:rPr>
        <w:t>，</w:t>
      </w:r>
      <w:r>
        <w:rPr>
          <w:rFonts w:hint="eastAsia" w:ascii="仿宋" w:hAnsi="仿宋" w:eastAsia="仿宋" w:cs="仿宋"/>
          <w:kern w:val="2"/>
          <w:sz w:val="32"/>
          <w:szCs w:val="32"/>
          <w:highlight w:val="none"/>
        </w:rPr>
        <w:t>新建总建筑面积26149.13㎡，其中地上建筑面积18042.89㎡，地下建筑面积8106.24㎡。主要建设内容包含建筑、结构、给排水、电气、</w:t>
      </w:r>
      <w:r>
        <w:rPr>
          <w:rFonts w:hint="eastAsia" w:ascii="仿宋" w:hAnsi="仿宋" w:eastAsia="仿宋" w:cs="仿宋"/>
          <w:kern w:val="2"/>
          <w:sz w:val="32"/>
          <w:szCs w:val="32"/>
          <w:highlight w:val="none"/>
          <w:lang w:eastAsia="zh-CN"/>
        </w:rPr>
        <w:t>暖通</w:t>
      </w:r>
      <w:r>
        <w:rPr>
          <w:rFonts w:hint="eastAsia" w:ascii="仿宋" w:hAnsi="仿宋" w:eastAsia="仿宋" w:cs="仿宋"/>
          <w:kern w:val="2"/>
          <w:sz w:val="32"/>
          <w:szCs w:val="32"/>
          <w:highlight w:val="none"/>
        </w:rPr>
        <w:t>、</w:t>
      </w:r>
      <w:r>
        <w:rPr>
          <w:rFonts w:hint="eastAsia" w:ascii="仿宋" w:hAnsi="仿宋" w:eastAsia="仿宋" w:cs="仿宋"/>
          <w:kern w:val="2"/>
          <w:sz w:val="32"/>
          <w:szCs w:val="32"/>
          <w:highlight w:val="none"/>
          <w:lang w:eastAsia="zh-CN"/>
        </w:rPr>
        <w:t>室外配套</w:t>
      </w:r>
      <w:r>
        <w:rPr>
          <w:rFonts w:hint="eastAsia" w:ascii="仿宋" w:hAnsi="仿宋" w:eastAsia="仿宋" w:cs="仿宋"/>
          <w:kern w:val="2"/>
          <w:sz w:val="32"/>
          <w:szCs w:val="32"/>
          <w:highlight w:val="none"/>
        </w:rPr>
        <w:t>、主要医疗仪器设备、主要办公设施设备</w:t>
      </w:r>
      <w:r>
        <w:rPr>
          <w:rFonts w:hint="eastAsia" w:ascii="仿宋" w:hAnsi="仿宋" w:eastAsia="仿宋" w:cs="仿宋"/>
          <w:kern w:val="2"/>
          <w:sz w:val="32"/>
          <w:szCs w:val="32"/>
          <w:highlight w:val="none"/>
          <w:lang w:eastAsia="zh-CN"/>
        </w:rPr>
        <w:t>、信息化建设</w:t>
      </w:r>
      <w:r>
        <w:rPr>
          <w:rFonts w:hint="eastAsia" w:ascii="仿宋" w:hAnsi="仿宋" w:eastAsia="仿宋" w:cs="仿宋"/>
          <w:kern w:val="2"/>
          <w:sz w:val="32"/>
          <w:szCs w:val="32"/>
          <w:highlight w:val="none"/>
        </w:rPr>
        <w:t>等</w:t>
      </w:r>
      <w:r>
        <w:rPr>
          <w:rFonts w:hint="eastAsia" w:ascii="仿宋" w:hAnsi="仿宋" w:eastAsia="仿宋" w:cs="仿宋"/>
          <w:kern w:val="2"/>
          <w:sz w:val="32"/>
          <w:szCs w:val="32"/>
          <w:highlight w:val="none"/>
          <w:lang w:eastAsia="zh-CN"/>
        </w:rPr>
        <w:t>，总经济技术指标及拟建建筑技术经济指标</w:t>
      </w:r>
      <w:r>
        <w:rPr>
          <w:rFonts w:hint="eastAsia" w:ascii="仿宋" w:hAnsi="仿宋" w:eastAsia="仿宋" w:cs="仿宋"/>
          <w:kern w:val="2"/>
          <w:sz w:val="32"/>
          <w:szCs w:val="32"/>
          <w:highlight w:val="none"/>
          <w:lang w:val="en-US" w:eastAsia="zh-CN"/>
        </w:rPr>
        <w:t>如下表。</w:t>
      </w:r>
    </w:p>
    <w:tbl>
      <w:tblPr>
        <w:tblStyle w:val="14"/>
        <w:tblpPr w:leftFromText="180" w:rightFromText="180" w:vertAnchor="text" w:horzAnchor="page" w:tblpX="1862" w:tblpY="409"/>
        <w:tblOverlap w:val="never"/>
        <w:tblW w:w="84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5"/>
        <w:gridCol w:w="590"/>
        <w:gridCol w:w="4518"/>
        <w:gridCol w:w="1223"/>
        <w:gridCol w:w="15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7" w:hRule="atLeast"/>
        </w:trPr>
        <w:tc>
          <w:tcPr>
            <w:tcW w:w="8420" w:type="dxa"/>
            <w:gridSpan w:val="5"/>
            <w:noWrap w:val="0"/>
            <w:vAlign w:val="top"/>
          </w:tcPr>
          <w:p>
            <w:pPr>
              <w:tabs>
                <w:tab w:val="left" w:pos="3515"/>
              </w:tabs>
              <w:bidi w:val="0"/>
              <w:jc w:val="left"/>
              <w:rPr>
                <w:rFonts w:hint="eastAsia" w:ascii="仿宋" w:hAnsi="仿宋" w:eastAsia="仿宋" w:cs="仿宋"/>
                <w:color w:val="000000"/>
                <w:kern w:val="0"/>
                <w:sz w:val="22"/>
                <w:szCs w:val="22"/>
                <w:highlight w:val="none"/>
              </w:rPr>
            </w:pPr>
            <w:r>
              <w:rPr>
                <w:rFonts w:hint="eastAsia" w:ascii="仿宋" w:hAnsi="仿宋" w:eastAsia="仿宋" w:cs="仿宋"/>
                <w:highlight w:val="none"/>
                <w:lang w:val="en-US" w:eastAsia="zh-CN"/>
              </w:rPr>
              <w:tab/>
            </w:r>
            <w:r>
              <w:rPr>
                <w:rFonts w:hint="eastAsia" w:ascii="仿宋" w:hAnsi="仿宋" w:eastAsia="仿宋" w:cs="仿宋"/>
                <w:b/>
                <w:bCs/>
                <w:color w:val="000000"/>
                <w:kern w:val="0"/>
                <w:sz w:val="22"/>
                <w:szCs w:val="22"/>
                <w:highlight w:val="none"/>
              </w:rPr>
              <w:t>总技术经济指标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7" w:hRule="atLeast"/>
        </w:trPr>
        <w:tc>
          <w:tcPr>
            <w:tcW w:w="585" w:type="dxa"/>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序号</w:t>
            </w:r>
          </w:p>
        </w:tc>
        <w:tc>
          <w:tcPr>
            <w:tcW w:w="5108" w:type="dxa"/>
            <w:gridSpan w:val="2"/>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项目</w:t>
            </w:r>
          </w:p>
        </w:tc>
        <w:tc>
          <w:tcPr>
            <w:tcW w:w="1223" w:type="dxa"/>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规模</w:t>
            </w:r>
          </w:p>
        </w:tc>
        <w:tc>
          <w:tcPr>
            <w:tcW w:w="1504" w:type="dxa"/>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7" w:hRule="atLeast"/>
        </w:trPr>
        <w:tc>
          <w:tcPr>
            <w:tcW w:w="585" w:type="dxa"/>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1</w:t>
            </w:r>
          </w:p>
        </w:tc>
        <w:tc>
          <w:tcPr>
            <w:tcW w:w="5108" w:type="dxa"/>
            <w:gridSpan w:val="2"/>
            <w:noWrap w:val="0"/>
            <w:vAlign w:val="center"/>
          </w:tcPr>
          <w:p>
            <w:pPr>
              <w:widowControl/>
              <w:ind w:left="0" w:leftChars="0" w:firstLine="0" w:firstLineChars="0"/>
              <w:jc w:val="center"/>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2"/>
                <w:szCs w:val="22"/>
                <w:highlight w:val="none"/>
              </w:rPr>
              <w:t>用地面积</w:t>
            </w:r>
          </w:p>
        </w:tc>
        <w:tc>
          <w:tcPr>
            <w:tcW w:w="1223" w:type="dxa"/>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51922.46m²</w:t>
            </w:r>
          </w:p>
        </w:tc>
        <w:tc>
          <w:tcPr>
            <w:tcW w:w="1504" w:type="dxa"/>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7" w:hRule="atLeast"/>
        </w:trPr>
        <w:tc>
          <w:tcPr>
            <w:tcW w:w="585" w:type="dxa"/>
            <w:tcBorders>
              <w:bottom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2</w:t>
            </w:r>
          </w:p>
        </w:tc>
        <w:tc>
          <w:tcPr>
            <w:tcW w:w="5108" w:type="dxa"/>
            <w:gridSpan w:val="2"/>
            <w:tcBorders>
              <w:bottom w:val="single" w:color="auto" w:sz="4" w:space="0"/>
            </w:tcBorders>
            <w:noWrap w:val="0"/>
            <w:vAlign w:val="center"/>
          </w:tcPr>
          <w:p>
            <w:pPr>
              <w:widowControl/>
              <w:ind w:left="0" w:leftChars="0" w:firstLine="0" w:firstLineChars="0"/>
              <w:jc w:val="center"/>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2"/>
                <w:szCs w:val="22"/>
                <w:highlight w:val="none"/>
              </w:rPr>
              <w:t>总建筑面积</w:t>
            </w:r>
          </w:p>
        </w:tc>
        <w:tc>
          <w:tcPr>
            <w:tcW w:w="1223" w:type="dxa"/>
            <w:tcBorders>
              <w:bottom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55866.94m²</w:t>
            </w:r>
          </w:p>
        </w:tc>
        <w:tc>
          <w:tcPr>
            <w:tcW w:w="1504" w:type="dxa"/>
            <w:tcBorders>
              <w:bottom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7" w:hRule="atLeast"/>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p>
            <w:pPr>
              <w:widowControl/>
              <w:ind w:left="0" w:leftChars="0" w:firstLine="0" w:firstLineChars="0"/>
              <w:jc w:val="center"/>
              <w:rPr>
                <w:rFonts w:hint="eastAsia" w:ascii="仿宋" w:hAnsi="仿宋" w:eastAsia="仿宋" w:cs="仿宋"/>
                <w:color w:val="000000"/>
                <w:kern w:val="0"/>
                <w:sz w:val="22"/>
                <w:szCs w:val="22"/>
                <w:highlight w:val="none"/>
              </w:rPr>
            </w:pPr>
          </w:p>
          <w:p>
            <w:pPr>
              <w:widowControl/>
              <w:ind w:left="0" w:leftChars="0" w:firstLine="0" w:firstLineChars="0"/>
              <w:jc w:val="center"/>
              <w:rPr>
                <w:rFonts w:hint="eastAsia" w:ascii="仿宋" w:hAnsi="仿宋" w:eastAsia="仿宋" w:cs="仿宋"/>
                <w:color w:val="000000"/>
                <w:kern w:val="0"/>
                <w:sz w:val="22"/>
                <w:szCs w:val="22"/>
                <w:highlight w:val="none"/>
              </w:rPr>
            </w:pPr>
          </w:p>
          <w:p>
            <w:pPr>
              <w:widowControl/>
              <w:ind w:left="0" w:leftChars="0" w:firstLine="0" w:firstLineChars="0"/>
              <w:jc w:val="center"/>
              <w:rPr>
                <w:rFonts w:hint="eastAsia" w:ascii="仿宋" w:hAnsi="仿宋" w:eastAsia="仿宋" w:cs="仿宋"/>
                <w:color w:val="000000"/>
                <w:kern w:val="0"/>
                <w:sz w:val="22"/>
                <w:szCs w:val="22"/>
                <w:highlight w:val="none"/>
              </w:rPr>
            </w:pPr>
          </w:p>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其中</w:t>
            </w:r>
          </w:p>
        </w:tc>
        <w:tc>
          <w:tcPr>
            <w:tcW w:w="5108"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b/>
                <w:bCs/>
                <w:color w:val="000000"/>
                <w:kern w:val="0"/>
                <w:sz w:val="22"/>
                <w:szCs w:val="22"/>
                <w:highlight w:val="none"/>
              </w:rPr>
              <w:t>地上建筑面积</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46490.51m²</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7" w:hRule="atLeas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c>
          <w:tcPr>
            <w:tcW w:w="5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其中</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已建建筑地上建筑面积</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28404.38m²</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7" w:hRule="atLeas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c>
          <w:tcPr>
            <w:tcW w:w="5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c>
          <w:tcPr>
            <w:tcW w:w="4518"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拟建医技、内科综合楼地上建筑面积</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15637.41m²</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7" w:hRule="atLeas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c>
          <w:tcPr>
            <w:tcW w:w="5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c>
          <w:tcPr>
            <w:tcW w:w="4518"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拟建急救中心地上建筑面积</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2289.75m²</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7" w:hRule="atLeas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c>
          <w:tcPr>
            <w:tcW w:w="5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c>
          <w:tcPr>
            <w:tcW w:w="4518"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拟建连廊地上建筑面积</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158.97m²</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7" w:hRule="atLeas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c>
          <w:tcPr>
            <w:tcW w:w="5108"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b/>
                <w:bCs/>
                <w:color w:val="000000"/>
                <w:kern w:val="0"/>
                <w:sz w:val="22"/>
                <w:szCs w:val="22"/>
                <w:highlight w:val="none"/>
              </w:rPr>
              <w:t>地下建筑面积</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9376.43m²</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7" w:hRule="atLeas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c>
          <w:tcPr>
            <w:tcW w:w="5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其中</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已建建筑地下建筑面积</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1270.19m²</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7" w:hRule="atLeas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c>
          <w:tcPr>
            <w:tcW w:w="5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c>
          <w:tcPr>
            <w:tcW w:w="4518"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拟建医技、内科综合楼地下建筑面积</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8106.24m²</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7" w:hRule="atLeast"/>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p>
            <w:pPr>
              <w:widowControl/>
              <w:ind w:left="0" w:leftChars="0" w:firstLine="0" w:firstLineChars="0"/>
              <w:jc w:val="center"/>
              <w:rPr>
                <w:rFonts w:hint="eastAsia" w:ascii="仿宋" w:hAnsi="仿宋" w:eastAsia="仿宋" w:cs="仿宋"/>
                <w:color w:val="000000"/>
                <w:kern w:val="0"/>
                <w:sz w:val="22"/>
                <w:szCs w:val="22"/>
                <w:highlight w:val="none"/>
              </w:rPr>
            </w:pPr>
          </w:p>
          <w:p>
            <w:pPr>
              <w:widowControl/>
              <w:ind w:left="0" w:leftChars="0" w:firstLine="0" w:firstLineChars="0"/>
              <w:jc w:val="center"/>
              <w:rPr>
                <w:rFonts w:hint="eastAsia" w:ascii="仿宋" w:hAnsi="仿宋" w:eastAsia="仿宋" w:cs="仿宋"/>
                <w:color w:val="000000"/>
                <w:kern w:val="0"/>
                <w:sz w:val="22"/>
                <w:szCs w:val="22"/>
                <w:highlight w:val="none"/>
              </w:rPr>
            </w:pPr>
          </w:p>
          <w:p>
            <w:pPr>
              <w:widowControl/>
              <w:ind w:left="0" w:leftChars="0" w:firstLine="0" w:firstLineChars="0"/>
              <w:jc w:val="center"/>
              <w:rPr>
                <w:rFonts w:hint="eastAsia" w:ascii="仿宋" w:hAnsi="仿宋" w:eastAsia="仿宋" w:cs="仿宋"/>
                <w:color w:val="000000"/>
                <w:kern w:val="0"/>
                <w:sz w:val="22"/>
                <w:szCs w:val="22"/>
                <w:highlight w:val="none"/>
              </w:rPr>
            </w:pPr>
          </w:p>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其中</w:t>
            </w:r>
          </w:p>
        </w:tc>
        <w:tc>
          <w:tcPr>
            <w:tcW w:w="5108"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b/>
                <w:bCs/>
                <w:color w:val="000000"/>
                <w:kern w:val="0"/>
                <w:sz w:val="22"/>
                <w:szCs w:val="22"/>
                <w:highlight w:val="none"/>
              </w:rPr>
              <w:t>计容建筑面积</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45029.88m²</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7" w:hRule="atLeas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c>
          <w:tcPr>
            <w:tcW w:w="5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其中</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已建建筑计容建筑面积</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27614.25m²</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7" w:hRule="atLeas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c>
          <w:tcPr>
            <w:tcW w:w="5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c>
          <w:tcPr>
            <w:tcW w:w="4518"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拟建医技、内科综合楼计容建筑面积</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15031.83m²</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7" w:hRule="atLeas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c>
          <w:tcPr>
            <w:tcW w:w="5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c>
          <w:tcPr>
            <w:tcW w:w="4518"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拟建急救中心计容建筑面积</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2224.83m'</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7" w:hRule="atLeas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c>
          <w:tcPr>
            <w:tcW w:w="5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c>
          <w:tcPr>
            <w:tcW w:w="4518"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拟建连廊计容建筑面积</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158.97m²</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7" w:hRule="atLeas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c>
          <w:tcPr>
            <w:tcW w:w="5108"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b/>
                <w:bCs/>
                <w:color w:val="000000"/>
                <w:kern w:val="0"/>
                <w:sz w:val="22"/>
                <w:szCs w:val="22"/>
                <w:highlight w:val="none"/>
              </w:rPr>
              <w:t>不计容建筑面积</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10793.82m²</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7" w:hRule="atLeas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c>
          <w:tcPr>
            <w:tcW w:w="5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其中</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已建建筑不计容建筑面积</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2060.32m²</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7" w:hRule="atLeas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c>
          <w:tcPr>
            <w:tcW w:w="5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c>
          <w:tcPr>
            <w:tcW w:w="4518"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拟建医技、内科综合楼不计容建筑面积</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8668.58m²</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7" w:hRule="atLeas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c>
          <w:tcPr>
            <w:tcW w:w="5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c>
          <w:tcPr>
            <w:tcW w:w="4518"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拟建急救中心不计容建筑面积</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64.92m²</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3</w:t>
            </w:r>
          </w:p>
        </w:tc>
        <w:tc>
          <w:tcPr>
            <w:tcW w:w="5108"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b/>
                <w:bCs/>
                <w:color w:val="000000"/>
                <w:kern w:val="0"/>
                <w:sz w:val="22"/>
                <w:szCs w:val="22"/>
                <w:highlight w:val="none"/>
              </w:rPr>
              <w:t>容积率</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0.867</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4</w:t>
            </w:r>
          </w:p>
        </w:tc>
        <w:tc>
          <w:tcPr>
            <w:tcW w:w="5108"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b/>
                <w:bCs/>
                <w:color w:val="000000"/>
                <w:kern w:val="0"/>
                <w:sz w:val="22"/>
                <w:szCs w:val="22"/>
                <w:highlight w:val="none"/>
              </w:rPr>
              <w:t>占地面积</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11274.85m³</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7" w:hRule="atLeast"/>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其中</w:t>
            </w:r>
          </w:p>
        </w:tc>
        <w:tc>
          <w:tcPr>
            <w:tcW w:w="5108"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已建建筑占地面积</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6733.16m²</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7" w:hRule="atLeas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c>
          <w:tcPr>
            <w:tcW w:w="5108"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拟建医技、内科综合楼占地面积</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3820.01m²</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7" w:hRule="atLeas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c>
          <w:tcPr>
            <w:tcW w:w="5108"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拟拟建急救中心占地面积</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562.71m²</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7" w:hRule="atLeas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c>
          <w:tcPr>
            <w:tcW w:w="5108"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拟建连廊占地面积</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158.97m²</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5</w:t>
            </w:r>
          </w:p>
        </w:tc>
        <w:tc>
          <w:tcPr>
            <w:tcW w:w="5108"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2"/>
                <w:szCs w:val="22"/>
                <w:highlight w:val="none"/>
              </w:rPr>
              <w:t>建筑密度</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21.71%</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6</w:t>
            </w:r>
          </w:p>
        </w:tc>
        <w:tc>
          <w:tcPr>
            <w:tcW w:w="5108"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2"/>
                <w:szCs w:val="22"/>
                <w:highlight w:val="none"/>
              </w:rPr>
              <w:t>绿地面积</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20774.18m²</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7</w:t>
            </w:r>
          </w:p>
        </w:tc>
        <w:tc>
          <w:tcPr>
            <w:tcW w:w="5108"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2"/>
                <w:szCs w:val="22"/>
                <w:highlight w:val="none"/>
              </w:rPr>
              <w:t>绿地率</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40.01%</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p>
        </w:tc>
      </w:tr>
    </w:tbl>
    <w:p>
      <w:pPr>
        <w:pStyle w:val="11"/>
        <w:ind w:left="0" w:leftChars="0" w:firstLine="0" w:firstLineChars="0"/>
        <w:rPr>
          <w:rFonts w:hint="eastAsia" w:ascii="仿宋" w:hAnsi="仿宋" w:eastAsia="仿宋" w:cs="仿宋"/>
          <w:kern w:val="2"/>
          <w:sz w:val="32"/>
          <w:szCs w:val="32"/>
          <w:highlight w:val="none"/>
          <w:lang w:val="en-US" w:eastAsia="zh-CN"/>
        </w:rPr>
      </w:pPr>
    </w:p>
    <w:tbl>
      <w:tblPr>
        <w:tblStyle w:val="8"/>
        <w:tblpPr w:leftFromText="180" w:rightFromText="180" w:vertAnchor="text" w:horzAnchor="page" w:tblpX="2020" w:tblpY="518"/>
        <w:tblOverlap w:val="never"/>
        <w:tblW w:w="8642" w:type="dxa"/>
        <w:tblInd w:w="0" w:type="dxa"/>
        <w:tblLayout w:type="fixed"/>
        <w:tblCellMar>
          <w:top w:w="0" w:type="dxa"/>
          <w:left w:w="108" w:type="dxa"/>
          <w:bottom w:w="0" w:type="dxa"/>
          <w:right w:w="108" w:type="dxa"/>
        </w:tblCellMar>
      </w:tblPr>
      <w:tblGrid>
        <w:gridCol w:w="623"/>
        <w:gridCol w:w="648"/>
        <w:gridCol w:w="4111"/>
        <w:gridCol w:w="1701"/>
        <w:gridCol w:w="1559"/>
      </w:tblGrid>
      <w:tr>
        <w:tblPrEx>
          <w:tblLayout w:type="fixed"/>
          <w:tblCellMar>
            <w:top w:w="0" w:type="dxa"/>
            <w:left w:w="108" w:type="dxa"/>
            <w:bottom w:w="0" w:type="dxa"/>
            <w:right w:w="108" w:type="dxa"/>
          </w:tblCellMar>
        </w:tblPrEx>
        <w:trPr>
          <w:trHeight w:val="53" w:hRule="atLeast"/>
        </w:trPr>
        <w:tc>
          <w:tcPr>
            <w:tcW w:w="8642"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2"/>
                <w:szCs w:val="22"/>
                <w:highlight w:val="none"/>
              </w:rPr>
              <w:t>拟建建筑 技术经济指标</w:t>
            </w:r>
          </w:p>
        </w:tc>
      </w:tr>
      <w:tr>
        <w:tblPrEx>
          <w:tblLayout w:type="fixed"/>
          <w:tblCellMar>
            <w:top w:w="0" w:type="dxa"/>
            <w:left w:w="108" w:type="dxa"/>
            <w:bottom w:w="0" w:type="dxa"/>
            <w:right w:w="108" w:type="dxa"/>
          </w:tblCellMar>
        </w:tblPrEx>
        <w:trPr>
          <w:trHeight w:val="53" w:hRule="atLeast"/>
        </w:trPr>
        <w:tc>
          <w:tcPr>
            <w:tcW w:w="623" w:type="dxa"/>
            <w:tcBorders>
              <w:top w:val="nil"/>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序号</w:t>
            </w:r>
          </w:p>
        </w:tc>
        <w:tc>
          <w:tcPr>
            <w:tcW w:w="475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项目</w:t>
            </w:r>
          </w:p>
        </w:tc>
        <w:tc>
          <w:tcPr>
            <w:tcW w:w="170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规模</w:t>
            </w:r>
          </w:p>
        </w:tc>
        <w:tc>
          <w:tcPr>
            <w:tcW w:w="155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备注</w:t>
            </w:r>
          </w:p>
        </w:tc>
      </w:tr>
      <w:tr>
        <w:tblPrEx>
          <w:tblLayout w:type="fixed"/>
          <w:tblCellMar>
            <w:top w:w="0" w:type="dxa"/>
            <w:left w:w="108" w:type="dxa"/>
            <w:bottom w:w="0" w:type="dxa"/>
            <w:right w:w="108" w:type="dxa"/>
          </w:tblCellMar>
        </w:tblPrEx>
        <w:trPr>
          <w:trHeight w:val="53" w:hRule="atLeast"/>
        </w:trPr>
        <w:tc>
          <w:tcPr>
            <w:tcW w:w="623" w:type="dxa"/>
            <w:tcBorders>
              <w:top w:val="nil"/>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2"/>
                <w:szCs w:val="22"/>
                <w:highlight w:val="none"/>
              </w:rPr>
              <w:t>1</w:t>
            </w:r>
          </w:p>
        </w:tc>
        <w:tc>
          <w:tcPr>
            <w:tcW w:w="4759" w:type="dxa"/>
            <w:gridSpan w:val="2"/>
            <w:tcBorders>
              <w:top w:val="single" w:color="auto" w:sz="4" w:space="0"/>
              <w:left w:val="nil"/>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2"/>
                <w:szCs w:val="22"/>
                <w:highlight w:val="none"/>
              </w:rPr>
              <w:t>总建筑面积</w:t>
            </w:r>
          </w:p>
        </w:tc>
        <w:tc>
          <w:tcPr>
            <w:tcW w:w="1701" w:type="dxa"/>
            <w:tcBorders>
              <w:top w:val="nil"/>
              <w:left w:val="nil"/>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2"/>
                <w:szCs w:val="22"/>
                <w:highlight w:val="none"/>
              </w:rPr>
              <w:t>26149.13㎡</w:t>
            </w:r>
          </w:p>
        </w:tc>
        <w:tc>
          <w:tcPr>
            <w:tcW w:w="155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szCs w:val="22"/>
                <w:highlight w:val="none"/>
              </w:rPr>
            </w:pPr>
          </w:p>
        </w:tc>
      </w:tr>
      <w:tr>
        <w:tblPrEx>
          <w:tblLayout w:type="fixed"/>
          <w:tblCellMar>
            <w:top w:w="0" w:type="dxa"/>
            <w:left w:w="108" w:type="dxa"/>
            <w:bottom w:w="0" w:type="dxa"/>
            <w:right w:w="108" w:type="dxa"/>
          </w:tblCellMar>
        </w:tblPrEx>
        <w:trPr>
          <w:trHeight w:val="53" w:hRule="atLeast"/>
        </w:trPr>
        <w:tc>
          <w:tcPr>
            <w:tcW w:w="623" w:type="dxa"/>
            <w:vMerge w:val="restart"/>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其中</w:t>
            </w:r>
          </w:p>
        </w:tc>
        <w:tc>
          <w:tcPr>
            <w:tcW w:w="4759" w:type="dxa"/>
            <w:gridSpan w:val="2"/>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2"/>
                <w:szCs w:val="22"/>
                <w:highlight w:val="none"/>
              </w:rPr>
              <w:t>地上建筑面积</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2"/>
                <w:szCs w:val="22"/>
                <w:highlight w:val="none"/>
              </w:rPr>
              <w:t>18042.89㎡</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szCs w:val="22"/>
                <w:highlight w:val="none"/>
              </w:rPr>
            </w:pPr>
          </w:p>
        </w:tc>
      </w:tr>
      <w:tr>
        <w:tblPrEx>
          <w:tblLayout w:type="fixed"/>
          <w:tblCellMar>
            <w:top w:w="0" w:type="dxa"/>
            <w:left w:w="108" w:type="dxa"/>
            <w:bottom w:w="0" w:type="dxa"/>
            <w:right w:w="108" w:type="dxa"/>
          </w:tblCellMar>
        </w:tblPrEx>
        <w:trPr>
          <w:trHeight w:val="53" w:hRule="atLeast"/>
        </w:trPr>
        <w:tc>
          <w:tcPr>
            <w:tcW w:w="6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2"/>
                <w:highlight w:val="none"/>
              </w:rPr>
            </w:pPr>
          </w:p>
        </w:tc>
        <w:tc>
          <w:tcPr>
            <w:tcW w:w="648" w:type="dxa"/>
            <w:vMerge w:val="restart"/>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其中</w:t>
            </w:r>
          </w:p>
        </w:tc>
        <w:tc>
          <w:tcPr>
            <w:tcW w:w="4111"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拟建医技、内科综合楼 地上建筑面积</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15594.17㎡</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szCs w:val="22"/>
                <w:highlight w:val="none"/>
              </w:rPr>
            </w:pPr>
          </w:p>
        </w:tc>
      </w:tr>
      <w:tr>
        <w:tblPrEx>
          <w:tblLayout w:type="fixed"/>
          <w:tblCellMar>
            <w:top w:w="0" w:type="dxa"/>
            <w:left w:w="108" w:type="dxa"/>
            <w:bottom w:w="0" w:type="dxa"/>
            <w:right w:w="108" w:type="dxa"/>
          </w:tblCellMar>
        </w:tblPrEx>
        <w:trPr>
          <w:trHeight w:val="53" w:hRule="atLeast"/>
        </w:trPr>
        <w:tc>
          <w:tcPr>
            <w:tcW w:w="6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2"/>
                <w:highlight w:val="none"/>
              </w:rPr>
            </w:pPr>
          </w:p>
        </w:tc>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2"/>
                <w:highlight w:val="none"/>
              </w:rPr>
            </w:pPr>
          </w:p>
        </w:tc>
        <w:tc>
          <w:tcPr>
            <w:tcW w:w="4111"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拟建急救中心 地上建筑面积</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2289.75㎡</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szCs w:val="22"/>
                <w:highlight w:val="none"/>
              </w:rPr>
            </w:pPr>
          </w:p>
        </w:tc>
      </w:tr>
      <w:tr>
        <w:tblPrEx>
          <w:tblLayout w:type="fixed"/>
          <w:tblCellMar>
            <w:top w:w="0" w:type="dxa"/>
            <w:left w:w="108" w:type="dxa"/>
            <w:bottom w:w="0" w:type="dxa"/>
            <w:right w:w="108" w:type="dxa"/>
          </w:tblCellMar>
        </w:tblPrEx>
        <w:trPr>
          <w:trHeight w:val="53" w:hRule="atLeast"/>
        </w:trPr>
        <w:tc>
          <w:tcPr>
            <w:tcW w:w="6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2"/>
                <w:highlight w:val="none"/>
              </w:rPr>
            </w:pPr>
          </w:p>
        </w:tc>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2"/>
                <w:highlight w:val="none"/>
              </w:rPr>
            </w:pPr>
          </w:p>
        </w:tc>
        <w:tc>
          <w:tcPr>
            <w:tcW w:w="4111"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拟建连廊 地上建筑面积</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158.97㎡</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szCs w:val="22"/>
                <w:highlight w:val="none"/>
              </w:rPr>
            </w:pPr>
          </w:p>
        </w:tc>
      </w:tr>
      <w:tr>
        <w:tblPrEx>
          <w:tblLayout w:type="fixed"/>
          <w:tblCellMar>
            <w:top w:w="0" w:type="dxa"/>
            <w:left w:w="108" w:type="dxa"/>
            <w:bottom w:w="0" w:type="dxa"/>
            <w:right w:w="108" w:type="dxa"/>
          </w:tblCellMar>
        </w:tblPrEx>
        <w:trPr>
          <w:trHeight w:val="53" w:hRule="atLeast"/>
        </w:trPr>
        <w:tc>
          <w:tcPr>
            <w:tcW w:w="6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2"/>
                <w:highlight w:val="none"/>
              </w:rPr>
            </w:pPr>
          </w:p>
        </w:tc>
        <w:tc>
          <w:tcPr>
            <w:tcW w:w="4759" w:type="dxa"/>
            <w:gridSpan w:val="2"/>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2"/>
                <w:szCs w:val="22"/>
                <w:highlight w:val="none"/>
              </w:rPr>
              <w:t>地下建筑面积</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2"/>
                <w:szCs w:val="22"/>
                <w:highlight w:val="none"/>
              </w:rPr>
              <w:t>8106.24㎡</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szCs w:val="22"/>
                <w:highlight w:val="none"/>
              </w:rPr>
            </w:pPr>
          </w:p>
        </w:tc>
      </w:tr>
      <w:tr>
        <w:tblPrEx>
          <w:tblLayout w:type="fixed"/>
          <w:tblCellMar>
            <w:top w:w="0" w:type="dxa"/>
            <w:left w:w="108" w:type="dxa"/>
            <w:bottom w:w="0" w:type="dxa"/>
            <w:right w:w="108" w:type="dxa"/>
          </w:tblCellMar>
        </w:tblPrEx>
        <w:trPr>
          <w:trHeight w:val="53" w:hRule="atLeast"/>
        </w:trPr>
        <w:tc>
          <w:tcPr>
            <w:tcW w:w="623" w:type="dxa"/>
            <w:vMerge w:val="restart"/>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其中</w:t>
            </w:r>
          </w:p>
        </w:tc>
        <w:tc>
          <w:tcPr>
            <w:tcW w:w="4759" w:type="dxa"/>
            <w:gridSpan w:val="2"/>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2"/>
                <w:szCs w:val="22"/>
                <w:highlight w:val="none"/>
              </w:rPr>
              <w:t>计容建筑面积</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2"/>
                <w:szCs w:val="22"/>
                <w:highlight w:val="none"/>
              </w:rPr>
              <w:t>17415.63㎡</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szCs w:val="22"/>
                <w:highlight w:val="none"/>
              </w:rPr>
            </w:pPr>
          </w:p>
        </w:tc>
      </w:tr>
      <w:tr>
        <w:tblPrEx>
          <w:tblLayout w:type="fixed"/>
          <w:tblCellMar>
            <w:top w:w="0" w:type="dxa"/>
            <w:left w:w="108" w:type="dxa"/>
            <w:bottom w:w="0" w:type="dxa"/>
            <w:right w:w="108" w:type="dxa"/>
          </w:tblCellMar>
        </w:tblPrEx>
        <w:trPr>
          <w:trHeight w:val="53" w:hRule="atLeast"/>
        </w:trPr>
        <w:tc>
          <w:tcPr>
            <w:tcW w:w="6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2"/>
                <w:highlight w:val="none"/>
              </w:rPr>
            </w:pPr>
          </w:p>
        </w:tc>
        <w:tc>
          <w:tcPr>
            <w:tcW w:w="648" w:type="dxa"/>
            <w:vMerge w:val="restart"/>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其中</w:t>
            </w:r>
          </w:p>
        </w:tc>
        <w:tc>
          <w:tcPr>
            <w:tcW w:w="4111"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拟建医技、内科综合楼 计容建筑面积</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15031.83㎡</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szCs w:val="22"/>
                <w:highlight w:val="none"/>
              </w:rPr>
            </w:pPr>
          </w:p>
        </w:tc>
      </w:tr>
      <w:tr>
        <w:tblPrEx>
          <w:tblLayout w:type="fixed"/>
          <w:tblCellMar>
            <w:top w:w="0" w:type="dxa"/>
            <w:left w:w="108" w:type="dxa"/>
            <w:bottom w:w="0" w:type="dxa"/>
            <w:right w:w="108" w:type="dxa"/>
          </w:tblCellMar>
        </w:tblPrEx>
        <w:trPr>
          <w:trHeight w:val="53" w:hRule="atLeast"/>
        </w:trPr>
        <w:tc>
          <w:tcPr>
            <w:tcW w:w="6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2"/>
                <w:highlight w:val="none"/>
              </w:rPr>
            </w:pPr>
          </w:p>
        </w:tc>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2"/>
                <w:highlight w:val="none"/>
              </w:rPr>
            </w:pPr>
          </w:p>
        </w:tc>
        <w:tc>
          <w:tcPr>
            <w:tcW w:w="4111"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拟建急救中心 计容建筑面积</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2224.83㎡</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szCs w:val="22"/>
                <w:highlight w:val="none"/>
              </w:rPr>
            </w:pPr>
          </w:p>
        </w:tc>
      </w:tr>
      <w:tr>
        <w:tblPrEx>
          <w:tblLayout w:type="fixed"/>
          <w:tblCellMar>
            <w:top w:w="0" w:type="dxa"/>
            <w:left w:w="108" w:type="dxa"/>
            <w:bottom w:w="0" w:type="dxa"/>
            <w:right w:w="108" w:type="dxa"/>
          </w:tblCellMar>
        </w:tblPrEx>
        <w:trPr>
          <w:trHeight w:val="53" w:hRule="atLeast"/>
        </w:trPr>
        <w:tc>
          <w:tcPr>
            <w:tcW w:w="6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2"/>
                <w:highlight w:val="none"/>
              </w:rPr>
            </w:pPr>
          </w:p>
        </w:tc>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2"/>
                <w:highlight w:val="none"/>
              </w:rPr>
            </w:pPr>
          </w:p>
        </w:tc>
        <w:tc>
          <w:tcPr>
            <w:tcW w:w="4111"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拟建连廊 计容建筑面积</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158.97㎡</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szCs w:val="22"/>
                <w:highlight w:val="none"/>
              </w:rPr>
            </w:pPr>
          </w:p>
        </w:tc>
      </w:tr>
      <w:tr>
        <w:tblPrEx>
          <w:tblLayout w:type="fixed"/>
          <w:tblCellMar>
            <w:top w:w="0" w:type="dxa"/>
            <w:left w:w="108" w:type="dxa"/>
            <w:bottom w:w="0" w:type="dxa"/>
            <w:right w:w="108" w:type="dxa"/>
          </w:tblCellMar>
        </w:tblPrEx>
        <w:trPr>
          <w:trHeight w:val="53" w:hRule="atLeast"/>
        </w:trPr>
        <w:tc>
          <w:tcPr>
            <w:tcW w:w="623"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仿宋" w:hAnsi="仿宋" w:eastAsia="仿宋" w:cs="仿宋"/>
                <w:color w:val="000000"/>
                <w:kern w:val="0"/>
                <w:sz w:val="22"/>
                <w:szCs w:val="22"/>
                <w:highlight w:val="none"/>
              </w:rPr>
            </w:pPr>
          </w:p>
        </w:tc>
        <w:tc>
          <w:tcPr>
            <w:tcW w:w="4759" w:type="dxa"/>
            <w:gridSpan w:val="2"/>
            <w:tcBorders>
              <w:top w:val="single" w:color="auto" w:sz="4" w:space="0"/>
              <w:left w:val="nil"/>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2"/>
                <w:szCs w:val="22"/>
                <w:highlight w:val="none"/>
              </w:rPr>
              <w:t>不计容建筑面积</w:t>
            </w:r>
          </w:p>
        </w:tc>
        <w:tc>
          <w:tcPr>
            <w:tcW w:w="1701" w:type="dxa"/>
            <w:tcBorders>
              <w:top w:val="single" w:color="auto" w:sz="4" w:space="0"/>
              <w:left w:val="nil"/>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2"/>
                <w:szCs w:val="22"/>
                <w:highlight w:val="none"/>
              </w:rPr>
              <w:t>8733.50㎡</w:t>
            </w:r>
          </w:p>
        </w:tc>
        <w:tc>
          <w:tcPr>
            <w:tcW w:w="155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szCs w:val="22"/>
                <w:highlight w:val="none"/>
              </w:rPr>
            </w:pPr>
          </w:p>
        </w:tc>
      </w:tr>
      <w:tr>
        <w:tblPrEx>
          <w:tblLayout w:type="fixed"/>
          <w:tblCellMar>
            <w:top w:w="0" w:type="dxa"/>
            <w:left w:w="108" w:type="dxa"/>
            <w:bottom w:w="0" w:type="dxa"/>
            <w:right w:w="108" w:type="dxa"/>
          </w:tblCellMar>
        </w:tblPrEx>
        <w:trPr>
          <w:trHeight w:val="53" w:hRule="atLeast"/>
        </w:trPr>
        <w:tc>
          <w:tcPr>
            <w:tcW w:w="6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eastAsia" w:ascii="仿宋" w:hAnsi="仿宋" w:eastAsia="仿宋" w:cs="仿宋"/>
                <w:color w:val="000000"/>
                <w:kern w:val="0"/>
                <w:sz w:val="22"/>
                <w:szCs w:val="22"/>
                <w:highlight w:val="none"/>
              </w:rPr>
            </w:pPr>
          </w:p>
        </w:tc>
        <w:tc>
          <w:tcPr>
            <w:tcW w:w="648" w:type="dxa"/>
            <w:vMerge w:val="restart"/>
            <w:tcBorders>
              <w:top w:val="nil"/>
              <w:left w:val="single" w:color="auto" w:sz="4" w:space="0"/>
              <w:bottom w:val="single" w:color="000000" w:sz="4" w:space="0"/>
              <w:right w:val="single" w:color="auto" w:sz="4" w:space="0"/>
            </w:tcBorders>
            <w:noWrap/>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其中</w:t>
            </w:r>
          </w:p>
        </w:tc>
        <w:tc>
          <w:tcPr>
            <w:tcW w:w="4111" w:type="dxa"/>
            <w:tcBorders>
              <w:top w:val="nil"/>
              <w:left w:val="nil"/>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拟建医技、内科综合楼不计容建筑面积</w:t>
            </w:r>
          </w:p>
        </w:tc>
        <w:tc>
          <w:tcPr>
            <w:tcW w:w="1701" w:type="dxa"/>
            <w:tcBorders>
              <w:top w:val="nil"/>
              <w:left w:val="nil"/>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8668.58㎡</w:t>
            </w:r>
          </w:p>
        </w:tc>
        <w:tc>
          <w:tcPr>
            <w:tcW w:w="155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szCs w:val="22"/>
                <w:highlight w:val="none"/>
              </w:rPr>
            </w:pPr>
          </w:p>
        </w:tc>
      </w:tr>
      <w:tr>
        <w:tblPrEx>
          <w:tblLayout w:type="fixed"/>
          <w:tblCellMar>
            <w:top w:w="0" w:type="dxa"/>
            <w:left w:w="108" w:type="dxa"/>
            <w:bottom w:w="0" w:type="dxa"/>
            <w:right w:w="108" w:type="dxa"/>
          </w:tblCellMar>
        </w:tblPrEx>
        <w:trPr>
          <w:trHeight w:val="53" w:hRule="atLeast"/>
        </w:trPr>
        <w:tc>
          <w:tcPr>
            <w:tcW w:w="6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eastAsia" w:ascii="仿宋" w:hAnsi="仿宋" w:eastAsia="仿宋" w:cs="仿宋"/>
                <w:color w:val="000000"/>
                <w:kern w:val="0"/>
                <w:sz w:val="22"/>
                <w:szCs w:val="22"/>
                <w:highlight w:val="none"/>
              </w:rPr>
            </w:pPr>
          </w:p>
        </w:tc>
        <w:tc>
          <w:tcPr>
            <w:tcW w:w="64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eastAsia" w:ascii="仿宋" w:hAnsi="仿宋" w:eastAsia="仿宋" w:cs="仿宋"/>
                <w:color w:val="000000"/>
                <w:kern w:val="0"/>
                <w:sz w:val="22"/>
                <w:szCs w:val="22"/>
                <w:highlight w:val="none"/>
              </w:rPr>
            </w:pPr>
          </w:p>
        </w:tc>
        <w:tc>
          <w:tcPr>
            <w:tcW w:w="4111" w:type="dxa"/>
            <w:tcBorders>
              <w:top w:val="nil"/>
              <w:left w:val="nil"/>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拟建急救中心不计容建筑面积</w:t>
            </w:r>
          </w:p>
        </w:tc>
        <w:tc>
          <w:tcPr>
            <w:tcW w:w="1701" w:type="dxa"/>
            <w:tcBorders>
              <w:top w:val="nil"/>
              <w:left w:val="nil"/>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64.92㎡</w:t>
            </w:r>
          </w:p>
        </w:tc>
        <w:tc>
          <w:tcPr>
            <w:tcW w:w="155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szCs w:val="22"/>
                <w:highlight w:val="none"/>
              </w:rPr>
            </w:pPr>
          </w:p>
        </w:tc>
      </w:tr>
      <w:tr>
        <w:tblPrEx>
          <w:tblLayout w:type="fixed"/>
          <w:tblCellMar>
            <w:top w:w="0" w:type="dxa"/>
            <w:left w:w="108" w:type="dxa"/>
            <w:bottom w:w="0" w:type="dxa"/>
            <w:right w:w="108" w:type="dxa"/>
          </w:tblCellMar>
        </w:tblPrEx>
        <w:trPr>
          <w:trHeight w:val="53" w:hRule="atLeast"/>
        </w:trPr>
        <w:tc>
          <w:tcPr>
            <w:tcW w:w="623" w:type="dxa"/>
            <w:tcBorders>
              <w:top w:val="nil"/>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2"/>
                <w:szCs w:val="22"/>
                <w:highlight w:val="none"/>
              </w:rPr>
              <w:t>2</w:t>
            </w:r>
          </w:p>
        </w:tc>
        <w:tc>
          <w:tcPr>
            <w:tcW w:w="4759" w:type="dxa"/>
            <w:gridSpan w:val="2"/>
            <w:tcBorders>
              <w:top w:val="nil"/>
              <w:left w:val="nil"/>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2"/>
                <w:szCs w:val="22"/>
                <w:highlight w:val="none"/>
              </w:rPr>
              <w:t>占地面积</w:t>
            </w:r>
          </w:p>
        </w:tc>
        <w:tc>
          <w:tcPr>
            <w:tcW w:w="1701" w:type="dxa"/>
            <w:tcBorders>
              <w:top w:val="nil"/>
              <w:left w:val="nil"/>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2"/>
                <w:szCs w:val="22"/>
                <w:highlight w:val="none"/>
              </w:rPr>
              <w:t>4541.69㎡</w:t>
            </w:r>
          </w:p>
        </w:tc>
        <w:tc>
          <w:tcPr>
            <w:tcW w:w="155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szCs w:val="22"/>
                <w:highlight w:val="none"/>
              </w:rPr>
            </w:pPr>
          </w:p>
        </w:tc>
      </w:tr>
      <w:tr>
        <w:tblPrEx>
          <w:tblLayout w:type="fixed"/>
          <w:tblCellMar>
            <w:top w:w="0" w:type="dxa"/>
            <w:left w:w="108" w:type="dxa"/>
            <w:bottom w:w="0" w:type="dxa"/>
            <w:right w:w="108" w:type="dxa"/>
          </w:tblCellMar>
        </w:tblPrEx>
        <w:trPr>
          <w:trHeight w:val="53" w:hRule="atLeast"/>
        </w:trPr>
        <w:tc>
          <w:tcPr>
            <w:tcW w:w="623" w:type="dxa"/>
            <w:vMerge w:val="restart"/>
            <w:tcBorders>
              <w:top w:val="nil"/>
              <w:left w:val="single" w:color="auto" w:sz="4" w:space="0"/>
              <w:bottom w:val="single" w:color="000000" w:sz="4" w:space="0"/>
              <w:right w:val="single" w:color="auto" w:sz="4" w:space="0"/>
            </w:tcBorders>
            <w:noWrap/>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其中</w:t>
            </w:r>
          </w:p>
        </w:tc>
        <w:tc>
          <w:tcPr>
            <w:tcW w:w="4759" w:type="dxa"/>
            <w:gridSpan w:val="2"/>
            <w:tcBorders>
              <w:top w:val="nil"/>
              <w:left w:val="nil"/>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拟建医技、内科综合楼 占地面积</w:t>
            </w:r>
          </w:p>
        </w:tc>
        <w:tc>
          <w:tcPr>
            <w:tcW w:w="1701" w:type="dxa"/>
            <w:tcBorders>
              <w:top w:val="nil"/>
              <w:left w:val="nil"/>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3820.01㎡</w:t>
            </w:r>
          </w:p>
        </w:tc>
        <w:tc>
          <w:tcPr>
            <w:tcW w:w="155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szCs w:val="22"/>
                <w:highlight w:val="none"/>
              </w:rPr>
            </w:pPr>
          </w:p>
        </w:tc>
      </w:tr>
      <w:tr>
        <w:tblPrEx>
          <w:tblLayout w:type="fixed"/>
          <w:tblCellMar>
            <w:top w:w="0" w:type="dxa"/>
            <w:left w:w="108" w:type="dxa"/>
            <w:bottom w:w="0" w:type="dxa"/>
            <w:right w:w="108" w:type="dxa"/>
          </w:tblCellMar>
        </w:tblPrEx>
        <w:trPr>
          <w:trHeight w:val="53" w:hRule="atLeast"/>
        </w:trPr>
        <w:tc>
          <w:tcPr>
            <w:tcW w:w="6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eastAsia" w:ascii="仿宋" w:hAnsi="仿宋" w:eastAsia="仿宋" w:cs="仿宋"/>
                <w:color w:val="000000"/>
                <w:kern w:val="0"/>
                <w:sz w:val="22"/>
                <w:szCs w:val="22"/>
                <w:highlight w:val="none"/>
              </w:rPr>
            </w:pPr>
          </w:p>
        </w:tc>
        <w:tc>
          <w:tcPr>
            <w:tcW w:w="4759" w:type="dxa"/>
            <w:gridSpan w:val="2"/>
            <w:tcBorders>
              <w:top w:val="nil"/>
              <w:left w:val="nil"/>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拟建急救中心 占地面积</w:t>
            </w:r>
          </w:p>
        </w:tc>
        <w:tc>
          <w:tcPr>
            <w:tcW w:w="1701" w:type="dxa"/>
            <w:tcBorders>
              <w:top w:val="nil"/>
              <w:left w:val="nil"/>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562.71㎡</w:t>
            </w:r>
          </w:p>
        </w:tc>
        <w:tc>
          <w:tcPr>
            <w:tcW w:w="155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szCs w:val="22"/>
                <w:highlight w:val="none"/>
              </w:rPr>
            </w:pPr>
          </w:p>
        </w:tc>
      </w:tr>
      <w:tr>
        <w:tblPrEx>
          <w:tblLayout w:type="fixed"/>
          <w:tblCellMar>
            <w:top w:w="0" w:type="dxa"/>
            <w:left w:w="108" w:type="dxa"/>
            <w:bottom w:w="0" w:type="dxa"/>
            <w:right w:w="108" w:type="dxa"/>
          </w:tblCellMar>
        </w:tblPrEx>
        <w:trPr>
          <w:trHeight w:val="53" w:hRule="atLeast"/>
        </w:trPr>
        <w:tc>
          <w:tcPr>
            <w:tcW w:w="6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eastAsia" w:ascii="仿宋" w:hAnsi="仿宋" w:eastAsia="仿宋" w:cs="仿宋"/>
                <w:color w:val="000000"/>
                <w:kern w:val="0"/>
                <w:sz w:val="22"/>
                <w:szCs w:val="22"/>
                <w:highlight w:val="none"/>
              </w:rPr>
            </w:pPr>
          </w:p>
        </w:tc>
        <w:tc>
          <w:tcPr>
            <w:tcW w:w="4759" w:type="dxa"/>
            <w:gridSpan w:val="2"/>
            <w:tcBorders>
              <w:top w:val="nil"/>
              <w:left w:val="nil"/>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拟建连廊 占地面积</w:t>
            </w:r>
          </w:p>
        </w:tc>
        <w:tc>
          <w:tcPr>
            <w:tcW w:w="1701" w:type="dxa"/>
            <w:tcBorders>
              <w:top w:val="nil"/>
              <w:left w:val="nil"/>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158.97㎡</w:t>
            </w:r>
          </w:p>
        </w:tc>
        <w:tc>
          <w:tcPr>
            <w:tcW w:w="155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szCs w:val="22"/>
                <w:highlight w:val="none"/>
              </w:rPr>
            </w:pPr>
          </w:p>
        </w:tc>
      </w:tr>
      <w:tr>
        <w:tblPrEx>
          <w:tblLayout w:type="fixed"/>
          <w:tblCellMar>
            <w:top w:w="0" w:type="dxa"/>
            <w:left w:w="108" w:type="dxa"/>
            <w:bottom w:w="0" w:type="dxa"/>
            <w:right w:w="108" w:type="dxa"/>
          </w:tblCellMar>
        </w:tblPrEx>
        <w:trPr>
          <w:trHeight w:val="53" w:hRule="atLeast"/>
        </w:trPr>
        <w:tc>
          <w:tcPr>
            <w:tcW w:w="623" w:type="dxa"/>
            <w:tcBorders>
              <w:top w:val="nil"/>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2"/>
                <w:szCs w:val="22"/>
                <w:highlight w:val="none"/>
              </w:rPr>
              <w:t>3</w:t>
            </w:r>
          </w:p>
        </w:tc>
        <w:tc>
          <w:tcPr>
            <w:tcW w:w="4759" w:type="dxa"/>
            <w:gridSpan w:val="2"/>
            <w:tcBorders>
              <w:top w:val="single" w:color="auto" w:sz="4" w:space="0"/>
              <w:left w:val="nil"/>
              <w:bottom w:val="single" w:color="auto" w:sz="4" w:space="0"/>
              <w:right w:val="single" w:color="000000" w:sz="4" w:space="0"/>
            </w:tcBorders>
            <w:noWrap/>
            <w:vAlign w:val="center"/>
          </w:tcPr>
          <w:p>
            <w:pPr>
              <w:widowControl/>
              <w:ind w:left="0" w:leftChars="0" w:firstLine="0" w:firstLineChars="0"/>
              <w:jc w:val="center"/>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2"/>
                <w:szCs w:val="22"/>
                <w:highlight w:val="none"/>
              </w:rPr>
              <w:t>绿地面积</w:t>
            </w:r>
          </w:p>
        </w:tc>
        <w:tc>
          <w:tcPr>
            <w:tcW w:w="1701" w:type="dxa"/>
            <w:tcBorders>
              <w:top w:val="nil"/>
              <w:left w:val="nil"/>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2"/>
                <w:szCs w:val="22"/>
                <w:highlight w:val="none"/>
              </w:rPr>
              <w:t>3600.01㎡</w:t>
            </w:r>
          </w:p>
        </w:tc>
        <w:tc>
          <w:tcPr>
            <w:tcW w:w="155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szCs w:val="22"/>
                <w:highlight w:val="none"/>
              </w:rPr>
            </w:pPr>
          </w:p>
        </w:tc>
      </w:tr>
      <w:tr>
        <w:tblPrEx>
          <w:tblLayout w:type="fixed"/>
          <w:tblCellMar>
            <w:top w:w="0" w:type="dxa"/>
            <w:left w:w="108" w:type="dxa"/>
            <w:bottom w:w="0" w:type="dxa"/>
            <w:right w:w="108" w:type="dxa"/>
          </w:tblCellMar>
        </w:tblPrEx>
        <w:trPr>
          <w:trHeight w:val="53" w:hRule="atLeast"/>
        </w:trPr>
        <w:tc>
          <w:tcPr>
            <w:tcW w:w="623" w:type="dxa"/>
            <w:tcBorders>
              <w:top w:val="nil"/>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2"/>
                <w:szCs w:val="22"/>
                <w:highlight w:val="none"/>
              </w:rPr>
              <w:t>4</w:t>
            </w:r>
          </w:p>
        </w:tc>
        <w:tc>
          <w:tcPr>
            <w:tcW w:w="4759" w:type="dxa"/>
            <w:gridSpan w:val="2"/>
            <w:tcBorders>
              <w:top w:val="single" w:color="auto" w:sz="4" w:space="0"/>
              <w:left w:val="nil"/>
              <w:bottom w:val="single" w:color="auto" w:sz="4" w:space="0"/>
              <w:right w:val="single" w:color="000000" w:sz="4" w:space="0"/>
            </w:tcBorders>
            <w:noWrap/>
            <w:vAlign w:val="center"/>
          </w:tcPr>
          <w:p>
            <w:pPr>
              <w:widowControl/>
              <w:ind w:left="0" w:leftChars="0" w:firstLine="0" w:firstLineChars="0"/>
              <w:jc w:val="center"/>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2"/>
                <w:szCs w:val="22"/>
                <w:highlight w:val="none"/>
              </w:rPr>
              <w:t>机动车停车位</w:t>
            </w:r>
          </w:p>
        </w:tc>
        <w:tc>
          <w:tcPr>
            <w:tcW w:w="1701" w:type="dxa"/>
            <w:tcBorders>
              <w:top w:val="nil"/>
              <w:left w:val="nil"/>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2"/>
                <w:szCs w:val="22"/>
                <w:highlight w:val="none"/>
              </w:rPr>
              <w:t>166个</w:t>
            </w:r>
          </w:p>
        </w:tc>
        <w:tc>
          <w:tcPr>
            <w:tcW w:w="1559" w:type="dxa"/>
            <w:tcBorders>
              <w:top w:val="nil"/>
              <w:left w:val="nil"/>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均位于地下室</w:t>
            </w:r>
          </w:p>
        </w:tc>
      </w:tr>
      <w:tr>
        <w:tblPrEx>
          <w:tblLayout w:type="fixed"/>
          <w:tblCellMar>
            <w:top w:w="0" w:type="dxa"/>
            <w:left w:w="108" w:type="dxa"/>
            <w:bottom w:w="0" w:type="dxa"/>
            <w:right w:w="108" w:type="dxa"/>
          </w:tblCellMar>
        </w:tblPrEx>
        <w:trPr>
          <w:trHeight w:val="53" w:hRule="atLeast"/>
        </w:trPr>
        <w:tc>
          <w:tcPr>
            <w:tcW w:w="623" w:type="dxa"/>
            <w:tcBorders>
              <w:top w:val="nil"/>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2"/>
                <w:szCs w:val="22"/>
                <w:highlight w:val="none"/>
              </w:rPr>
              <w:t>5</w:t>
            </w:r>
          </w:p>
        </w:tc>
        <w:tc>
          <w:tcPr>
            <w:tcW w:w="4759" w:type="dxa"/>
            <w:gridSpan w:val="2"/>
            <w:tcBorders>
              <w:top w:val="single" w:color="auto" w:sz="4" w:space="0"/>
              <w:left w:val="nil"/>
              <w:bottom w:val="single" w:color="auto" w:sz="4" w:space="0"/>
              <w:right w:val="single" w:color="000000" w:sz="4" w:space="0"/>
            </w:tcBorders>
            <w:noWrap/>
            <w:vAlign w:val="center"/>
          </w:tcPr>
          <w:p>
            <w:pPr>
              <w:widowControl/>
              <w:ind w:left="0" w:leftChars="0" w:firstLine="0" w:firstLineChars="0"/>
              <w:jc w:val="center"/>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2"/>
                <w:szCs w:val="22"/>
                <w:highlight w:val="none"/>
              </w:rPr>
              <w:t>非机动车停车位</w:t>
            </w:r>
          </w:p>
        </w:tc>
        <w:tc>
          <w:tcPr>
            <w:tcW w:w="1701" w:type="dxa"/>
            <w:tcBorders>
              <w:top w:val="nil"/>
              <w:left w:val="nil"/>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2"/>
                <w:szCs w:val="22"/>
                <w:highlight w:val="none"/>
              </w:rPr>
              <w:t>272个</w:t>
            </w:r>
          </w:p>
        </w:tc>
        <w:tc>
          <w:tcPr>
            <w:tcW w:w="1559" w:type="dxa"/>
            <w:tcBorders>
              <w:top w:val="nil"/>
              <w:left w:val="nil"/>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均位于地面</w:t>
            </w:r>
          </w:p>
        </w:tc>
      </w:tr>
      <w:tr>
        <w:tblPrEx>
          <w:tblLayout w:type="fixed"/>
          <w:tblCellMar>
            <w:top w:w="0" w:type="dxa"/>
            <w:left w:w="108" w:type="dxa"/>
            <w:bottom w:w="0" w:type="dxa"/>
            <w:right w:w="108" w:type="dxa"/>
          </w:tblCellMar>
        </w:tblPrEx>
        <w:trPr>
          <w:trHeight w:val="53" w:hRule="atLeast"/>
        </w:trPr>
        <w:tc>
          <w:tcPr>
            <w:tcW w:w="623" w:type="dxa"/>
            <w:tcBorders>
              <w:top w:val="nil"/>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2"/>
                <w:szCs w:val="22"/>
                <w:highlight w:val="none"/>
              </w:rPr>
              <w:t>6</w:t>
            </w:r>
          </w:p>
        </w:tc>
        <w:tc>
          <w:tcPr>
            <w:tcW w:w="4759" w:type="dxa"/>
            <w:gridSpan w:val="2"/>
            <w:tcBorders>
              <w:top w:val="single" w:color="auto" w:sz="4" w:space="0"/>
              <w:left w:val="nil"/>
              <w:bottom w:val="single" w:color="auto" w:sz="4" w:space="0"/>
              <w:right w:val="single" w:color="000000" w:sz="4" w:space="0"/>
            </w:tcBorders>
            <w:noWrap/>
            <w:vAlign w:val="center"/>
          </w:tcPr>
          <w:p>
            <w:pPr>
              <w:widowControl/>
              <w:ind w:left="0" w:leftChars="0" w:firstLine="0" w:firstLineChars="0"/>
              <w:jc w:val="center"/>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2"/>
                <w:szCs w:val="22"/>
                <w:highlight w:val="none"/>
              </w:rPr>
              <w:t>病床数</w:t>
            </w:r>
          </w:p>
        </w:tc>
        <w:tc>
          <w:tcPr>
            <w:tcW w:w="1701" w:type="dxa"/>
            <w:tcBorders>
              <w:top w:val="nil"/>
              <w:left w:val="nil"/>
              <w:bottom w:val="single" w:color="auto" w:sz="4" w:space="0"/>
              <w:right w:val="single" w:color="auto" w:sz="4" w:space="0"/>
            </w:tcBorders>
            <w:noWrap/>
            <w:vAlign w:val="center"/>
          </w:tcPr>
          <w:p>
            <w:pPr>
              <w:widowControl/>
              <w:ind w:left="0" w:leftChars="0" w:firstLine="0" w:firstLineChars="0"/>
              <w:jc w:val="center"/>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2"/>
                <w:szCs w:val="22"/>
                <w:highlight w:val="none"/>
              </w:rPr>
              <w:t>225张</w:t>
            </w:r>
          </w:p>
        </w:tc>
        <w:tc>
          <w:tcPr>
            <w:tcW w:w="155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szCs w:val="22"/>
                <w:highlight w:val="none"/>
              </w:rPr>
            </w:pPr>
          </w:p>
        </w:tc>
      </w:tr>
    </w:tbl>
    <w:p>
      <w:pPr>
        <w:pStyle w:val="2"/>
        <w:spacing w:line="600" w:lineRule="exact"/>
        <w:rPr>
          <w:rFonts w:hint="eastAsia" w:ascii="黑体" w:hAnsi="黑体" w:eastAsia="黑体" w:cs="黑体"/>
          <w:kern w:val="2"/>
          <w:sz w:val="32"/>
          <w:szCs w:val="32"/>
          <w:highlight w:val="none"/>
          <w:lang w:eastAsia="zh-CN"/>
        </w:rPr>
      </w:pPr>
      <w:bookmarkStart w:id="0" w:name="_Toc31731"/>
      <w:r>
        <w:rPr>
          <w:rFonts w:hint="eastAsia" w:ascii="黑体" w:hAnsi="黑体" w:eastAsia="黑体" w:cs="黑体"/>
          <w:sz w:val="32"/>
          <w:szCs w:val="32"/>
          <w:highlight w:val="none"/>
          <w:lang w:eastAsia="zh-CN"/>
        </w:rPr>
        <w:t>用地权属</w:t>
      </w:r>
      <w:bookmarkEnd w:id="0"/>
    </w:p>
    <w:p>
      <w:pPr>
        <w:spacing w:line="600" w:lineRule="exact"/>
        <w:ind w:firstLine="640"/>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rPr>
        <w:t>医院用地勘测定界图用地面积51922.46</w:t>
      </w:r>
      <w:r>
        <w:rPr>
          <w:rFonts w:hint="eastAsia" w:ascii="仿宋" w:hAnsi="仿宋" w:eastAsia="仿宋" w:cs="仿宋"/>
          <w:kern w:val="2"/>
          <w:sz w:val="32"/>
          <w:szCs w:val="32"/>
          <w:highlight w:val="none"/>
          <w:lang w:eastAsia="zh-CN"/>
        </w:rPr>
        <w:t>㎡</w:t>
      </w:r>
      <w:r>
        <w:rPr>
          <w:rFonts w:hint="eastAsia" w:ascii="仿宋" w:hAnsi="仿宋" w:eastAsia="仿宋" w:cs="仿宋"/>
          <w:kern w:val="2"/>
          <w:sz w:val="32"/>
          <w:szCs w:val="32"/>
          <w:highlight w:val="none"/>
        </w:rPr>
        <w:t>，用地面积包含了医院现状用地及拟划拨粮食局用地的用地面积。</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项目概算总投资为34776.31万元（其中：建安工程费为15818万元，设备费为11071.59万元，工程建设其他费用为6101.94万元，预备费为1649.58万元，建设期利息费135.2万元）。资金来源为：政府投资（专项债券）</w:t>
      </w:r>
    </w:p>
    <w:p>
      <w:pPr>
        <w:ind w:firstLine="643" w:firstLineChars="200"/>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（二）项目申报的可行性、必要性及其论证过程</w:t>
      </w:r>
    </w:p>
    <w:p>
      <w:pPr>
        <w:ind w:firstLine="640" w:firstLineChars="200"/>
        <w:outlineLvl w:val="0"/>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rPr>
        <w:t>项目建设是符合《国家社会经济“十四五”规划和二 O 三五 年远景目标纲要》、《“千县工程”县医院综合能力提升工作方案 （2021-2025 年）》和《海南省“十四五”卫生健康规划》等国家、省、市县的有关政策和要求；是深入贯彻落实</w:t>
      </w:r>
      <w:r>
        <w:rPr>
          <w:rFonts w:hint="eastAsia" w:ascii="仿宋" w:hAnsi="仿宋" w:eastAsia="仿宋" w:cs="仿宋"/>
          <w:b w:val="0"/>
          <w:bCs w:val="0"/>
          <w:color w:val="000000"/>
          <w:sz w:val="32"/>
          <w:szCs w:val="32"/>
          <w:highlight w:val="none"/>
          <w:lang w:eastAsia="zh-CN"/>
        </w:rPr>
        <w:t>习近平总书记系列讲话</w:t>
      </w:r>
      <w:r>
        <w:rPr>
          <w:rFonts w:hint="eastAsia" w:ascii="仿宋" w:hAnsi="仿宋" w:eastAsia="仿宋" w:cs="仿宋"/>
          <w:b w:val="0"/>
          <w:bCs w:val="0"/>
          <w:color w:val="000000"/>
          <w:sz w:val="32"/>
          <w:szCs w:val="32"/>
          <w:highlight w:val="none"/>
        </w:rPr>
        <w:t>精神和实施健康海南战略要求。项目建成后，将提升白沙县人民医院医疗卫生条件，改善 就诊人群的医疗环境，使县人民医院能更好地担负起当地及周边区域 的医疗、保健、地方病防治，有助于县人民医院将更好地打造“小精品”医疗卫生服务体系，建成集合医疗服务（急诊救治）、妇幼保健、公卫预防为一体的“1+2”生态的“医公圈”，更好地扮演白沙县人民群众“健康守门人”角色。项目建设主要是完善该院功能配置不足现状需求，改变医院业务用房短缺、硬件设施破旧、院区空间狭窄等现状问题，使其功能上及空间布置上得到缓解和满足该县就医等业务现实需要。</w:t>
      </w:r>
    </w:p>
    <w:p>
      <w:pPr>
        <w:pStyle w:val="11"/>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rPr>
        <w:t>党和</w:t>
      </w:r>
      <w:r>
        <w:rPr>
          <w:rFonts w:hint="eastAsia" w:ascii="仿宋" w:hAnsi="仿宋" w:eastAsia="仿宋" w:cs="仿宋"/>
          <w:b w:val="0"/>
          <w:bCs w:val="0"/>
          <w:color w:val="000000"/>
          <w:sz w:val="32"/>
          <w:szCs w:val="32"/>
          <w:highlight w:val="none"/>
          <w:lang w:eastAsia="zh-CN"/>
        </w:rPr>
        <w:t>国家</w:t>
      </w:r>
      <w:r>
        <w:rPr>
          <w:rFonts w:hint="eastAsia" w:ascii="仿宋" w:hAnsi="仿宋" w:eastAsia="仿宋" w:cs="仿宋"/>
          <w:b w:val="0"/>
          <w:bCs w:val="0"/>
          <w:color w:val="000000"/>
          <w:sz w:val="32"/>
          <w:szCs w:val="32"/>
          <w:highlight w:val="none"/>
        </w:rPr>
        <w:t>高度重视对医疗卫生工作高度重视，对人民健康高度负责，要求统筹城乡卫生发展，基本医疗卫生服务必须尽快惠及全体民众。在科学发展观的指引下，按照中央保增长、扩内需、调结构、促改革、重民生的要求，各级党委政府更加重视人民健康，把深化医药卫生体制改革、推动医疗卫生事业发展作为提高人民生活质量、改善国民综合素质、增强群众消费信心、拉动经济快速增长的有力措施， 大力增加投资，建设公共卫生和基本医疗服务体系，强化基本医疗保 障体系，改善医疗卫生机构设施、设备等硬件条件，提高医疗机构的 标准化水平。</w:t>
      </w:r>
    </w:p>
    <w:p>
      <w:pPr>
        <w:pStyle w:val="11"/>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rPr>
        <w:t>海南省十四五卫生规划指出，要强化县级医院综合能力。以专科、 人才、技术、管理为核心，开展县级医院标准化建设，深化拓展三级 医院专科帮扶，全面提升县级医院综合能力。在提升常见病、多发病诊疗能力的基础上</w:t>
      </w:r>
      <w:r>
        <w:rPr>
          <w:rFonts w:hint="eastAsia" w:ascii="仿宋" w:hAnsi="仿宋" w:eastAsia="仿宋" w:cs="仿宋"/>
          <w:b w:val="0"/>
          <w:bCs w:val="0"/>
          <w:color w:val="000000"/>
          <w:sz w:val="32"/>
          <w:szCs w:val="32"/>
          <w:highlight w:val="none"/>
          <w:lang w:eastAsia="zh-CN"/>
        </w:rPr>
        <w:t>。</w:t>
      </w:r>
      <w:r>
        <w:rPr>
          <w:rFonts w:hint="eastAsia" w:ascii="仿宋" w:hAnsi="仿宋" w:eastAsia="仿宋" w:cs="仿宋"/>
          <w:b w:val="0"/>
          <w:bCs w:val="0"/>
          <w:color w:val="000000"/>
          <w:sz w:val="32"/>
          <w:szCs w:val="32"/>
          <w:highlight w:val="none"/>
        </w:rPr>
        <w:t>着力加强急诊科、重症医学科、儿科、妇产科、麻醉科、老年病科等薄弱专科能力建设，加强县级医院五大救治中心建设，到2025年，全省县级医院全部达到国家《县级医院服务能 力标准》</w:t>
      </w:r>
      <w:r>
        <w:rPr>
          <w:rFonts w:hint="eastAsia" w:ascii="仿宋" w:hAnsi="仿宋" w:eastAsia="仿宋" w:cs="仿宋"/>
          <w:b w:val="0"/>
          <w:bCs w:val="0"/>
          <w:color w:val="000000"/>
          <w:sz w:val="32"/>
          <w:szCs w:val="32"/>
          <w:highlight w:val="none"/>
          <w:lang w:eastAsia="zh-CN"/>
        </w:rPr>
        <w:t>。</w:t>
      </w:r>
      <w:r>
        <w:rPr>
          <w:rFonts w:hint="eastAsia" w:ascii="仿宋" w:hAnsi="仿宋" w:eastAsia="仿宋" w:cs="仿宋"/>
          <w:b w:val="0"/>
          <w:bCs w:val="0"/>
          <w:color w:val="000000"/>
          <w:sz w:val="32"/>
          <w:szCs w:val="32"/>
          <w:highlight w:val="none"/>
        </w:rPr>
        <w:t>本项目的建设能够有效地提升白沙县医疗卫生机构的服务能级，可以强化白沙县医院常见病、多发病诊治和康复护理能力，加快白沙县医疗卫生机构特色科室建设，有助于白沙县全面落实“公益一类财政保障、公益二类事业单位管理”政策，做实做优基层基本公共卫生服务，提升白沙县基层医疗卫生机构健康档案管理、健康教育、健康体检、康复、医养照护服务能力。</w:t>
      </w:r>
    </w:p>
    <w:p>
      <w:pPr>
        <w:pStyle w:val="11"/>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rPr>
        <w:t>本项目的建设优化白沙县人民医院的医疗资源配置，有利于白沙县加强突发公共卫生事件应急防控队伍建设，建设符合国家标准的各 级突发公共卫生事件防控队伍，提升白沙县重大疫情应对和处置能力，提升白沙县突发公共卫生应急处置能力。白沙县人民医院扩建后基础设施更加完备，技术力量更加雄厚</w:t>
      </w:r>
      <w:r>
        <w:rPr>
          <w:rFonts w:hint="eastAsia" w:ascii="仿宋" w:hAnsi="仿宋" w:eastAsia="仿宋" w:cs="仿宋"/>
          <w:b w:val="0"/>
          <w:bCs w:val="0"/>
          <w:color w:val="000000"/>
          <w:sz w:val="32"/>
          <w:szCs w:val="32"/>
          <w:highlight w:val="none"/>
          <w:lang w:eastAsia="zh-CN"/>
        </w:rPr>
        <w:t>。</w:t>
      </w:r>
      <w:r>
        <w:rPr>
          <w:rFonts w:hint="eastAsia" w:ascii="仿宋" w:hAnsi="仿宋" w:eastAsia="仿宋" w:cs="仿宋"/>
          <w:b w:val="0"/>
          <w:bCs w:val="0"/>
          <w:color w:val="000000"/>
          <w:sz w:val="32"/>
          <w:szCs w:val="32"/>
          <w:highlight w:val="none"/>
        </w:rPr>
        <w:t>对社会卫生基础工作的服务能力将显著加强，可以更好地承担区域内公益性的医疗、预防保健、计生服务、健康教育、疾病康复和社区卫生等诸多职能，提升公共卫生服务水平。亦可在环境治理、社会普查和应对突发卫生事件等方面发挥作用，对于改善新区投资环境，完善公共服务配套设施，带动新区产业发展，提升城市环境品位十分必要。</w:t>
      </w:r>
    </w:p>
    <w:p>
      <w:pPr>
        <w:ind w:firstLine="643" w:firstLineChars="200"/>
        <w:outlineLvl w:val="0"/>
        <w:rPr>
          <w:rFonts w:hint="eastAsia" w:ascii="黑体" w:hAnsi="黑体" w:eastAsia="黑体" w:cs="黑体"/>
          <w:b/>
          <w:bCs/>
          <w:color w:val="000000"/>
          <w:highlight w:val="none"/>
        </w:rPr>
      </w:pPr>
      <w:r>
        <w:rPr>
          <w:rFonts w:hint="eastAsia" w:ascii="黑体" w:hAnsi="黑体" w:eastAsia="黑体" w:cs="黑体"/>
          <w:b/>
          <w:bCs/>
          <w:color w:val="000000"/>
          <w:highlight w:val="none"/>
        </w:rPr>
        <w:t>二、项目资金使用及管理情况</w:t>
      </w:r>
    </w:p>
    <w:p>
      <w:pPr>
        <w:ind w:firstLine="643" w:firstLineChars="200"/>
        <w:outlineLvl w:val="0"/>
        <w:rPr>
          <w:rFonts w:hint="eastAsia" w:ascii="仿宋" w:hAnsi="仿宋" w:eastAsia="仿宋" w:cs="仿宋"/>
          <w:b/>
          <w:bCs w:val="0"/>
          <w:color w:val="000000"/>
          <w:sz w:val="32"/>
          <w:szCs w:val="32"/>
          <w:highlight w:val="none"/>
          <w:lang w:eastAsia="zh-CN"/>
        </w:rPr>
      </w:pPr>
      <w:r>
        <w:rPr>
          <w:rFonts w:hint="eastAsia" w:ascii="仿宋" w:hAnsi="仿宋" w:eastAsia="仿宋" w:cs="仿宋"/>
          <w:b/>
          <w:bCs w:val="0"/>
          <w:color w:val="000000"/>
          <w:sz w:val="32"/>
          <w:szCs w:val="32"/>
          <w:highlight w:val="none"/>
          <w:lang w:eastAsia="zh-CN"/>
        </w:rPr>
        <w:t>（一）</w:t>
      </w:r>
      <w:r>
        <w:rPr>
          <w:rFonts w:hint="eastAsia" w:ascii="仿宋" w:hAnsi="仿宋" w:eastAsia="仿宋" w:cs="仿宋"/>
          <w:b/>
          <w:bCs w:val="0"/>
          <w:color w:val="000000"/>
          <w:sz w:val="32"/>
          <w:szCs w:val="32"/>
          <w:highlight w:val="none"/>
        </w:rPr>
        <w:t>项目资金</w:t>
      </w:r>
      <w:r>
        <w:rPr>
          <w:rFonts w:hint="eastAsia" w:ascii="仿宋" w:hAnsi="仿宋" w:eastAsia="仿宋" w:cs="仿宋"/>
          <w:b/>
          <w:bCs w:val="0"/>
          <w:color w:val="000000"/>
          <w:sz w:val="32"/>
          <w:szCs w:val="32"/>
          <w:highlight w:val="none"/>
          <w:lang w:eastAsia="zh-CN"/>
        </w:rPr>
        <w:t>使用情况</w:t>
      </w:r>
    </w:p>
    <w:p>
      <w:pPr>
        <w:ind w:firstLine="640" w:firstLineChars="200"/>
        <w:outlineLvl w:val="0"/>
        <w:rPr>
          <w:rFonts w:hint="eastAsia" w:ascii="仿宋" w:hAnsi="仿宋" w:eastAsia="仿宋" w:cs="仿宋"/>
          <w:bCs/>
          <w:color w:val="000000"/>
          <w:sz w:val="32"/>
          <w:szCs w:val="32"/>
          <w:highlight w:val="none"/>
          <w:lang w:val="en-US" w:eastAsia="zh-CN"/>
        </w:rPr>
      </w:pPr>
      <w:r>
        <w:rPr>
          <w:rFonts w:hint="eastAsia" w:ascii="仿宋" w:hAnsi="仿宋" w:eastAsia="仿宋" w:cs="仿宋"/>
          <w:bCs/>
          <w:color w:val="000000"/>
          <w:sz w:val="32"/>
          <w:szCs w:val="32"/>
          <w:highlight w:val="none"/>
          <w:lang w:eastAsia="zh-CN"/>
        </w:rPr>
        <w:t>项目资金为地债资金，项目总投资为</w:t>
      </w:r>
      <w:r>
        <w:rPr>
          <w:rFonts w:hint="eastAsia" w:ascii="仿宋" w:hAnsi="仿宋" w:eastAsia="仿宋" w:cs="仿宋"/>
          <w:bCs/>
          <w:color w:val="000000"/>
          <w:sz w:val="32"/>
          <w:szCs w:val="32"/>
          <w:highlight w:val="none"/>
          <w:lang w:val="en-US" w:eastAsia="zh-CN"/>
        </w:rPr>
        <w:t>34776.31万元，目前项目还在实施阶段（最终投资以结算审核为准）。</w:t>
      </w:r>
    </w:p>
    <w:p>
      <w:pPr>
        <w:ind w:firstLine="640" w:firstLineChars="200"/>
        <w:outlineLvl w:val="0"/>
        <w:rPr>
          <w:rFonts w:hint="eastAsia" w:ascii="仿宋" w:hAnsi="仿宋" w:eastAsia="仿宋" w:cs="仿宋"/>
          <w:b w:val="0"/>
          <w:bCs/>
          <w:color w:val="000000"/>
          <w:sz w:val="32"/>
          <w:szCs w:val="32"/>
          <w:highlight w:val="none"/>
        </w:rPr>
      </w:pPr>
      <w:r>
        <w:rPr>
          <w:rFonts w:hint="eastAsia" w:ascii="仿宋" w:hAnsi="仿宋" w:eastAsia="仿宋" w:cs="仿宋"/>
          <w:bCs/>
          <w:color w:val="000000"/>
          <w:sz w:val="32"/>
          <w:szCs w:val="32"/>
          <w:highlight w:val="none"/>
          <w:lang w:val="en-US" w:eastAsia="zh-CN"/>
        </w:rPr>
        <w:t>2023年项目已安排专项债资金5000.00万元，截止2023年12月31日，已支出5000.00万元，</w:t>
      </w:r>
      <w:r>
        <w:rPr>
          <w:rFonts w:hint="eastAsia" w:ascii="仿宋" w:hAnsi="仿宋" w:eastAsia="仿宋" w:cs="仿宋"/>
          <w:b w:val="0"/>
          <w:bCs/>
          <w:color w:val="000000"/>
          <w:sz w:val="32"/>
          <w:szCs w:val="32"/>
          <w:highlight w:val="none"/>
          <w:lang w:val="en-US" w:eastAsia="zh-CN"/>
        </w:rPr>
        <w:t>主要用于项目费用支出。</w:t>
      </w:r>
    </w:p>
    <w:p>
      <w:pPr>
        <w:numPr>
          <w:ilvl w:val="0"/>
          <w:numId w:val="0"/>
        </w:numPr>
        <w:ind w:firstLine="643" w:firstLineChars="200"/>
        <w:outlineLvl w:val="0"/>
        <w:rPr>
          <w:rFonts w:hint="eastAsia" w:ascii="仿宋" w:hAnsi="仿宋" w:eastAsia="仿宋" w:cs="仿宋"/>
          <w:b/>
          <w:bCs w:val="0"/>
          <w:color w:val="000000"/>
          <w:sz w:val="32"/>
          <w:szCs w:val="32"/>
          <w:highlight w:val="none"/>
        </w:rPr>
      </w:pPr>
      <w:r>
        <w:rPr>
          <w:rFonts w:hint="eastAsia" w:ascii="仿宋" w:hAnsi="仿宋" w:eastAsia="仿宋" w:cs="仿宋"/>
          <w:b/>
          <w:bCs w:val="0"/>
          <w:color w:val="000000"/>
          <w:sz w:val="32"/>
          <w:szCs w:val="32"/>
          <w:highlight w:val="none"/>
          <w:lang w:eastAsia="zh-CN"/>
        </w:rPr>
        <w:t>（二）</w:t>
      </w:r>
      <w:r>
        <w:rPr>
          <w:rFonts w:hint="eastAsia" w:ascii="仿宋" w:hAnsi="仿宋" w:eastAsia="仿宋" w:cs="仿宋"/>
          <w:b/>
          <w:bCs w:val="0"/>
          <w:color w:val="000000"/>
          <w:sz w:val="32"/>
          <w:szCs w:val="32"/>
          <w:highlight w:val="none"/>
        </w:rPr>
        <w:t>项目资金管理情况</w:t>
      </w:r>
    </w:p>
    <w:p>
      <w:pPr>
        <w:numPr>
          <w:ilvl w:val="0"/>
          <w:numId w:val="0"/>
        </w:numPr>
        <w:spacing w:line="560" w:lineRule="exact"/>
        <w:ind w:firstLine="640" w:firstLineChars="200"/>
        <w:outlineLvl w:val="1"/>
        <w:rPr>
          <w:rFonts w:hint="eastAsia" w:ascii="仿宋_GB2312" w:hAnsi="仿宋_GB2312" w:eastAsia="仿宋_GB2312" w:cs="仿宋_GB2312"/>
          <w:b w:val="0"/>
          <w:bCs/>
          <w:i w:val="0"/>
          <w:caps w:val="0"/>
          <w:spacing w:val="0"/>
          <w:w w:val="100"/>
          <w:kern w:val="2"/>
          <w:sz w:val="32"/>
          <w:szCs w:val="32"/>
          <w:highlight w:val="none"/>
          <w:lang w:val="en-US" w:eastAsia="zh-CN" w:bidi="ar-SA"/>
        </w:rPr>
      </w:pPr>
      <w:r>
        <w:rPr>
          <w:rFonts w:hint="eastAsia" w:ascii="仿宋_GB2312" w:hAnsi="仿宋_GB2312" w:eastAsia="仿宋_GB2312" w:cs="仿宋_GB2312"/>
          <w:b w:val="0"/>
          <w:bCs/>
          <w:i w:val="0"/>
          <w:caps w:val="0"/>
          <w:spacing w:val="0"/>
          <w:w w:val="100"/>
          <w:kern w:val="2"/>
          <w:sz w:val="32"/>
          <w:szCs w:val="32"/>
          <w:highlight w:val="none"/>
          <w:lang w:val="en-US" w:eastAsia="zh-CN" w:bidi="ar-SA"/>
        </w:rPr>
        <w:t>项目严格依据专款专用资金，未发现违规挪用专项资金、经费使用不规范等问题。项目资金使用按照批复预算支付，资金使用流程符合有关财务会计管理制度的规定；不存在截留、挤占、挪用、虚列支出等情况，使用</w:t>
      </w:r>
      <w:r>
        <w:rPr>
          <w:rFonts w:hint="eastAsia" w:ascii="仿宋_GB2312" w:hAnsi="仿宋_GB2312" w:cs="仿宋_GB2312"/>
          <w:b w:val="0"/>
          <w:bCs/>
          <w:i w:val="0"/>
          <w:caps w:val="0"/>
          <w:spacing w:val="0"/>
          <w:w w:val="100"/>
          <w:kern w:val="2"/>
          <w:sz w:val="32"/>
          <w:szCs w:val="32"/>
          <w:highlight w:val="none"/>
          <w:lang w:val="en-US" w:eastAsia="zh-CN" w:bidi="ar-SA"/>
        </w:rPr>
        <w:t>效益</w:t>
      </w:r>
      <w:r>
        <w:rPr>
          <w:rFonts w:hint="eastAsia" w:ascii="仿宋_GB2312" w:hAnsi="仿宋_GB2312" w:eastAsia="仿宋_GB2312" w:cs="仿宋_GB2312"/>
          <w:b w:val="0"/>
          <w:bCs/>
          <w:i w:val="0"/>
          <w:caps w:val="0"/>
          <w:spacing w:val="0"/>
          <w:w w:val="100"/>
          <w:kern w:val="2"/>
          <w:sz w:val="32"/>
          <w:szCs w:val="32"/>
          <w:highlight w:val="none"/>
          <w:lang w:val="en-US" w:eastAsia="zh-CN" w:bidi="ar-SA"/>
        </w:rPr>
        <w:t>较好。</w:t>
      </w:r>
    </w:p>
    <w:p>
      <w:pPr>
        <w:ind w:firstLine="643" w:firstLineChars="200"/>
        <w:outlineLvl w:val="0"/>
        <w:rPr>
          <w:rFonts w:hint="eastAsia" w:ascii="黑体" w:hAnsi="黑体" w:eastAsia="黑体" w:cs="黑体"/>
          <w:b/>
          <w:bCs/>
          <w:color w:val="000000"/>
          <w:highlight w:val="none"/>
        </w:rPr>
      </w:pPr>
      <w:r>
        <w:rPr>
          <w:rFonts w:hint="eastAsia" w:ascii="黑体" w:hAnsi="黑体" w:eastAsia="黑体" w:cs="黑体"/>
          <w:b/>
          <w:bCs/>
          <w:color w:val="000000"/>
          <w:highlight w:val="none"/>
        </w:rPr>
        <w:t>三、项目组织实施情况</w:t>
      </w:r>
    </w:p>
    <w:p>
      <w:pPr>
        <w:ind w:firstLine="643" w:firstLineChars="200"/>
        <w:outlineLvl w:val="0"/>
        <w:rPr>
          <w:rFonts w:hint="eastAsia" w:ascii="仿宋" w:hAnsi="仿宋" w:eastAsia="仿宋" w:cs="仿宋"/>
          <w:b/>
          <w:bCs w:val="0"/>
          <w:color w:val="000000"/>
          <w:sz w:val="32"/>
          <w:szCs w:val="32"/>
          <w:highlight w:val="none"/>
        </w:rPr>
      </w:pPr>
      <w:r>
        <w:rPr>
          <w:rFonts w:hint="eastAsia" w:ascii="仿宋" w:hAnsi="仿宋" w:eastAsia="仿宋" w:cs="仿宋"/>
          <w:b/>
          <w:bCs w:val="0"/>
          <w:color w:val="000000"/>
          <w:sz w:val="32"/>
          <w:szCs w:val="32"/>
          <w:highlight w:val="none"/>
        </w:rPr>
        <w:t>（一）项目组织情况</w:t>
      </w:r>
    </w:p>
    <w:p>
      <w:pPr>
        <w:ind w:firstLine="640" w:firstLineChars="200"/>
        <w:outlineLvl w:val="0"/>
        <w:rPr>
          <w:rFonts w:hint="eastAsia"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lang w:eastAsia="zh-CN"/>
        </w:rPr>
        <w:t>截止</w:t>
      </w:r>
      <w:r>
        <w:rPr>
          <w:rFonts w:hint="eastAsia" w:ascii="仿宋" w:hAnsi="仿宋" w:eastAsia="仿宋" w:cs="仿宋"/>
          <w:bCs/>
          <w:color w:val="000000"/>
          <w:sz w:val="32"/>
          <w:szCs w:val="32"/>
          <w:highlight w:val="none"/>
          <w:lang w:val="en-US" w:eastAsia="zh-CN"/>
        </w:rPr>
        <w:t>2023年12月31日，</w:t>
      </w:r>
      <w:r>
        <w:rPr>
          <w:rFonts w:hint="eastAsia" w:ascii="仿宋" w:hAnsi="仿宋" w:eastAsia="仿宋" w:cs="仿宋"/>
          <w:bCs/>
          <w:color w:val="000000"/>
          <w:sz w:val="32"/>
          <w:szCs w:val="32"/>
          <w:highlight w:val="none"/>
          <w:lang w:eastAsia="zh-CN"/>
        </w:rPr>
        <w:t>项目已完成所有前期工作，目前正在进行施工阶段，项目总体</w:t>
      </w:r>
      <w:r>
        <w:rPr>
          <w:rFonts w:hint="eastAsia" w:ascii="仿宋" w:hAnsi="仿宋" w:eastAsia="仿宋" w:cs="仿宋"/>
          <w:bCs/>
          <w:color w:val="000000"/>
          <w:sz w:val="32"/>
          <w:szCs w:val="32"/>
          <w:highlight w:val="none"/>
          <w:lang w:val="en-US" w:eastAsia="zh-CN"/>
        </w:rPr>
        <w:t>形象</w:t>
      </w:r>
      <w:r>
        <w:rPr>
          <w:rFonts w:hint="eastAsia" w:ascii="仿宋" w:hAnsi="仿宋" w:eastAsia="仿宋" w:cs="仿宋"/>
          <w:bCs/>
          <w:color w:val="000000"/>
          <w:sz w:val="32"/>
          <w:szCs w:val="32"/>
          <w:highlight w:val="none"/>
          <w:lang w:eastAsia="zh-CN"/>
        </w:rPr>
        <w:t>进度为</w:t>
      </w:r>
      <w:r>
        <w:rPr>
          <w:rFonts w:hint="eastAsia" w:ascii="仿宋" w:hAnsi="仿宋" w:eastAsia="仿宋" w:cs="仿宋"/>
          <w:bCs/>
          <w:color w:val="000000"/>
          <w:sz w:val="32"/>
          <w:szCs w:val="32"/>
          <w:highlight w:val="none"/>
          <w:lang w:val="en-US" w:eastAsia="zh-CN"/>
        </w:rPr>
        <w:t>44%。</w:t>
      </w:r>
    </w:p>
    <w:p>
      <w:pPr>
        <w:numPr>
          <w:ilvl w:val="0"/>
          <w:numId w:val="0"/>
        </w:numPr>
        <w:ind w:firstLine="643" w:firstLineChars="200"/>
        <w:outlineLvl w:val="0"/>
        <w:rPr>
          <w:rFonts w:hint="eastAsia" w:ascii="仿宋" w:hAnsi="仿宋" w:eastAsia="仿宋" w:cs="仿宋"/>
          <w:bCs/>
          <w:color w:val="000000"/>
          <w:sz w:val="32"/>
          <w:szCs w:val="32"/>
          <w:highlight w:val="none"/>
        </w:rPr>
      </w:pPr>
      <w:r>
        <w:rPr>
          <w:rFonts w:hint="eastAsia" w:ascii="仿宋" w:hAnsi="仿宋" w:eastAsia="仿宋" w:cs="仿宋"/>
          <w:b/>
          <w:bCs w:val="0"/>
          <w:color w:val="000000"/>
          <w:sz w:val="32"/>
          <w:szCs w:val="32"/>
          <w:highlight w:val="none"/>
          <w:lang w:eastAsia="zh-CN"/>
        </w:rPr>
        <w:t>（二）</w:t>
      </w:r>
      <w:r>
        <w:rPr>
          <w:rFonts w:hint="eastAsia" w:ascii="仿宋" w:hAnsi="仿宋" w:eastAsia="仿宋" w:cs="仿宋"/>
          <w:b/>
          <w:bCs w:val="0"/>
          <w:color w:val="000000"/>
          <w:sz w:val="32"/>
          <w:szCs w:val="32"/>
          <w:highlight w:val="none"/>
        </w:rPr>
        <w:t>项目管理情况</w:t>
      </w:r>
    </w:p>
    <w:p>
      <w:pPr>
        <w:numPr>
          <w:ilvl w:val="0"/>
          <w:numId w:val="0"/>
        </w:numPr>
        <w:ind w:firstLine="640" w:firstLineChars="200"/>
        <w:outlineLvl w:val="0"/>
        <w:rPr>
          <w:rFonts w:hint="eastAsia"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lang w:eastAsia="zh-CN"/>
        </w:rPr>
        <w:t>项目按照国家相关法律法规制定项目建设管理制度，配备专职安全员每天进行检查。日常检查项目安全情况以及定期召开安全文明生产施工会。</w:t>
      </w:r>
    </w:p>
    <w:p>
      <w:pPr>
        <w:ind w:firstLine="643" w:firstLineChars="200"/>
        <w:outlineLvl w:val="0"/>
        <w:rPr>
          <w:rFonts w:hint="eastAsia" w:ascii="黑体" w:hAnsi="黑体" w:eastAsia="黑体" w:cs="黑体"/>
          <w:b/>
          <w:bCs/>
          <w:color w:val="000000"/>
          <w:highlight w:val="none"/>
        </w:rPr>
      </w:pPr>
      <w:r>
        <w:rPr>
          <w:rFonts w:hint="eastAsia" w:ascii="黑体" w:hAnsi="黑体" w:eastAsia="黑体" w:cs="黑体"/>
          <w:b/>
          <w:bCs/>
          <w:color w:val="000000"/>
          <w:highlight w:val="none"/>
        </w:rPr>
        <w:t>四、项目绩效情况</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 w:hAnsi="仿宋" w:eastAsia="仿宋" w:cs="仿宋"/>
          <w:sz w:val="32"/>
          <w:szCs w:val="32"/>
          <w:highlight w:val="none"/>
          <w:lang w:val="en-US" w:eastAsia="zh-CN"/>
        </w:rPr>
        <w:t>项目基本完成2023年度项目绩效目标，正在按时间进度开展工作。具体分析如下：</w:t>
      </w:r>
    </w:p>
    <w:p>
      <w:pPr>
        <w:spacing w:line="578" w:lineRule="exact"/>
        <w:ind w:firstLine="640"/>
        <w:outlineLvl w:val="0"/>
        <w:rPr>
          <w:rFonts w:hint="eastAsia" w:ascii="仿宋" w:hAnsi="仿宋" w:eastAsia="仿宋" w:cs="仿宋"/>
          <w:b/>
          <w:bCs w:val="0"/>
          <w:color w:val="000000"/>
          <w:szCs w:val="32"/>
          <w:highlight w:val="none"/>
        </w:rPr>
      </w:pPr>
      <w:r>
        <w:rPr>
          <w:rFonts w:hint="eastAsia" w:ascii="仿宋" w:hAnsi="仿宋" w:eastAsia="仿宋" w:cs="仿宋"/>
          <w:b/>
          <w:bCs w:val="0"/>
          <w:color w:val="000000"/>
          <w:szCs w:val="32"/>
          <w:highlight w:val="none"/>
        </w:rPr>
        <w:t>项目的效率性分析</w:t>
      </w:r>
    </w:p>
    <w:p>
      <w:pPr>
        <w:spacing w:line="578" w:lineRule="exact"/>
        <w:ind w:firstLine="640"/>
        <w:outlineLvl w:val="0"/>
        <w:rPr>
          <w:rFonts w:hint="eastAsia" w:ascii="仿宋" w:hAnsi="仿宋" w:eastAsia="仿宋" w:cs="仿宋"/>
          <w:bCs/>
          <w:color w:val="000000"/>
          <w:szCs w:val="32"/>
          <w:highlight w:val="none"/>
        </w:rPr>
      </w:pPr>
      <w:r>
        <w:rPr>
          <w:rFonts w:hint="eastAsia" w:ascii="仿宋" w:hAnsi="仿宋" w:eastAsia="仿宋" w:cs="仿宋"/>
          <w:bCs/>
          <w:color w:val="000000"/>
          <w:sz w:val="32"/>
          <w:szCs w:val="32"/>
          <w:highlight w:val="none"/>
        </w:rPr>
        <w:t>对于该项目进度按工作计划进行，逐步完成该项目</w:t>
      </w:r>
      <w:r>
        <w:rPr>
          <w:rFonts w:hint="eastAsia" w:ascii="仿宋" w:hAnsi="仿宋" w:eastAsia="仿宋" w:cs="仿宋"/>
          <w:bCs/>
          <w:color w:val="000000"/>
          <w:szCs w:val="32"/>
          <w:highlight w:val="none"/>
        </w:rPr>
        <w:t>。</w:t>
      </w:r>
    </w:p>
    <w:p>
      <w:pPr>
        <w:spacing w:line="578" w:lineRule="exact"/>
        <w:ind w:firstLine="643" w:firstLineChars="200"/>
        <w:outlineLvl w:val="0"/>
        <w:rPr>
          <w:rFonts w:hint="eastAsia" w:ascii="仿宋" w:hAnsi="仿宋" w:eastAsia="仿宋" w:cs="仿宋"/>
          <w:b/>
          <w:color w:val="000000"/>
          <w:szCs w:val="32"/>
          <w:highlight w:val="none"/>
        </w:rPr>
      </w:pPr>
      <w:r>
        <w:rPr>
          <w:rFonts w:hint="eastAsia" w:ascii="仿宋" w:hAnsi="仿宋" w:eastAsia="仿宋" w:cs="仿宋"/>
          <w:b/>
          <w:color w:val="000000"/>
          <w:szCs w:val="32"/>
          <w:highlight w:val="none"/>
        </w:rPr>
        <w:t>项目的效益性分析</w:t>
      </w:r>
    </w:p>
    <w:p>
      <w:pPr>
        <w:spacing w:line="578" w:lineRule="exact"/>
        <w:ind w:firstLine="640" w:firstLineChars="200"/>
        <w:outlineLvl w:val="0"/>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rPr>
        <w:t>本项目是从海南省社会经济发展中长期规划和白沙县医疗服务体系着想。受益群体是白沙县县域范围内及省内外、国内外在白沙居住、工作、旅游等活动的病患者。本项目建成后，白沙县的城乡居民的就医、体检、疾病预防和治疗、康复、养护将更加方便，医疗、康复保健水平将得到极大提高、医养结合服务水平也将更加优质。具体表现为：病患者能获得更优质的医疗服务；就医环境更加优化，节约了时间和资金成本；当地政府部门获得了优质的医疗服务资源等。</w:t>
      </w:r>
    </w:p>
    <w:p>
      <w:pPr>
        <w:pStyle w:val="2"/>
        <w:ind w:left="0" w:leftChars="0" w:firstLine="643" w:firstLineChars="200"/>
        <w:rPr>
          <w:rFonts w:hint="eastAsia" w:ascii="仿宋" w:hAnsi="仿宋" w:eastAsia="仿宋" w:cs="仿宋"/>
          <w:highlight w:val="none"/>
        </w:rPr>
      </w:pPr>
      <w:r>
        <w:rPr>
          <w:rFonts w:hint="eastAsia" w:ascii="仿宋" w:hAnsi="仿宋" w:eastAsia="仿宋" w:cs="仿宋"/>
          <w:b/>
          <w:color w:val="000000"/>
          <w:szCs w:val="32"/>
          <w:highlight w:val="none"/>
        </w:rPr>
        <w:t>项目的可持续性分析</w:t>
      </w:r>
    </w:p>
    <w:p>
      <w:pPr>
        <w:ind w:firstLine="640" w:firstLineChars="200"/>
        <w:outlineLvl w:val="0"/>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rPr>
        <w:t>根据白沙县人民医院制定未来五年发展规划，到2025 年，要打造以县人民医院（含中西医结合医院）为核心的“小精品”医疗卫生服务体系，建成集合医疗服务（急诊救治）、妇幼保健、公卫预防为一体的“1+2”生态 的“医公圈”。因此本项目将可以提升白沙县重大传染病和应急医疗救治能力，提升综合救治能力和多学科联合诊治水平，健全白沙县的医疗救治保障与救助体系，建设统一高效的应急指挥体系，完善白沙县卫生应急快速响应机制，是完成是落实省政府布局的全域覆盖、运行高效、服务优质的省、区域、市县、城区（乡镇）四级院前急救服务体系的重要支撑项目。同时，项目建设可以更好地优化白沙县人民医院的医疗资源配置，有利于白沙县加强突发公共卫生事件应急防控队伍建设。</w:t>
      </w:r>
    </w:p>
    <w:p>
      <w:pPr>
        <w:ind w:firstLine="643" w:firstLineChars="200"/>
        <w:outlineLvl w:val="0"/>
        <w:rPr>
          <w:rFonts w:hint="eastAsia" w:ascii="黑体" w:hAnsi="黑体" w:eastAsia="黑体" w:cs="黑体"/>
          <w:b/>
          <w:bCs/>
          <w:color w:val="000000"/>
          <w:szCs w:val="22"/>
          <w:highlight w:val="none"/>
          <w:lang w:eastAsia="zh-CN"/>
        </w:rPr>
      </w:pPr>
      <w:r>
        <w:rPr>
          <w:rFonts w:hint="eastAsia" w:ascii="黑体" w:hAnsi="黑体" w:eastAsia="黑体" w:cs="黑体"/>
          <w:b/>
          <w:bCs/>
          <w:color w:val="000000"/>
          <w:szCs w:val="22"/>
          <w:highlight w:val="none"/>
          <w:lang w:eastAsia="zh-CN"/>
        </w:rPr>
        <w:t>五、偿债资金来源</w:t>
      </w:r>
    </w:p>
    <w:p>
      <w:pPr>
        <w:spacing w:line="578" w:lineRule="exact"/>
        <w:ind w:firstLine="640" w:firstLineChars="200"/>
        <w:outlineLvl w:val="0"/>
        <w:rPr>
          <w:rFonts w:hint="eastAsia" w:ascii="仿宋" w:hAnsi="仿宋" w:eastAsia="仿宋" w:cs="仿宋"/>
          <w:bCs/>
          <w:color w:val="000000"/>
          <w:szCs w:val="32"/>
          <w:highlight w:val="none"/>
          <w:lang w:eastAsia="zh-CN"/>
        </w:rPr>
      </w:pPr>
      <w:r>
        <w:rPr>
          <w:rFonts w:hint="eastAsia" w:ascii="仿宋" w:hAnsi="仿宋" w:eastAsia="仿宋" w:cs="仿宋"/>
          <w:bCs/>
          <w:color w:val="000000"/>
          <w:szCs w:val="22"/>
          <w:highlight w:val="none"/>
          <w:lang w:val="en-US" w:eastAsia="zh-CN"/>
        </w:rPr>
        <w:t>偿债来源主要是医疗收入。</w:t>
      </w:r>
    </w:p>
    <w:p>
      <w:pPr>
        <w:ind w:firstLine="643" w:firstLineChars="200"/>
        <w:outlineLvl w:val="0"/>
        <w:rPr>
          <w:rFonts w:hint="eastAsia" w:ascii="黑体" w:hAnsi="黑体" w:eastAsia="黑体" w:cs="黑体"/>
          <w:b/>
          <w:bCs/>
          <w:color w:val="000000"/>
          <w:szCs w:val="22"/>
          <w:highlight w:val="none"/>
          <w:lang w:eastAsia="zh-CN"/>
        </w:rPr>
      </w:pPr>
      <w:r>
        <w:rPr>
          <w:rFonts w:hint="eastAsia" w:ascii="黑体" w:hAnsi="黑体" w:eastAsia="黑体" w:cs="黑体"/>
          <w:b/>
          <w:bCs/>
          <w:color w:val="000000"/>
          <w:szCs w:val="22"/>
          <w:highlight w:val="none"/>
          <w:lang w:eastAsia="zh-CN"/>
        </w:rPr>
        <w:t>六、融资与项目平衡收益等反应偿债能力</w:t>
      </w:r>
    </w:p>
    <w:p>
      <w:pPr>
        <w:spacing w:line="578" w:lineRule="exact"/>
        <w:ind w:firstLine="640" w:firstLineChars="200"/>
        <w:outlineLvl w:val="0"/>
        <w:rPr>
          <w:rFonts w:hint="eastAsia" w:ascii="仿宋" w:hAnsi="仿宋" w:eastAsia="仿宋" w:cs="仿宋"/>
          <w:szCs w:val="22"/>
          <w:highlight w:val="none"/>
          <w:lang w:val="en-US" w:eastAsia="zh-CN"/>
        </w:rPr>
      </w:pPr>
      <w:r>
        <w:rPr>
          <w:rFonts w:hint="eastAsia" w:ascii="仿宋" w:hAnsi="仿宋" w:eastAsia="仿宋" w:cs="仿宋"/>
          <w:szCs w:val="22"/>
          <w:highlight w:val="none"/>
          <w:lang w:val="en-US" w:eastAsia="zh-CN"/>
        </w:rPr>
        <w:t>白沙黎族自治县人民医院扩建项目，偿债来源主要是医疗收入，运营成本通过自身收益来解决。</w:t>
      </w:r>
    </w:p>
    <w:p>
      <w:pPr>
        <w:ind w:firstLine="643" w:firstLineChars="200"/>
        <w:outlineLvl w:val="0"/>
        <w:rPr>
          <w:rFonts w:hint="eastAsia" w:ascii="黑体" w:hAnsi="黑体" w:eastAsia="黑体" w:cs="黑体"/>
          <w:b/>
          <w:bCs/>
          <w:color w:val="000000"/>
          <w:szCs w:val="22"/>
          <w:highlight w:val="none"/>
          <w:lang w:eastAsia="zh-CN"/>
        </w:rPr>
      </w:pPr>
      <w:r>
        <w:rPr>
          <w:rFonts w:hint="eastAsia" w:ascii="黑体" w:hAnsi="黑体" w:eastAsia="黑体" w:cs="黑体"/>
          <w:b/>
          <w:bCs/>
          <w:color w:val="000000"/>
          <w:szCs w:val="22"/>
          <w:highlight w:val="none"/>
          <w:lang w:eastAsia="zh-CN"/>
        </w:rPr>
        <w:t>七、偿债风险的指标</w:t>
      </w:r>
    </w:p>
    <w:p>
      <w:pPr>
        <w:spacing w:line="578" w:lineRule="exact"/>
        <w:ind w:firstLine="640" w:firstLineChars="200"/>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偿债来源主要是</w:t>
      </w:r>
      <w:r>
        <w:rPr>
          <w:rFonts w:hint="eastAsia" w:ascii="仿宋" w:hAnsi="仿宋" w:eastAsia="仿宋" w:cs="仿宋"/>
          <w:bCs/>
          <w:color w:val="000000"/>
          <w:sz w:val="32"/>
          <w:szCs w:val="32"/>
          <w:highlight w:val="none"/>
          <w:lang w:val="en-US" w:eastAsia="zh-CN"/>
        </w:rPr>
        <w:t>医疗收益</w:t>
      </w:r>
      <w:r>
        <w:rPr>
          <w:rFonts w:hint="eastAsia" w:ascii="仿宋" w:hAnsi="仿宋" w:eastAsia="仿宋" w:cs="仿宋"/>
          <w:sz w:val="32"/>
          <w:szCs w:val="32"/>
          <w:highlight w:val="none"/>
          <w:lang w:val="en-US" w:eastAsia="zh-CN"/>
        </w:rPr>
        <w:t>。但根据《财政部关于试点发展项目收益与融资自求平衡的地方政府专项债券品种的通知》（财预〔2017〕89号）规定，若因项目取得的政府性基金或专项收入暂时难以实现，不能偿还到期债券本金时，可在专项债务限额内发行相关专项债券周转偿还，项目收入实现后予以归还。</w:t>
      </w:r>
    </w:p>
    <w:p>
      <w:pPr>
        <w:ind w:firstLine="640" w:firstLineChars="200"/>
        <w:outlineLvl w:val="0"/>
        <w:rPr>
          <w:rFonts w:hint="eastAsia" w:ascii="仿宋" w:hAnsi="仿宋" w:eastAsia="仿宋" w:cs="仿宋"/>
          <w:bCs/>
          <w:color w:val="000000"/>
          <w:sz w:val="32"/>
          <w:szCs w:val="32"/>
          <w:highlight w:val="none"/>
          <w:lang w:val="en-US" w:eastAsia="zh-CN"/>
        </w:rPr>
      </w:pPr>
    </w:p>
    <w:p>
      <w:pPr>
        <w:ind w:firstLine="3840" w:firstLineChars="1200"/>
        <w:jc w:val="both"/>
        <w:outlineLvl w:val="0"/>
        <w:rPr>
          <w:rFonts w:hint="eastAsia" w:ascii="仿宋" w:hAnsi="仿宋" w:eastAsia="仿宋" w:cs="仿宋"/>
          <w:bCs/>
          <w:color w:val="000000"/>
          <w:sz w:val="32"/>
          <w:szCs w:val="32"/>
          <w:highlight w:val="none"/>
          <w:lang w:val="en-US" w:eastAsia="zh-CN"/>
        </w:rPr>
      </w:pPr>
    </w:p>
    <w:p>
      <w:pPr>
        <w:ind w:firstLine="3840" w:firstLineChars="1200"/>
        <w:jc w:val="both"/>
        <w:outlineLvl w:val="0"/>
        <w:rPr>
          <w:rFonts w:hint="eastAsia" w:ascii="仿宋" w:hAnsi="仿宋" w:eastAsia="仿宋" w:cs="仿宋"/>
          <w:bCs/>
          <w:color w:val="000000"/>
          <w:sz w:val="32"/>
          <w:szCs w:val="32"/>
          <w:highlight w:val="none"/>
          <w:lang w:val="en-US" w:eastAsia="zh-CN"/>
        </w:rPr>
      </w:pPr>
    </w:p>
    <w:p>
      <w:pPr>
        <w:ind w:firstLine="3840" w:firstLineChars="1200"/>
        <w:jc w:val="both"/>
        <w:outlineLvl w:val="0"/>
        <w:rPr>
          <w:rFonts w:hint="eastAsia" w:ascii="仿宋" w:hAnsi="仿宋" w:eastAsia="仿宋" w:cs="仿宋"/>
          <w:bCs/>
          <w:color w:val="000000"/>
          <w:sz w:val="32"/>
          <w:szCs w:val="32"/>
          <w:highlight w:val="none"/>
          <w:lang w:val="en-US" w:eastAsia="zh-CN"/>
        </w:rPr>
      </w:pPr>
      <w:r>
        <w:rPr>
          <w:rFonts w:hint="eastAsia" w:ascii="仿宋" w:hAnsi="仿宋" w:eastAsia="仿宋" w:cs="仿宋"/>
          <w:bCs/>
          <w:color w:val="000000"/>
          <w:sz w:val="32"/>
          <w:szCs w:val="32"/>
          <w:highlight w:val="none"/>
          <w:lang w:val="en-US" w:eastAsia="zh-CN"/>
        </w:rPr>
        <w:t xml:space="preserve"> 白沙黎族自治县人民医院</w:t>
      </w:r>
    </w:p>
    <w:p>
      <w:pPr>
        <w:ind w:firstLine="3200" w:firstLineChars="1000"/>
        <w:jc w:val="both"/>
        <w:outlineLvl w:val="0"/>
        <w:rPr>
          <w:rFonts w:hint="eastAsia" w:ascii="仿宋" w:hAnsi="仿宋" w:eastAsia="仿宋" w:cs="仿宋"/>
          <w:bCs/>
          <w:color w:val="000000"/>
          <w:sz w:val="32"/>
          <w:szCs w:val="32"/>
          <w:highlight w:val="none"/>
          <w:lang w:val="en-US" w:eastAsia="zh-CN"/>
        </w:rPr>
      </w:pPr>
      <w:r>
        <w:rPr>
          <w:rFonts w:hint="eastAsia" w:ascii="仿宋" w:hAnsi="仿宋" w:eastAsia="仿宋" w:cs="仿宋"/>
          <w:bCs/>
          <w:color w:val="000000"/>
          <w:sz w:val="32"/>
          <w:szCs w:val="32"/>
          <w:highlight w:val="none"/>
          <w:lang w:val="en-US" w:eastAsia="zh-CN"/>
        </w:rPr>
        <w:t xml:space="preserve">（白沙黎族自治县医疗集团总医院）              </w:t>
      </w:r>
    </w:p>
    <w:p>
      <w:pPr>
        <w:ind w:firstLine="640" w:firstLineChars="200"/>
        <w:jc w:val="center"/>
        <w:outlineLvl w:val="0"/>
        <w:rPr>
          <w:rFonts w:hint="default" w:ascii="仿宋" w:hAnsi="仿宋" w:eastAsia="仿宋" w:cs="仿宋"/>
          <w:bCs/>
          <w:color w:val="000000"/>
          <w:sz w:val="32"/>
          <w:szCs w:val="32"/>
          <w:highlight w:val="none"/>
          <w:lang w:val="en-US" w:eastAsia="zh-CN"/>
        </w:rPr>
      </w:pPr>
      <w:r>
        <w:rPr>
          <w:rFonts w:hint="eastAsia" w:ascii="仿宋" w:hAnsi="仿宋" w:eastAsia="仿宋" w:cs="仿宋"/>
          <w:bCs/>
          <w:color w:val="000000"/>
          <w:sz w:val="32"/>
          <w:szCs w:val="32"/>
          <w:highlight w:val="none"/>
          <w:lang w:val="en-US" w:eastAsia="zh-CN"/>
        </w:rPr>
        <w:t xml:space="preserve">               2023年12月31日 </w:t>
      </w:r>
    </w:p>
    <w:p>
      <w:pPr>
        <w:ind w:firstLine="640" w:firstLineChars="200"/>
        <w:outlineLvl w:val="0"/>
        <w:rPr>
          <w:rFonts w:hint="eastAsia" w:ascii="仿宋_GB2312"/>
          <w:color w:val="000000"/>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0"/>
      </w:rPr>
    </w:pPr>
    <w:r>
      <w:fldChar w:fldCharType="begin"/>
    </w:r>
    <w:r>
      <w:rPr>
        <w:rStyle w:val="10"/>
      </w:rPr>
      <w:instrText xml:space="preserve">PAGE  </w:instrText>
    </w:r>
    <w:r>
      <w:fldChar w:fldCharType="separate"/>
    </w:r>
    <w:r>
      <w:rPr>
        <w:rStyle w:val="10"/>
      </w:rPr>
      <w:t>1</w:t>
    </w:r>
    <w: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0"/>
      </w:rPr>
    </w:pPr>
    <w:r>
      <w:fldChar w:fldCharType="begin"/>
    </w:r>
    <w:r>
      <w:rPr>
        <w:rStyle w:val="10"/>
      </w:rPr>
      <w:instrText xml:space="preserve">PAGE  </w:instrText>
    </w:r>
    <w:r>
      <w:fldChar w:fldCharType="separate"/>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1"/>
      <w:numFmt w:val="decimal"/>
      <w:pStyle w:val="4"/>
      <w:lvlText w:val="%1."/>
      <w:lvlJc w:val="left"/>
      <w:pPr>
        <w:tabs>
          <w:tab w:val="left" w:pos="1040"/>
        </w:tabs>
        <w:ind w:left="0" w:firstLine="680"/>
      </w:pPr>
      <w:rPr>
        <w:rFonts w:hint="default" w:ascii="Times New Roman" w:hAnsi="Times New Roman" w:eastAsia="楷体_GB2312"/>
        <w:b w:val="0"/>
        <w:i w:val="0"/>
        <w:sz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3ZmI1NzBjNzZhNGJiMzQwMzIyNmFmMDQ4ZTBiYzEifQ=="/>
  </w:docVars>
  <w:rsids>
    <w:rsidRoot w:val="00172A27"/>
    <w:rsid w:val="005E459C"/>
    <w:rsid w:val="044E51C5"/>
    <w:rsid w:val="0E9E5560"/>
    <w:rsid w:val="0F542167"/>
    <w:rsid w:val="15FD22B5"/>
    <w:rsid w:val="1B740F29"/>
    <w:rsid w:val="1D8520B6"/>
    <w:rsid w:val="1E470B33"/>
    <w:rsid w:val="1EB610C3"/>
    <w:rsid w:val="215300BA"/>
    <w:rsid w:val="24A261EF"/>
    <w:rsid w:val="2F265668"/>
    <w:rsid w:val="2F93406E"/>
    <w:rsid w:val="36BC6D7F"/>
    <w:rsid w:val="392A53F6"/>
    <w:rsid w:val="4272038F"/>
    <w:rsid w:val="48E43E1A"/>
    <w:rsid w:val="49F35DF6"/>
    <w:rsid w:val="4BD97538"/>
    <w:rsid w:val="5158328D"/>
    <w:rsid w:val="55C97BD6"/>
    <w:rsid w:val="57FB2ADF"/>
    <w:rsid w:val="5CE42072"/>
    <w:rsid w:val="610C4645"/>
    <w:rsid w:val="68497334"/>
    <w:rsid w:val="693D20C3"/>
    <w:rsid w:val="6B5C35E2"/>
    <w:rsid w:val="6BC91E8B"/>
    <w:rsid w:val="6E3E3DBB"/>
    <w:rsid w:val="6E652B68"/>
    <w:rsid w:val="72B40803"/>
    <w:rsid w:val="789621AF"/>
    <w:rsid w:val="7AA74164"/>
    <w:rsid w:val="7B0056C6"/>
    <w:rsid w:val="7C287C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9"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2"/>
    <w:basedOn w:val="1"/>
    <w:next w:val="3"/>
    <w:unhideWhenUsed/>
    <w:qFormat/>
    <w:uiPriority w:val="9"/>
    <w:pPr>
      <w:keepNext/>
      <w:keepLines/>
      <w:spacing w:line="360" w:lineRule="auto"/>
      <w:ind w:firstLine="803" w:firstLineChars="250"/>
      <w:outlineLvl w:val="1"/>
    </w:pPr>
    <w:rPr>
      <w:b/>
      <w:bCs/>
      <w:szCs w:val="32"/>
    </w:rPr>
  </w:style>
  <w:style w:type="paragraph" w:styleId="4">
    <w:name w:val="heading 3"/>
    <w:basedOn w:val="1"/>
    <w:next w:val="1"/>
    <w:qFormat/>
    <w:uiPriority w:val="0"/>
    <w:pPr>
      <w:numPr>
        <w:ilvl w:val="0"/>
        <w:numId w:val="1"/>
      </w:numPr>
      <w:outlineLvl w:val="2"/>
    </w:pPr>
  </w:style>
  <w:style w:type="character" w:default="1" w:styleId="9">
    <w:name w:val="Default Paragraph Font"/>
    <w:semiHidden/>
    <w:qFormat/>
    <w:uiPriority w:val="0"/>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customStyle="1" w:styleId="3">
    <w:name w:val="正文-说明"/>
    <w:qFormat/>
    <w:uiPriority w:val="0"/>
    <w:pPr>
      <w:adjustRightInd w:val="0"/>
      <w:snapToGrid w:val="0"/>
      <w:spacing w:after="50" w:afterLines="50" w:line="360" w:lineRule="auto"/>
      <w:ind w:firstLine="200" w:firstLineChars="200"/>
    </w:pPr>
    <w:rPr>
      <w:rFonts w:ascii="宋体" w:hAnsi="微软雅黑" w:eastAsia="宋体" w:cs="Times New Roman"/>
      <w:kern w:val="2"/>
      <w:sz w:val="24"/>
      <w:szCs w:val="36"/>
      <w:lang w:val="en-US" w:eastAsia="zh-CN" w:bidi="ar-SA"/>
    </w:rPr>
  </w:style>
  <w:style w:type="paragraph" w:styleId="5">
    <w:name w:val="Normal Indent"/>
    <w:basedOn w:val="1"/>
    <w:next w:val="1"/>
    <w:qFormat/>
    <w:uiPriority w:val="0"/>
    <w:pPr>
      <w:ind w:firstLine="420"/>
    </w:pPr>
    <w:rPr>
      <w:rFonts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标准 正文 QJJ"/>
    <w:basedOn w:val="1"/>
    <w:qFormat/>
    <w:uiPriority w:val="0"/>
    <w:pPr>
      <w:widowControl w:val="0"/>
      <w:spacing w:line="520" w:lineRule="exact"/>
      <w:ind w:firstLine="480" w:firstLineChars="200"/>
    </w:pPr>
    <w:rPr>
      <w:rFonts w:ascii="宋体" w:hAnsi="Arial" w:eastAsia="宋体"/>
      <w:sz w:val="24"/>
      <w:szCs w:val="24"/>
    </w:rPr>
  </w:style>
  <w:style w:type="paragraph" w:customStyle="1" w:styleId="12">
    <w:name w:val="样式wie"/>
    <w:basedOn w:val="1"/>
    <w:qFormat/>
    <w:uiPriority w:val="0"/>
    <w:pPr>
      <w:spacing w:line="360" w:lineRule="auto"/>
      <w:ind w:firstLine="560" w:firstLineChars="200"/>
    </w:pPr>
    <w:rPr>
      <w:rFonts w:eastAsia="仿宋_GB2312"/>
      <w:color w:val="000000"/>
      <w:sz w:val="28"/>
      <w:szCs w:val="24"/>
    </w:rPr>
  </w:style>
  <w:style w:type="paragraph" w:customStyle="1" w:styleId="13">
    <w:name w:val="Normal Indent"/>
    <w:basedOn w:val="1"/>
    <w:qFormat/>
    <w:uiPriority w:val="0"/>
  </w:style>
  <w:style w:type="table" w:customStyle="1" w:styleId="14">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8</Pages>
  <Words>3367</Words>
  <Characters>3834</Characters>
  <Lines>5</Lines>
  <Paragraphs>1</Paragraphs>
  <TotalTime>15</TotalTime>
  <ScaleCrop>false</ScaleCrop>
  <LinksUpToDate>false</LinksUpToDate>
  <CharactersWithSpaces>3896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2006-03-02T05:57:00Z</dcterms:created>
  <dc:creator>微软用户</dc:creator>
  <cp:lastModifiedBy>k09</cp:lastModifiedBy>
  <cp:lastPrinted>2024-06-19T08:17:00Z</cp:lastPrinted>
  <dcterms:modified xsi:type="dcterms:W3CDTF">2024-07-09T02:16:42Z</dcterms:modified>
  <dc:title>附件:4       </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8B3B8293274C45DFBCBCB7B136DC3DAC_13</vt:lpwstr>
  </property>
</Properties>
</file>