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5A9E0">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白沙黎族自治县财政局</w:t>
      </w:r>
    </w:p>
    <w:p w14:paraId="6B69F5ED">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关于2025年度</w:t>
      </w:r>
      <w:r>
        <w:rPr>
          <w:rFonts w:hint="eastAsia" w:ascii="方正小标宋简体" w:hAnsi="方正小标宋简体" w:eastAsia="方正小标宋简体" w:cs="方正小标宋简体"/>
          <w:color w:val="auto"/>
          <w:sz w:val="44"/>
          <w:szCs w:val="44"/>
          <w:lang w:eastAsia="zh-CN"/>
        </w:rPr>
        <w:t>财政总</w:t>
      </w:r>
      <w:r>
        <w:rPr>
          <w:rFonts w:hint="eastAsia" w:ascii="方正小标宋简体" w:hAnsi="方正小标宋简体" w:eastAsia="方正小标宋简体" w:cs="方正小标宋简体"/>
          <w:color w:val="auto"/>
          <w:sz w:val="44"/>
          <w:szCs w:val="44"/>
        </w:rPr>
        <w:t>决算</w:t>
      </w:r>
      <w:r>
        <w:rPr>
          <w:rFonts w:hint="eastAsia" w:ascii="方正小标宋简体" w:hAnsi="方正小标宋简体" w:eastAsia="方正小标宋简体" w:cs="方正小标宋简体"/>
          <w:color w:val="auto"/>
          <w:sz w:val="44"/>
          <w:szCs w:val="44"/>
          <w:lang w:eastAsia="zh-CN"/>
        </w:rPr>
        <w:t>的</w:t>
      </w:r>
      <w:r>
        <w:rPr>
          <w:rFonts w:hint="eastAsia" w:ascii="方正小标宋简体" w:hAnsi="方正小标宋简体" w:eastAsia="方正小标宋简体" w:cs="方正小标宋简体"/>
          <w:color w:val="auto"/>
          <w:sz w:val="44"/>
          <w:szCs w:val="44"/>
        </w:rPr>
        <w:t>分析</w:t>
      </w:r>
    </w:p>
    <w:p w14:paraId="4B396200">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auto"/>
          <w:sz w:val="44"/>
          <w:szCs w:val="44"/>
        </w:rPr>
      </w:pPr>
    </w:p>
    <w:p w14:paraId="14B22D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2025年是海南自贸港实现封关运作之年，也是全面完成“十四五”规划的收官之年</w:t>
      </w:r>
      <w:r>
        <w:rPr>
          <w:rFonts w:hint="eastAsia" w:ascii="仿宋_GB2312" w:hAnsi="仿宋_GB2312" w:eastAsia="仿宋_GB2312" w:cs="仿宋_GB2312"/>
          <w:color w:val="auto"/>
          <w:sz w:val="32"/>
          <w:szCs w:val="32"/>
          <w:highlight w:val="none"/>
          <w:lang w:eastAsia="zh-CN"/>
        </w:rPr>
        <w:t>。一年来，</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委、</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政府的坚强领导下，在县人大的监督支持下，</w:t>
      </w:r>
      <w:r>
        <w:rPr>
          <w:rFonts w:hint="eastAsia" w:ascii="仿宋_GB2312" w:hAnsi="仿宋_GB2312" w:eastAsia="仿宋_GB2312" w:cs="仿宋_GB2312"/>
          <w:color w:val="auto"/>
          <w:sz w:val="32"/>
          <w:szCs w:val="32"/>
          <w:highlight w:val="none"/>
          <w:lang w:eastAsia="zh-CN"/>
        </w:rPr>
        <w:t>县财政局坚持稳中求进工作总基调，</w:t>
      </w:r>
      <w:r>
        <w:rPr>
          <w:rFonts w:hint="eastAsia" w:ascii="仿宋_GB2312" w:hAnsi="仿宋_GB2312" w:eastAsia="仿宋_GB2312" w:cs="仿宋_GB2312"/>
          <w:color w:val="auto"/>
          <w:sz w:val="32"/>
          <w:szCs w:val="32"/>
          <w:highlight w:val="none"/>
        </w:rPr>
        <w:t>紧扣县委“一二三五”发展策略</w:t>
      </w:r>
      <w:r>
        <w:rPr>
          <w:rFonts w:hint="eastAsia" w:ascii="仿宋_GB2312" w:hAnsi="仿宋_GB2312" w:eastAsia="仿宋_GB2312" w:cs="仿宋_GB2312"/>
          <w:color w:val="auto"/>
          <w:sz w:val="32"/>
          <w:szCs w:val="32"/>
          <w:highlight w:val="none"/>
          <w:lang w:eastAsia="zh-CN"/>
        </w:rPr>
        <w:t>，扎实实施积极财政政策，在牢牢守住“三保”支出底线的基础上，进一步统筹财力，优先保障县委、县政府重点项目和重点领域支出需求，实现全年财政收支平衡，财政运行总体平稳。</w:t>
      </w:r>
    </w:p>
    <w:p w14:paraId="23C11F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一、</w:t>
      </w:r>
      <w:r>
        <w:rPr>
          <w:rFonts w:hint="eastAsia" w:ascii="黑体" w:hAnsi="黑体" w:eastAsia="黑体" w:cs="黑体"/>
          <w:b w:val="0"/>
          <w:bCs w:val="0"/>
          <w:color w:val="auto"/>
          <w:sz w:val="32"/>
          <w:szCs w:val="32"/>
          <w:highlight w:val="none"/>
          <w:lang w:val="en-US" w:eastAsia="zh-CN"/>
        </w:rPr>
        <w:t>2025年经济运行基本情况</w:t>
      </w:r>
    </w:p>
    <w:p w14:paraId="4EDB9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度我县经济运行稳中有进，发展态势持续向好向优。全年地区生产总值71.93亿元，按不变价计算，同比增长1.3%。分行业看，第一产业增加值31.04亿元，同比增长3.9%；第二产业增加值4.41亿元，同比下降20.0%；第三产业增加值36.48亿元，同比增长3.0%。具体情况如下：农业总产值达49.82亿元，同比增长4.1%，特色产业如槟榔、油茶等增长显著。工业增加值同比增长10.2%，电力、热力生产和供应业领跑。服务业增加值同比增长3.01%，对经济增长拉动明显。固定资产投资下降54.5%，但制造业投资增势强劲。消费市场总体平稳，旅游人数快速增长。城乡居民收入分别增长3.8%和5.6%，城乡居民收入差距进一步缩小。同时，建筑业低迷、投资下降等制约因素仍存，需持续优化产业体系。</w:t>
      </w:r>
    </w:p>
    <w:p w14:paraId="1E968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二、2025年县本级财政收支决算情况</w:t>
      </w:r>
    </w:p>
    <w:p w14:paraId="1DD23E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kern w:val="2"/>
          <w:sz w:val="32"/>
          <w:szCs w:val="32"/>
          <w:highlight w:val="none"/>
          <w:lang w:val="en-US" w:eastAsia="zh-CN" w:bidi="ar-SA"/>
        </w:rPr>
        <w:t>（一）</w:t>
      </w:r>
      <w:r>
        <w:rPr>
          <w:rFonts w:hint="eastAsia" w:ascii="楷体_GB2312" w:hAnsi="楷体_GB2312" w:eastAsia="楷体_GB2312" w:cs="楷体_GB2312"/>
          <w:color w:val="auto"/>
          <w:sz w:val="32"/>
          <w:szCs w:val="32"/>
          <w:highlight w:val="none"/>
        </w:rPr>
        <w:t>一般公共预算收支决算情况</w:t>
      </w:r>
    </w:p>
    <w:p w14:paraId="6EC757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县本级地方一般公共预算收入22825万元，为预算的100.40%，同比增长3.41%，增收753万元，债务转贷收入40444万元，上级补助收入366498万元，上年结余收入11852万元，调入资金1914万元，动用预算稳定调节基金12969万元，</w:t>
      </w:r>
      <w:r>
        <w:rPr>
          <w:rFonts w:hint="eastAsia" w:ascii="仿宋_GB2312" w:hAnsi="仿宋_GB2312" w:eastAsia="仿宋_GB2312" w:cs="仿宋_GB2312"/>
          <w:color w:val="auto"/>
          <w:sz w:val="32"/>
          <w:szCs w:val="32"/>
          <w:lang w:val="en-US" w:eastAsia="zh-CN"/>
        </w:rPr>
        <w:t>收入总计456502万元。</w:t>
      </w:r>
      <w:r>
        <w:rPr>
          <w:rFonts w:hint="eastAsia" w:ascii="仿宋_GB2312" w:hAnsi="仿宋_GB2312" w:eastAsia="仿宋_GB2312" w:cs="仿宋_GB2312"/>
          <w:color w:val="auto"/>
          <w:sz w:val="32"/>
          <w:szCs w:val="32"/>
          <w:highlight w:val="none"/>
          <w:lang w:val="en-US" w:eastAsia="zh-CN"/>
        </w:rPr>
        <w:t>县本级地方一般公共预算支出355063万元，为预算的108.98%，同比增长14.74%，增支45623万元，债务还本支出 34494万元，上解上级支出 10758万元，调出资金3556万元，安排预算稳定调节基金32661万元，支出总计436532万元。收支相抵，年终结余结转 19970万元。</w:t>
      </w:r>
    </w:p>
    <w:p w14:paraId="5BD630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地方一般公共预算收入方面</w:t>
      </w:r>
      <w:r>
        <w:rPr>
          <w:rFonts w:hint="eastAsia" w:ascii="仿宋_GB2312" w:hAnsi="仿宋_GB2312" w:eastAsia="仿宋_GB2312" w:cs="仿宋_GB2312"/>
          <w:color w:val="auto"/>
          <w:sz w:val="32"/>
          <w:szCs w:val="32"/>
          <w:lang w:val="en-US" w:eastAsia="zh-CN"/>
        </w:rPr>
        <w:t>，县本级</w:t>
      </w:r>
      <w:r>
        <w:rPr>
          <w:rFonts w:hint="eastAsia" w:ascii="仿宋_GB2312" w:hAnsi="仿宋_GB2312" w:eastAsia="仿宋_GB2312" w:cs="仿宋_GB2312"/>
          <w:b w:val="0"/>
          <w:bCs w:val="0"/>
          <w:color w:val="auto"/>
          <w:sz w:val="32"/>
          <w:szCs w:val="32"/>
          <w:lang w:val="en-US" w:eastAsia="zh-CN"/>
        </w:rPr>
        <w:t>税收收入9299万元，为预算的98.77%，同比下降2.67%，减收255万元；</w:t>
      </w:r>
      <w:r>
        <w:rPr>
          <w:rFonts w:hint="eastAsia" w:ascii="仿宋_GB2312" w:hAnsi="仿宋_GB2312" w:eastAsia="仿宋_GB2312" w:cs="仿宋_GB2312"/>
          <w:color w:val="auto"/>
          <w:sz w:val="32"/>
          <w:szCs w:val="32"/>
          <w:lang w:val="en-US" w:eastAsia="zh-CN"/>
        </w:rPr>
        <w:t>县本级</w:t>
      </w:r>
      <w:r>
        <w:rPr>
          <w:rFonts w:hint="eastAsia" w:ascii="仿宋_GB2312" w:hAnsi="仿宋_GB2312" w:eastAsia="仿宋_GB2312" w:cs="仿宋_GB2312"/>
          <w:b w:val="0"/>
          <w:bCs w:val="0"/>
          <w:color w:val="auto"/>
          <w:sz w:val="32"/>
          <w:szCs w:val="32"/>
          <w:lang w:val="en-US" w:eastAsia="zh-CN"/>
        </w:rPr>
        <w:t>非税收入</w:t>
      </w:r>
      <w:r>
        <w:rPr>
          <w:rFonts w:hint="eastAsia" w:ascii="仿宋_GB2312" w:hAnsi="仿宋_GB2312" w:eastAsia="仿宋_GB2312" w:cs="仿宋_GB2312"/>
          <w:color w:val="auto"/>
          <w:sz w:val="32"/>
          <w:szCs w:val="32"/>
          <w:lang w:val="en-US" w:eastAsia="zh-CN"/>
        </w:rPr>
        <w:t>13526万元，为预算的101.55%，同比增长8.05%，增收1008万元。从具体收入科目上分析：</w:t>
      </w:r>
    </w:p>
    <w:p w14:paraId="5BD37D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1.增值税收入本年收入3467万元，为预算的95.06%，同比下降6.68%，减收248万元，主要受建安工程项目预缴税款减少影响。</w:t>
      </w:r>
    </w:p>
    <w:p w14:paraId="61450B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企业所得税收入747万元，为预算的68.09%，同比下降36.59%，减收431万元。下降主要原因：一是由于企业享受海南自由贸易港企业所得税汇算清缴退税鼓励性优惠政策缴纳的企业所得税减少；二是受2024年度农商行自查补缴税款及邦溪城投补缴欠税等一次性补缴大额税款的影响；三是受白沙玉禾田环境工程有限公司及移动公司效益下滑影响。</w:t>
      </w:r>
    </w:p>
    <w:p w14:paraId="23B222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3.耕地占用税收入466万元，为预算的79.12%，同比下降27.3%，减收175万元，主要受农转非项目减少的影响。</w:t>
      </w:r>
    </w:p>
    <w:p w14:paraId="7EEC7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4.个人所得税收入337万元，为预算的89.87%，同比增长15.41%，增收45万元，主要得益于工资薪金及劳务报酬所得增收。</w:t>
      </w:r>
    </w:p>
    <w:p w14:paraId="22FE62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5.土地增值税收入629万元，为预算的124.55%，同比增长28.11%，增收138万元，主要受鑫河水务一次性收入及白沙黎族自治县住房保障服务中心缴纳碧绿小区项目土地增值税影响。</w:t>
      </w:r>
    </w:p>
    <w:p w14:paraId="2D9677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6.契税收入1294万元，为预算的144.90%，同比增长32.31%，增收316万元，主要是受土地交易增加的影响。</w:t>
      </w:r>
    </w:p>
    <w:p w14:paraId="60D98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7.行政事业性收费收入2336万元，为预算的65.16%，同比增长33.64%，增收588万元，得益于耕地开垦费入库1115万元拉动收入增长。</w:t>
      </w:r>
    </w:p>
    <w:p w14:paraId="646CC7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8.国有资源（资产）有偿使用收入3912万元，为预算的300.00%，同比增长270.81%，增收2857万元，主要受白沙黎族自治县住房保障服务中心房屋出租收入入库1337万元及12月行政单位国有资产处置上缴874万元影响。</w:t>
      </w:r>
    </w:p>
    <w:p w14:paraId="10EEA2A0">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735320" cy="3643630"/>
            <wp:effectExtent l="0" t="0" r="17780" b="1397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C9ED390">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eastAsiaTheme="minorEastAsia"/>
          <w:lang w:val="en-US" w:eastAsia="zh-CN"/>
        </w:rPr>
      </w:pPr>
      <w:r>
        <w:rPr>
          <w:rFonts w:hint="eastAsia"/>
          <w:lang w:eastAsia="zh-CN"/>
        </w:rPr>
        <w:t>图</w:t>
      </w:r>
      <w:r>
        <w:rPr>
          <w:rFonts w:hint="eastAsia"/>
          <w:lang w:val="en-US" w:eastAsia="zh-CN"/>
        </w:rPr>
        <w:t>1：2025年度白沙县地方一般公共预算收入结构图</w:t>
      </w:r>
    </w:p>
    <w:p w14:paraId="21E8E1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从结构上看，我县税收收入占县本级地方一般公共预算收入的40.74%，非税收入占比达59.26%，主要原因在于本县税源单一，税源基础薄弱，主要依赖建安企业开票产生的增值税，企业所得税仅占县地方一般公共预算收入的3.27%，地方财政收入对行政性收费、国有资产处置及企业捐赠收入等非税收入的依赖度较高。</w:t>
      </w:r>
    </w:p>
    <w:p w14:paraId="294D4D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上级补助收入方面</w:t>
      </w:r>
      <w:r>
        <w:rPr>
          <w:rFonts w:hint="eastAsia" w:ascii="仿宋_GB2312" w:hAnsi="仿宋_GB2312" w:eastAsia="仿宋_GB2312" w:cs="仿宋_GB2312"/>
          <w:color w:val="auto"/>
          <w:sz w:val="32"/>
          <w:szCs w:val="32"/>
          <w:lang w:val="en-US" w:eastAsia="zh-CN"/>
        </w:rPr>
        <w:t>，我县本年度共计收到上级补助收入366498万元，较上年增长40535万元，同比增长12.44%。其中，返还性收入3962万元，一般性转移支付收入348862万元，专项转移支付收入13674万元。</w:t>
      </w:r>
    </w:p>
    <w:p w14:paraId="4BCA07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调入资金方面</w:t>
      </w:r>
      <w:r>
        <w:rPr>
          <w:rFonts w:hint="eastAsia" w:ascii="仿宋_GB2312" w:hAnsi="仿宋_GB2312" w:eastAsia="仿宋_GB2312" w:cs="仿宋_GB2312"/>
          <w:color w:val="auto"/>
          <w:sz w:val="32"/>
          <w:szCs w:val="32"/>
          <w:lang w:val="en-US" w:eastAsia="zh-CN"/>
        </w:rPr>
        <w:t>，本年度调入一般公共预算资金共计1914万元，一是根据政府性基金年终结余金额，将1904万元政府性基金调入一般公共预算使用，包括：国有土地使用权出让818万元，国有土地收益基金75万元，农业土地开发资金17万元，城市基础设施配套费379万元，污水处理费60万元，大中型水库移民后期扶持基金支出415万元，小型水库移民扶助基金24万元，彩票发行销售机构业务费调3万元，彩票公益金113万元；二是将国有资本经营预算上年结余收入10万元调入一般公共预算使用。</w:t>
      </w:r>
    </w:p>
    <w:p w14:paraId="4FEB92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债务（转贷）收入方面</w:t>
      </w:r>
      <w:r>
        <w:rPr>
          <w:rFonts w:hint="eastAsia" w:ascii="仿宋_GB2312" w:hAnsi="仿宋_GB2312" w:eastAsia="仿宋_GB2312" w:cs="仿宋_GB2312"/>
          <w:color w:val="auto"/>
          <w:sz w:val="32"/>
          <w:szCs w:val="32"/>
          <w:lang w:val="en-US" w:eastAsia="zh-CN"/>
        </w:rPr>
        <w:t>，本年度债务（转贷）收入40444万元，其中，新增再融资一般债31444万元；新增一般债9000万元。</w:t>
      </w:r>
    </w:p>
    <w:p w14:paraId="392695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从我县一般公共预算财力来源结构上看，上级补助收入占一般公共预算收入达80.28%，地方一般公共预算收入仅占比5%，财政自给率（地方一般公共预算收入/地方一般公共预算支出）为6.43%，县财力高度依赖上级转移支付，收入质量有待提升。</w:t>
      </w:r>
    </w:p>
    <w:p w14:paraId="3588D83E">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481955" cy="2962275"/>
            <wp:effectExtent l="0" t="0" r="4445" b="952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C920B4E">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lang w:val="en-US" w:eastAsia="zh-CN"/>
        </w:rPr>
      </w:pPr>
      <w:r>
        <w:rPr>
          <w:rFonts w:hint="eastAsia"/>
          <w:lang w:val="en-US" w:eastAsia="zh-CN"/>
        </w:rPr>
        <w:t>图2：2025年度白沙县一般公共预算收入结构图</w:t>
      </w:r>
    </w:p>
    <w:p w14:paraId="25E6B5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地方一般公共预算支出方面</w:t>
      </w:r>
      <w:r>
        <w:rPr>
          <w:rFonts w:hint="eastAsia" w:ascii="仿宋_GB2312" w:hAnsi="仿宋_GB2312" w:eastAsia="仿宋_GB2312" w:cs="仿宋_GB2312"/>
          <w:color w:val="auto"/>
          <w:sz w:val="32"/>
          <w:szCs w:val="32"/>
          <w:lang w:eastAsia="zh-CN"/>
        </w:rPr>
        <w:t>，本年度支出355063万元，为预算的108.98%，同比增长14.74%，增支</w:t>
      </w:r>
      <w:r>
        <w:rPr>
          <w:rFonts w:hint="eastAsia" w:ascii="仿宋_GB2312" w:hAnsi="仿宋_GB2312" w:eastAsia="仿宋_GB2312" w:cs="仿宋_GB2312"/>
          <w:color w:val="auto"/>
          <w:sz w:val="32"/>
          <w:szCs w:val="32"/>
          <w:lang w:val="en-US" w:eastAsia="zh-CN"/>
        </w:rPr>
        <w:t>45623万元，从支出的具体科目看，部分科目决算与人大批复的预算受上级转移支付增加、年中追加资金等影响存在较大差异；部分科目较上年度有较大变动，具体情况如下：</w:t>
      </w:r>
    </w:p>
    <w:p w14:paraId="56637A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一般公共服务支出41603万元，</w:t>
      </w:r>
      <w:r>
        <w:rPr>
          <w:rFonts w:hint="eastAsia" w:ascii="仿宋_GB2312" w:hAnsi="仿宋_GB2312" w:eastAsia="仿宋_GB2312" w:cs="仿宋_GB2312"/>
          <w:color w:val="auto"/>
          <w:sz w:val="32"/>
          <w:szCs w:val="32"/>
          <w:lang w:eastAsia="zh-CN"/>
        </w:rPr>
        <w:t>为预算的100.19%，</w:t>
      </w:r>
      <w:r>
        <w:rPr>
          <w:rFonts w:hint="eastAsia" w:ascii="仿宋_GB2312" w:hAnsi="仿宋_GB2312" w:eastAsia="仿宋_GB2312" w:cs="仿宋_GB2312"/>
          <w:color w:val="auto"/>
          <w:sz w:val="32"/>
          <w:szCs w:val="32"/>
        </w:rPr>
        <w:t>同比增长28.73%，增支9284万元，主要原因为于本年度清偿拖欠企业账款4889万元以及支付七坊镇龙江居、珠碧江居农垦运行经费、邦溪镇盛胜养猪场清退补偿款及天蓬种猪养殖场关闭搬迁补偿款、与媒体合作经费等。</w:t>
      </w:r>
    </w:p>
    <w:p w14:paraId="0F8A0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公共安全支出15080万元，</w:t>
      </w:r>
      <w:r>
        <w:rPr>
          <w:rFonts w:hint="eastAsia" w:ascii="仿宋_GB2312" w:hAnsi="仿宋_GB2312" w:eastAsia="仿宋_GB2312" w:cs="仿宋_GB2312"/>
          <w:color w:val="auto"/>
          <w:sz w:val="32"/>
          <w:szCs w:val="32"/>
          <w:lang w:eastAsia="zh-CN"/>
        </w:rPr>
        <w:t>为预算的113.17%，</w:t>
      </w:r>
      <w:r>
        <w:rPr>
          <w:rFonts w:hint="eastAsia" w:ascii="仿宋_GB2312" w:hAnsi="仿宋_GB2312" w:eastAsia="仿宋_GB2312" w:cs="仿宋_GB2312"/>
          <w:color w:val="auto"/>
          <w:sz w:val="32"/>
          <w:szCs w:val="32"/>
        </w:rPr>
        <w:t>同比增长21.28%，增支2646万元，主要原因为本年度存在支付编外长聘人员工资福利（辅警、协警）及消化暂付款</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大额支出。</w:t>
      </w:r>
    </w:p>
    <w:p w14:paraId="794A6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文化旅游体育与传媒支出7200万元，</w:t>
      </w:r>
      <w:r>
        <w:rPr>
          <w:rFonts w:hint="eastAsia" w:ascii="仿宋_GB2312" w:hAnsi="仿宋_GB2312" w:eastAsia="仿宋_GB2312" w:cs="仿宋_GB2312"/>
          <w:color w:val="auto"/>
          <w:sz w:val="32"/>
          <w:szCs w:val="32"/>
          <w:lang w:eastAsia="zh-CN"/>
        </w:rPr>
        <w:t>为预算的189.92%，主要是收到上级下达的社会服务设施建设支持工程专项资金并支出（琼财建〔2025〕578号）。较上年</w:t>
      </w:r>
      <w:r>
        <w:rPr>
          <w:rFonts w:hint="eastAsia" w:ascii="仿宋_GB2312" w:hAnsi="仿宋_GB2312" w:eastAsia="仿宋_GB2312" w:cs="仿宋_GB2312"/>
          <w:color w:val="auto"/>
          <w:sz w:val="32"/>
          <w:szCs w:val="32"/>
        </w:rPr>
        <w:t>同比增长95.65%，增</w:t>
      </w:r>
      <w:r>
        <w:rPr>
          <w:rFonts w:hint="eastAsia" w:ascii="仿宋_GB2312" w:hAnsi="仿宋_GB2312" w:eastAsia="仿宋_GB2312" w:cs="仿宋_GB2312"/>
          <w:color w:val="auto"/>
          <w:sz w:val="32"/>
          <w:szCs w:val="32"/>
          <w:lang w:eastAsia="zh-CN"/>
        </w:rPr>
        <w:t>支</w:t>
      </w:r>
      <w:r>
        <w:rPr>
          <w:rFonts w:hint="eastAsia" w:ascii="仿宋_GB2312" w:hAnsi="仿宋_GB2312" w:eastAsia="仿宋_GB2312" w:cs="仿宋_GB2312"/>
          <w:color w:val="auto"/>
          <w:sz w:val="32"/>
          <w:szCs w:val="32"/>
        </w:rPr>
        <w:t>3520万元，主要原因：一是支付海南白沙方亮体育公园项目建设经费（琼财建〔2025〕578号）、国家体育训练南方基地（海南白沙.综合）综合体能训练中心项目以及白沙县打安镇长岭村乡村旅游建设项目经费等；二是</w:t>
      </w:r>
      <w:r>
        <w:rPr>
          <w:rFonts w:hint="eastAsia" w:ascii="仿宋_GB2312" w:hAnsi="仿宋_GB2312" w:eastAsia="仿宋_GB2312" w:cs="仿宋_GB2312"/>
          <w:color w:val="auto"/>
          <w:sz w:val="32"/>
          <w:szCs w:val="32"/>
          <w:highlight w:val="none"/>
        </w:rPr>
        <w:t>清偿拖欠企业账款</w:t>
      </w:r>
      <w:r>
        <w:rPr>
          <w:rFonts w:hint="eastAsia" w:ascii="仿宋_GB2312" w:hAnsi="仿宋_GB2312" w:eastAsia="仿宋_GB2312" w:cs="仿宋_GB2312"/>
          <w:color w:val="auto"/>
          <w:sz w:val="32"/>
          <w:szCs w:val="32"/>
        </w:rPr>
        <w:t>。</w:t>
      </w:r>
    </w:p>
    <w:p w14:paraId="733C87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社会保障和就业支出62737万元，</w:t>
      </w:r>
      <w:r>
        <w:rPr>
          <w:rFonts w:hint="eastAsia" w:ascii="仿宋_GB2312" w:hAnsi="仿宋_GB2312" w:eastAsia="仿宋_GB2312" w:cs="仿宋_GB2312"/>
          <w:color w:val="auto"/>
          <w:sz w:val="32"/>
          <w:szCs w:val="32"/>
          <w:lang w:eastAsia="zh-CN"/>
        </w:rPr>
        <w:t>为预算的102.06%，</w:t>
      </w:r>
      <w:r>
        <w:rPr>
          <w:rFonts w:hint="eastAsia" w:ascii="仿宋_GB2312" w:hAnsi="仿宋_GB2312" w:eastAsia="仿宋_GB2312" w:cs="仿宋_GB2312"/>
          <w:color w:val="auto"/>
          <w:sz w:val="32"/>
          <w:szCs w:val="32"/>
        </w:rPr>
        <w:t>同比增长24.74%，增支12441万元，主要原因：一是根据《关于贯彻落实国家要求提高城乡居民基本养老保险基础养老金最低标准的通知》（琼人社发〔2025〕60号）文件要求，2025年7月1日起中央基础养老金标准由123元调整为143元，且丧葬补助金发放由中央基础养老金为标准发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二是2025年清退个人账户支出1057万元以及年中调增机关养老金待遇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三是拨付被征地农民基本养老保险缴费补贴3000万元。</w:t>
      </w:r>
    </w:p>
    <w:p w14:paraId="059639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卫生健康支出34121万元，</w:t>
      </w:r>
      <w:r>
        <w:rPr>
          <w:rFonts w:hint="eastAsia" w:ascii="仿宋_GB2312" w:hAnsi="仿宋_GB2312" w:eastAsia="仿宋_GB2312" w:cs="仿宋_GB2312"/>
          <w:color w:val="auto"/>
          <w:sz w:val="32"/>
          <w:szCs w:val="32"/>
          <w:lang w:eastAsia="zh-CN"/>
        </w:rPr>
        <w:t>为预算的122.05%，</w:t>
      </w:r>
      <w:r>
        <w:rPr>
          <w:rFonts w:hint="eastAsia" w:ascii="仿宋_GB2312" w:hAnsi="仿宋_GB2312" w:eastAsia="仿宋_GB2312" w:cs="仿宋_GB2312"/>
          <w:color w:val="auto"/>
          <w:sz w:val="32"/>
          <w:szCs w:val="32"/>
        </w:rPr>
        <w:t>同比增长27.62%，增支7384万元，主要原因</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清偿拖欠企业账款5588万元以及支付2024年基层卫生专业技术人才激励补助资金。</w:t>
      </w:r>
    </w:p>
    <w:p w14:paraId="1BEA21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节能环保支出16335万元，</w:t>
      </w:r>
      <w:r>
        <w:rPr>
          <w:rFonts w:hint="eastAsia" w:ascii="仿宋_GB2312" w:hAnsi="仿宋_GB2312" w:eastAsia="仿宋_GB2312" w:cs="仿宋_GB2312"/>
          <w:color w:val="auto"/>
          <w:sz w:val="32"/>
          <w:szCs w:val="32"/>
          <w:lang w:eastAsia="zh-CN"/>
        </w:rPr>
        <w:t>为预算的188.28%，主要是追加林业草原生态保护恢复资金、</w:t>
      </w:r>
      <w:r>
        <w:rPr>
          <w:rFonts w:hint="eastAsia" w:ascii="仿宋_GB2312" w:hAnsi="仿宋_GB2312" w:eastAsia="仿宋_GB2312" w:cs="仿宋_GB2312"/>
          <w:color w:val="auto"/>
          <w:sz w:val="32"/>
          <w:szCs w:val="32"/>
          <w:lang w:val="en-US" w:eastAsia="zh-CN"/>
        </w:rPr>
        <w:t>县污水处理厂尾水人工湿地水质净化项目资金及污水处理及配套管网工程资金等</w:t>
      </w:r>
      <w:r>
        <w:rPr>
          <w:rFonts w:hint="eastAsia" w:ascii="仿宋_GB2312" w:hAnsi="仿宋_GB2312" w:eastAsia="仿宋_GB2312" w:cs="仿宋_GB2312"/>
          <w:color w:val="auto"/>
          <w:sz w:val="32"/>
          <w:szCs w:val="32"/>
          <w:lang w:eastAsia="zh-CN"/>
        </w:rPr>
        <w:t>。较上年</w:t>
      </w:r>
      <w:r>
        <w:rPr>
          <w:rFonts w:hint="eastAsia" w:ascii="仿宋_GB2312" w:hAnsi="仿宋_GB2312" w:eastAsia="仿宋_GB2312" w:cs="仿宋_GB2312"/>
          <w:color w:val="auto"/>
          <w:sz w:val="32"/>
          <w:szCs w:val="32"/>
        </w:rPr>
        <w:t>同比增长21.04%，增支2839万元，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highlight w:val="none"/>
        </w:rPr>
        <w:t>清偿拖欠企业账款6331万元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水体支出3876万元，较上年下降2234万元，降幅36.56%，</w:t>
      </w:r>
      <w:r>
        <w:rPr>
          <w:rFonts w:hint="eastAsia" w:ascii="仿宋_GB2312" w:hAnsi="仿宋_GB2312" w:eastAsia="仿宋_GB2312" w:cs="仿宋_GB2312"/>
          <w:color w:val="auto"/>
          <w:sz w:val="32"/>
          <w:szCs w:val="32"/>
          <w:highlight w:val="none"/>
          <w:lang w:eastAsia="zh-CN"/>
        </w:rPr>
        <w:t>主要原因</w:t>
      </w:r>
      <w:r>
        <w:rPr>
          <w:rFonts w:hint="eastAsia" w:ascii="仿宋_GB2312" w:hAnsi="仿宋_GB2312" w:eastAsia="仿宋_GB2312" w:cs="仿宋_GB2312"/>
          <w:color w:val="auto"/>
          <w:sz w:val="32"/>
          <w:szCs w:val="32"/>
          <w:highlight w:val="none"/>
        </w:rPr>
        <w:t>系上年度存在污水处理厂尾水人工湿地水质净化项目建设（琼财资环〔2022〕1088号），2025年无此项支出。</w:t>
      </w:r>
    </w:p>
    <w:p w14:paraId="2C6B23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城乡社区支出14944万元，</w:t>
      </w:r>
      <w:r>
        <w:rPr>
          <w:rFonts w:hint="eastAsia" w:ascii="仿宋_GB2312" w:hAnsi="仿宋_GB2312" w:eastAsia="仿宋_GB2312" w:cs="仿宋_GB2312"/>
          <w:color w:val="auto"/>
          <w:sz w:val="32"/>
          <w:szCs w:val="32"/>
          <w:lang w:eastAsia="zh-CN"/>
        </w:rPr>
        <w:t>为预算的121.30%，</w:t>
      </w:r>
      <w:r>
        <w:rPr>
          <w:rFonts w:hint="eastAsia" w:ascii="仿宋_GB2312" w:hAnsi="仿宋_GB2312" w:eastAsia="仿宋_GB2312" w:cs="仿宋_GB2312"/>
          <w:color w:val="auto"/>
          <w:sz w:val="32"/>
          <w:szCs w:val="32"/>
        </w:rPr>
        <w:t>同比增长51.58%，增支5085万元，主要原因：一是</w:t>
      </w:r>
      <w:r>
        <w:rPr>
          <w:rFonts w:hint="eastAsia" w:ascii="仿宋_GB2312" w:hAnsi="仿宋_GB2312" w:eastAsia="仿宋_GB2312" w:cs="仿宋_GB2312"/>
          <w:color w:val="auto"/>
          <w:sz w:val="32"/>
          <w:szCs w:val="32"/>
          <w:lang w:eastAsia="zh-CN"/>
        </w:rPr>
        <w:t>支付</w:t>
      </w:r>
      <w:r>
        <w:rPr>
          <w:rFonts w:hint="eastAsia" w:ascii="仿宋_GB2312" w:hAnsi="仿宋_GB2312" w:eastAsia="仿宋_GB2312" w:cs="仿宋_GB2312"/>
          <w:color w:val="auto"/>
          <w:sz w:val="32"/>
          <w:szCs w:val="32"/>
        </w:rPr>
        <w:t>城市地下管网及设施专项县城污水治理项目</w:t>
      </w:r>
      <w:r>
        <w:rPr>
          <w:rFonts w:hint="eastAsia" w:ascii="仿宋_GB2312" w:hAnsi="仿宋_GB2312" w:eastAsia="仿宋_GB2312" w:cs="仿宋_GB2312"/>
          <w:color w:val="auto"/>
          <w:sz w:val="32"/>
          <w:szCs w:val="32"/>
          <w:lang w:eastAsia="zh-CN"/>
        </w:rPr>
        <w:t>经费</w:t>
      </w:r>
      <w:r>
        <w:rPr>
          <w:rFonts w:hint="eastAsia" w:ascii="仿宋_GB2312" w:hAnsi="仿宋_GB2312" w:eastAsia="仿宋_GB2312" w:cs="仿宋_GB2312"/>
          <w:color w:val="auto"/>
          <w:sz w:val="32"/>
          <w:szCs w:val="32"/>
        </w:rPr>
        <w:t>3182万元（琼财建〔2024〕1498号）；二是清偿拖欠企业账款969万元。</w:t>
      </w:r>
    </w:p>
    <w:p w14:paraId="75B6A0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农林水支出70702万元，</w:t>
      </w:r>
      <w:r>
        <w:rPr>
          <w:rFonts w:hint="eastAsia" w:ascii="仿宋_GB2312" w:hAnsi="仿宋_GB2312" w:eastAsia="仿宋_GB2312" w:cs="仿宋_GB2312"/>
          <w:color w:val="auto"/>
          <w:sz w:val="32"/>
          <w:szCs w:val="32"/>
          <w:lang w:eastAsia="zh-CN"/>
        </w:rPr>
        <w:t>为预算的99.90%，</w:t>
      </w:r>
      <w:r>
        <w:rPr>
          <w:rFonts w:hint="eastAsia" w:ascii="仿宋_GB2312" w:hAnsi="仿宋_GB2312" w:eastAsia="仿宋_GB2312" w:cs="仿宋_GB2312"/>
          <w:color w:val="auto"/>
          <w:sz w:val="32"/>
          <w:szCs w:val="32"/>
        </w:rPr>
        <w:t>较上年下降10907万元，降幅13.36%，主要原因</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年度存在白沙县珠碧江灌区改造工程项目（琼财农〔2023〕1610号）等，2025年无此项支出。</w:t>
      </w:r>
    </w:p>
    <w:p w14:paraId="15E7A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交通运输支出5399万元，</w:t>
      </w:r>
      <w:r>
        <w:rPr>
          <w:rFonts w:hint="eastAsia" w:ascii="仿宋_GB2312" w:hAnsi="仿宋_GB2312" w:eastAsia="仿宋_GB2312" w:cs="仿宋_GB2312"/>
          <w:color w:val="auto"/>
          <w:sz w:val="32"/>
          <w:szCs w:val="32"/>
          <w:lang w:eastAsia="zh-CN"/>
        </w:rPr>
        <w:t>为预算的174.11%，主要是收到上级下达2024年度省级民生实事项目（改善农村出行条件）结（决）算资金并支出（琼财建〔2025〕1191号）。较上年</w:t>
      </w:r>
      <w:r>
        <w:rPr>
          <w:rFonts w:hint="eastAsia" w:ascii="仿宋_GB2312" w:hAnsi="仿宋_GB2312" w:eastAsia="仿宋_GB2312" w:cs="仿宋_GB2312"/>
          <w:color w:val="auto"/>
          <w:sz w:val="32"/>
          <w:szCs w:val="32"/>
        </w:rPr>
        <w:t>同比增长60.88%，增支2043万元，主要原因：一是清偿拖欠企业账款，二是支付农村公路建设项目经费、海南海汽运输集团股份有限公司白沙分公司2022-2024年度村村通及城乡公交一体化运营补贴以及2025年度为民办实事项目城乡公交一体化城区公交运营补贴等。</w:t>
      </w:r>
    </w:p>
    <w:p w14:paraId="528BA3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资源勘探工业信息等支出957万元，</w:t>
      </w:r>
      <w:r>
        <w:rPr>
          <w:rFonts w:hint="eastAsia" w:ascii="仿宋_GB2312" w:hAnsi="仿宋_GB2312" w:eastAsia="仿宋_GB2312" w:cs="仿宋_GB2312"/>
          <w:color w:val="auto"/>
          <w:sz w:val="32"/>
          <w:szCs w:val="32"/>
          <w:lang w:eastAsia="zh-CN"/>
        </w:rPr>
        <w:t>为预算的537.64%，主要是追加综合事务经费资金。较上年</w:t>
      </w:r>
      <w:r>
        <w:rPr>
          <w:rFonts w:hint="eastAsia" w:ascii="仿宋_GB2312" w:hAnsi="仿宋_GB2312" w:eastAsia="仿宋_GB2312" w:cs="仿宋_GB2312"/>
          <w:color w:val="auto"/>
          <w:sz w:val="32"/>
          <w:szCs w:val="32"/>
        </w:rPr>
        <w:t>同比增长79.89%，增支425万元，主要为支付自来水公司化验楼建设资金212万元、新建县城生猪定点屠宰厂建设工程项目资产处置土地出让金 261万元。</w:t>
      </w:r>
    </w:p>
    <w:p w14:paraId="300E1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商业服务业等支出1844万元，</w:t>
      </w:r>
      <w:r>
        <w:rPr>
          <w:rFonts w:hint="eastAsia" w:ascii="仿宋_GB2312" w:hAnsi="仿宋_GB2312" w:eastAsia="仿宋_GB2312" w:cs="仿宋_GB2312"/>
          <w:color w:val="auto"/>
          <w:sz w:val="32"/>
          <w:szCs w:val="32"/>
          <w:lang w:eastAsia="zh-CN"/>
        </w:rPr>
        <w:t>为预算的168.71%，</w:t>
      </w:r>
      <w:r>
        <w:rPr>
          <w:rFonts w:hint="eastAsia" w:ascii="仿宋_GB2312" w:hAnsi="仿宋_GB2312" w:eastAsia="仿宋_GB2312" w:cs="仿宋_GB2312"/>
          <w:color w:val="auto"/>
          <w:sz w:val="32"/>
          <w:szCs w:val="32"/>
        </w:rPr>
        <w:t>同比增长241.48%，增支1304万元，主要受本年度支付菜篮子保供稳价运营工作经费、狮球社区及卫星社区服务业发展资金（琼财建〔2024〕1339号）、打安镇卫星社区商业街新建项目及狮球社区集市升级改造项目资金（琼财建〔2025〕1353号）以及清偿拖欠企业账款影响。</w:t>
      </w:r>
    </w:p>
    <w:p w14:paraId="6A955D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金融支出</w:t>
      </w:r>
      <w:r>
        <w:rPr>
          <w:rFonts w:hint="eastAsia" w:ascii="仿宋_GB2312" w:hAnsi="仿宋_GB2312" w:eastAsia="仿宋_GB2312" w:cs="仿宋_GB2312"/>
          <w:color w:val="auto"/>
          <w:sz w:val="32"/>
          <w:szCs w:val="32"/>
          <w:lang w:val="en-US" w:eastAsia="zh-CN"/>
        </w:rPr>
        <w:t>23万元，年初未编制预算，较上年增支23万元。</w:t>
      </w:r>
    </w:p>
    <w:p w14:paraId="703C2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自然资源海洋气象等支出5353万元，</w:t>
      </w:r>
      <w:r>
        <w:rPr>
          <w:rFonts w:hint="eastAsia" w:ascii="仿宋_GB2312" w:hAnsi="仿宋_GB2312" w:eastAsia="仿宋_GB2312" w:cs="仿宋_GB2312"/>
          <w:color w:val="auto"/>
          <w:sz w:val="32"/>
          <w:szCs w:val="32"/>
          <w:lang w:eastAsia="zh-CN"/>
        </w:rPr>
        <w:t>为预算的357.34%，</w:t>
      </w:r>
      <w:r>
        <w:rPr>
          <w:rFonts w:hint="eastAsia" w:ascii="仿宋_GB2312" w:hAnsi="仿宋_GB2312" w:eastAsia="仿宋_GB2312" w:cs="仿宋_GB2312"/>
          <w:color w:val="auto"/>
          <w:sz w:val="32"/>
          <w:szCs w:val="32"/>
        </w:rPr>
        <w:t>增长3939万元，涨幅278.57%，主要</w:t>
      </w:r>
      <w:r>
        <w:rPr>
          <w:rFonts w:hint="eastAsia" w:ascii="仿宋_GB2312" w:hAnsi="仿宋_GB2312" w:eastAsia="仿宋_GB2312" w:cs="仿宋_GB2312"/>
          <w:color w:val="auto"/>
          <w:sz w:val="32"/>
          <w:szCs w:val="32"/>
          <w:lang w:eastAsia="zh-CN"/>
        </w:rPr>
        <w:t>受</w:t>
      </w:r>
      <w:r>
        <w:rPr>
          <w:rFonts w:hint="eastAsia" w:ascii="仿宋_GB2312" w:hAnsi="仿宋_GB2312" w:eastAsia="仿宋_GB2312" w:cs="仿宋_GB2312"/>
          <w:color w:val="auto"/>
          <w:sz w:val="32"/>
          <w:szCs w:val="32"/>
        </w:rPr>
        <w:t>清偿拖欠企业账款3338万元</w:t>
      </w:r>
      <w:r>
        <w:rPr>
          <w:rFonts w:hint="eastAsia" w:ascii="仿宋_GB2312" w:hAnsi="仿宋_GB2312" w:eastAsia="仿宋_GB2312" w:cs="仿宋_GB2312"/>
          <w:color w:val="auto"/>
          <w:sz w:val="32"/>
          <w:szCs w:val="32"/>
          <w:lang w:eastAsia="zh-CN"/>
        </w:rPr>
        <w:t>影响，且该项目为年中新增项目，年初未编制预算</w:t>
      </w:r>
      <w:r>
        <w:rPr>
          <w:rFonts w:hint="eastAsia" w:ascii="仿宋_GB2312" w:hAnsi="仿宋_GB2312" w:eastAsia="仿宋_GB2312" w:cs="仿宋_GB2312"/>
          <w:color w:val="auto"/>
          <w:sz w:val="32"/>
          <w:szCs w:val="32"/>
        </w:rPr>
        <w:t>。</w:t>
      </w:r>
    </w:p>
    <w:p w14:paraId="62EACE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粮油物资储备支出388万元，</w:t>
      </w:r>
      <w:r>
        <w:rPr>
          <w:rFonts w:hint="eastAsia" w:ascii="仿宋_GB2312" w:hAnsi="仿宋_GB2312" w:eastAsia="仿宋_GB2312" w:cs="仿宋_GB2312"/>
          <w:color w:val="auto"/>
          <w:sz w:val="32"/>
          <w:szCs w:val="32"/>
          <w:lang w:eastAsia="zh-CN"/>
        </w:rPr>
        <w:t>为预算的221.71%，</w:t>
      </w:r>
      <w:r>
        <w:rPr>
          <w:rFonts w:hint="eastAsia" w:ascii="仿宋_GB2312" w:hAnsi="仿宋_GB2312" w:eastAsia="仿宋_GB2312" w:cs="仿宋_GB2312"/>
          <w:color w:val="auto"/>
          <w:sz w:val="32"/>
          <w:szCs w:val="32"/>
        </w:rPr>
        <w:t>同比增长48.66%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增支127万元，主要原因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一是本年度清偿拖欠企业账款45万元</w:t>
      </w:r>
      <w:r>
        <w:rPr>
          <w:rFonts w:hint="eastAsia" w:ascii="仿宋_GB2312" w:hAnsi="仿宋_GB2312" w:eastAsia="仿宋_GB2312" w:cs="仿宋_GB2312"/>
          <w:color w:val="auto"/>
          <w:sz w:val="32"/>
          <w:szCs w:val="32"/>
          <w:lang w:eastAsia="zh-CN"/>
        </w:rPr>
        <w:t>，为年中新增项目，年初未编制预算</w:t>
      </w:r>
      <w:r>
        <w:rPr>
          <w:rFonts w:hint="eastAsia" w:ascii="仿宋_GB2312" w:hAnsi="仿宋_GB2312" w:eastAsia="仿宋_GB2312" w:cs="仿宋_GB2312"/>
          <w:color w:val="auto"/>
          <w:sz w:val="32"/>
          <w:szCs w:val="32"/>
        </w:rPr>
        <w:t>；二是拨付2025年县级储备粮经费</w:t>
      </w:r>
      <w:r>
        <w:rPr>
          <w:rFonts w:hint="eastAsia" w:ascii="仿宋_GB2312" w:hAnsi="仿宋_GB2312" w:eastAsia="仿宋_GB2312" w:cs="仿宋_GB2312"/>
          <w:color w:val="auto"/>
          <w:sz w:val="32"/>
          <w:szCs w:val="32"/>
          <w:lang w:val="en-US" w:eastAsia="zh-CN"/>
        </w:rPr>
        <w:t>159万元，</w:t>
      </w:r>
      <w:r>
        <w:rPr>
          <w:rFonts w:hint="eastAsia" w:ascii="仿宋_GB2312" w:hAnsi="仿宋_GB2312" w:eastAsia="仿宋_GB2312" w:cs="仿宋_GB2312"/>
          <w:color w:val="auto"/>
          <w:sz w:val="32"/>
          <w:szCs w:val="32"/>
        </w:rPr>
        <w:t>较上一年度增长59万元</w:t>
      </w:r>
      <w:r>
        <w:rPr>
          <w:rFonts w:hint="eastAsia" w:ascii="仿宋_GB2312" w:hAnsi="仿宋_GB2312" w:eastAsia="仿宋_GB2312" w:cs="仿宋_GB2312"/>
          <w:color w:val="auto"/>
          <w:sz w:val="32"/>
          <w:szCs w:val="32"/>
          <w:lang w:eastAsia="zh-CN"/>
        </w:rPr>
        <w:t>，年初未编制预算</w:t>
      </w:r>
      <w:r>
        <w:rPr>
          <w:rFonts w:hint="eastAsia" w:ascii="仿宋_GB2312" w:hAnsi="仿宋_GB2312" w:eastAsia="仿宋_GB2312" w:cs="仿宋_GB2312"/>
          <w:color w:val="auto"/>
          <w:sz w:val="32"/>
          <w:szCs w:val="32"/>
        </w:rPr>
        <w:t>。</w:t>
      </w:r>
    </w:p>
    <w:p w14:paraId="21D948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灾害防治及应急管理支出2531万元，</w:t>
      </w:r>
      <w:r>
        <w:rPr>
          <w:rFonts w:hint="eastAsia" w:ascii="仿宋_GB2312" w:hAnsi="仿宋_GB2312" w:eastAsia="仿宋_GB2312" w:cs="仿宋_GB2312"/>
          <w:color w:val="auto"/>
          <w:sz w:val="32"/>
          <w:szCs w:val="32"/>
          <w:lang w:eastAsia="zh-CN"/>
        </w:rPr>
        <w:t>为预算的127.96%，</w:t>
      </w:r>
      <w:r>
        <w:rPr>
          <w:rFonts w:hint="eastAsia" w:ascii="仿宋_GB2312" w:hAnsi="仿宋_GB2312" w:eastAsia="仿宋_GB2312" w:cs="仿宋_GB2312"/>
          <w:color w:val="auto"/>
          <w:sz w:val="32"/>
          <w:szCs w:val="32"/>
        </w:rPr>
        <w:t>同比增长79.12%，增支1118万元，主要原因：一是支付中央自然灾害救灾资金；二是清偿拖欠企业账款。</w:t>
      </w:r>
    </w:p>
    <w:p w14:paraId="6705EF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债务发行费用支出35万元，</w:t>
      </w:r>
      <w:r>
        <w:rPr>
          <w:rFonts w:hint="eastAsia" w:ascii="仿宋_GB2312" w:hAnsi="仿宋_GB2312" w:eastAsia="仿宋_GB2312" w:cs="仿宋_GB2312"/>
          <w:color w:val="auto"/>
          <w:sz w:val="32"/>
          <w:szCs w:val="32"/>
          <w:lang w:eastAsia="zh-CN"/>
        </w:rPr>
        <w:t>为预算的</w:t>
      </w:r>
      <w:r>
        <w:rPr>
          <w:rFonts w:hint="eastAsia" w:ascii="仿宋_GB2312" w:hAnsi="仿宋_GB2312" w:eastAsia="仿宋_GB2312" w:cs="仿宋_GB2312"/>
          <w:color w:val="auto"/>
          <w:sz w:val="32"/>
          <w:szCs w:val="32"/>
          <w:lang w:val="en-US" w:eastAsia="zh-CN"/>
        </w:rPr>
        <w:t>70.00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较上年增支12万元，增长52.17%，主要是2025年发行一般债券项目数增加。</w:t>
      </w:r>
    </w:p>
    <w:p w14:paraId="223D157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从结构上来看，我县地方一般公共预算支出呈现民生导向突出、农业优先特征</w:t>
      </w:r>
      <w:r>
        <w:rPr>
          <w:rFonts w:hint="eastAsia" w:ascii="仿宋_GB2312" w:hAnsi="仿宋_GB2312" w:eastAsia="仿宋_GB2312" w:cs="仿宋_GB2312"/>
          <w:color w:val="auto"/>
          <w:sz w:val="32"/>
          <w:szCs w:val="32"/>
          <w:highlight w:val="none"/>
          <w:lang w:val="en-US" w:eastAsia="zh-CN"/>
        </w:rPr>
        <w:t>明显、生态环保投入持续提升的特点：其中，民生领域资金投入共计280365万元，占我县地方一般公共预算支出78.96%，教育、社保、卫生三大民生支出合计占比超40%；农林水支出占比达19.91%，居各</w:t>
      </w:r>
      <w:r>
        <w:rPr>
          <w:rFonts w:hint="eastAsia" w:ascii="仿宋_GB2312" w:hAnsi="仿宋_GB2312" w:eastAsia="仿宋_GB2312" w:cs="仿宋_GB2312"/>
          <w:color w:val="auto"/>
          <w:sz w:val="32"/>
          <w:szCs w:val="32"/>
          <w:lang w:val="en-US" w:eastAsia="zh-CN"/>
        </w:rPr>
        <w:t>项功能支出首位，与白沙作为农业县、生态县的定位高度契合；节能环保支出16335万元，占比4.60%，增速达21.04%。但科技支出占比偏低，科学技术支出仅839万元，占比0.24%，与创新驱动发展要求尚有差距。</w:t>
      </w:r>
    </w:p>
    <w:p w14:paraId="2F3A069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0" w:firstLineChars="200"/>
        <w:jc w:val="center"/>
        <w:textAlignment w:val="auto"/>
        <w:rPr>
          <w:rFonts w:hint="default"/>
          <w:color w:val="auto"/>
          <w:lang w:val="en-US" w:eastAsia="zh-CN"/>
        </w:rPr>
      </w:pPr>
      <w:r>
        <w:rPr>
          <w:rFonts w:hint="eastAsia"/>
          <w:color w:val="auto"/>
          <w:lang w:val="en-US" w:eastAsia="zh-CN"/>
        </w:rPr>
        <w:t>表1：白沙县2025年地方一般公共预算支出情况表</w:t>
      </w:r>
    </w:p>
    <w:tbl>
      <w:tblPr>
        <w:tblStyle w:val="2"/>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93"/>
        <w:gridCol w:w="1451"/>
        <w:gridCol w:w="1635"/>
      </w:tblGrid>
      <w:tr w14:paraId="72979E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261" w:type="pct"/>
            <w:tcBorders>
              <w:top w:val="single" w:color="000000" w:sz="12" w:space="0"/>
              <w:bottom w:val="single" w:color="000000" w:sz="4" w:space="0"/>
              <w:right w:val="nil"/>
              <w:tl2br w:val="nil"/>
            </w:tcBorders>
            <w:shd w:val="clear" w:color="auto" w:fill="FFFFFF"/>
            <w:noWrap/>
            <w:vAlign w:val="center"/>
          </w:tcPr>
          <w:p w14:paraId="74C4C242">
            <w:pPr>
              <w:keepNext w:val="0"/>
              <w:keepLines w:val="0"/>
              <w:widowControl/>
              <w:suppressLineNumbers w:val="0"/>
              <w:jc w:val="lef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预算科目</w:t>
            </w:r>
          </w:p>
        </w:tc>
        <w:tc>
          <w:tcPr>
            <w:tcW w:w="817" w:type="pct"/>
            <w:tcBorders>
              <w:top w:val="single" w:color="000000" w:sz="12" w:space="0"/>
              <w:left w:val="nil"/>
              <w:bottom w:val="single" w:color="000000" w:sz="4" w:space="0"/>
              <w:right w:val="nil"/>
            </w:tcBorders>
            <w:shd w:val="clear" w:color="auto" w:fill="FFFFFF"/>
            <w:noWrap/>
            <w:vAlign w:val="center"/>
          </w:tcPr>
          <w:p w14:paraId="0F630913">
            <w:pPr>
              <w:keepNext w:val="0"/>
              <w:keepLines w:val="0"/>
              <w:widowControl/>
              <w:suppressLineNumbers w:val="0"/>
              <w:jc w:val="righ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决算数</w:t>
            </w:r>
          </w:p>
        </w:tc>
        <w:tc>
          <w:tcPr>
            <w:tcW w:w="920" w:type="pct"/>
            <w:tcBorders>
              <w:top w:val="single" w:color="000000" w:sz="12" w:space="0"/>
              <w:left w:val="nil"/>
              <w:bottom w:val="single" w:color="000000" w:sz="4" w:space="0"/>
              <w:right w:val="nil"/>
            </w:tcBorders>
            <w:shd w:val="clear" w:color="auto" w:fill="FFFFFF"/>
            <w:noWrap/>
            <w:vAlign w:val="center"/>
          </w:tcPr>
          <w:p w14:paraId="7F03C9C5">
            <w:pPr>
              <w:keepNext w:val="0"/>
              <w:keepLines w:val="0"/>
              <w:widowControl/>
              <w:suppressLineNumbers w:val="0"/>
              <w:jc w:val="righ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占比</w:t>
            </w:r>
          </w:p>
        </w:tc>
      </w:tr>
      <w:tr w14:paraId="287C0F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single" w:color="000000" w:sz="4" w:space="0"/>
              <w:bottom w:val="nil"/>
              <w:right w:val="nil"/>
            </w:tcBorders>
            <w:shd w:val="clear" w:color="auto" w:fill="FFFFFF"/>
            <w:noWrap/>
            <w:vAlign w:val="center"/>
          </w:tcPr>
          <w:p w14:paraId="586575D2">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一、一般公共服务支出</w:t>
            </w:r>
          </w:p>
        </w:tc>
        <w:tc>
          <w:tcPr>
            <w:tcW w:w="817" w:type="pct"/>
            <w:tcBorders>
              <w:top w:val="single" w:color="000000" w:sz="4" w:space="0"/>
              <w:left w:val="nil"/>
              <w:bottom w:val="nil"/>
              <w:right w:val="nil"/>
            </w:tcBorders>
            <w:shd w:val="clear" w:color="auto" w:fill="FFFFFF"/>
            <w:noWrap/>
            <w:vAlign w:val="center"/>
          </w:tcPr>
          <w:p w14:paraId="33311A9B">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41603</w:t>
            </w:r>
          </w:p>
        </w:tc>
        <w:tc>
          <w:tcPr>
            <w:tcW w:w="920" w:type="pct"/>
            <w:tcBorders>
              <w:top w:val="single" w:color="000000" w:sz="4" w:space="0"/>
              <w:left w:val="nil"/>
              <w:bottom w:val="nil"/>
              <w:right w:val="nil"/>
            </w:tcBorders>
            <w:shd w:val="clear" w:color="auto" w:fill="FFFFFF"/>
            <w:noWrap/>
            <w:vAlign w:val="center"/>
          </w:tcPr>
          <w:p w14:paraId="2838B5F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11.72%</w:t>
            </w:r>
          </w:p>
        </w:tc>
      </w:tr>
      <w:tr w14:paraId="49AD19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65D43CEF">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二、外交支出</w:t>
            </w:r>
          </w:p>
        </w:tc>
        <w:tc>
          <w:tcPr>
            <w:tcW w:w="817" w:type="pct"/>
            <w:tcBorders>
              <w:top w:val="nil"/>
              <w:left w:val="nil"/>
              <w:bottom w:val="nil"/>
              <w:right w:val="nil"/>
            </w:tcBorders>
            <w:shd w:val="clear" w:color="auto" w:fill="FFFFFF"/>
            <w:noWrap/>
            <w:vAlign w:val="center"/>
          </w:tcPr>
          <w:p w14:paraId="333DCED4">
            <w:pPr>
              <w:rPr>
                <w:rFonts w:hint="eastAsia" w:ascii="宋体" w:hAnsi="宋体" w:eastAsia="宋体" w:cs="宋体"/>
                <w:b w:val="0"/>
                <w:i w:val="0"/>
                <w:iCs w:val="0"/>
                <w:color w:val="000000"/>
                <w:sz w:val="21"/>
                <w:szCs w:val="21"/>
                <w:u w:val="none"/>
              </w:rPr>
            </w:pPr>
          </w:p>
        </w:tc>
        <w:tc>
          <w:tcPr>
            <w:tcW w:w="920" w:type="pct"/>
            <w:tcBorders>
              <w:top w:val="nil"/>
              <w:left w:val="nil"/>
              <w:bottom w:val="nil"/>
              <w:right w:val="nil"/>
            </w:tcBorders>
            <w:shd w:val="clear" w:color="auto" w:fill="FFFFFF"/>
            <w:noWrap/>
            <w:vAlign w:val="center"/>
          </w:tcPr>
          <w:p w14:paraId="615E13A1">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0.00%</w:t>
            </w:r>
          </w:p>
        </w:tc>
      </w:tr>
      <w:tr w14:paraId="2C5E5F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5AFFD3B1">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三、国防支出</w:t>
            </w:r>
          </w:p>
        </w:tc>
        <w:tc>
          <w:tcPr>
            <w:tcW w:w="817" w:type="pct"/>
            <w:tcBorders>
              <w:top w:val="nil"/>
              <w:left w:val="nil"/>
              <w:bottom w:val="nil"/>
              <w:right w:val="nil"/>
            </w:tcBorders>
            <w:shd w:val="clear" w:color="auto" w:fill="FFFFFF"/>
            <w:noWrap/>
            <w:vAlign w:val="center"/>
          </w:tcPr>
          <w:p w14:paraId="1302A413">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92</w:t>
            </w:r>
          </w:p>
        </w:tc>
        <w:tc>
          <w:tcPr>
            <w:tcW w:w="920" w:type="pct"/>
            <w:tcBorders>
              <w:top w:val="nil"/>
              <w:left w:val="nil"/>
              <w:bottom w:val="nil"/>
              <w:right w:val="nil"/>
            </w:tcBorders>
            <w:shd w:val="clear" w:color="auto" w:fill="FFFFFF"/>
            <w:noWrap/>
            <w:vAlign w:val="center"/>
          </w:tcPr>
          <w:p w14:paraId="6787472B">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0.03%</w:t>
            </w:r>
          </w:p>
        </w:tc>
      </w:tr>
      <w:tr w14:paraId="735C7F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2630EB7C">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四、公共安全支出</w:t>
            </w:r>
          </w:p>
        </w:tc>
        <w:tc>
          <w:tcPr>
            <w:tcW w:w="817" w:type="pct"/>
            <w:tcBorders>
              <w:top w:val="nil"/>
              <w:left w:val="nil"/>
              <w:bottom w:val="nil"/>
              <w:right w:val="nil"/>
            </w:tcBorders>
            <w:shd w:val="clear" w:color="auto" w:fill="FFFFFF"/>
            <w:noWrap/>
            <w:vAlign w:val="center"/>
          </w:tcPr>
          <w:p w14:paraId="77116FD1">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15080</w:t>
            </w:r>
          </w:p>
        </w:tc>
        <w:tc>
          <w:tcPr>
            <w:tcW w:w="920" w:type="pct"/>
            <w:tcBorders>
              <w:top w:val="nil"/>
              <w:left w:val="nil"/>
              <w:bottom w:val="nil"/>
              <w:right w:val="nil"/>
            </w:tcBorders>
            <w:shd w:val="clear" w:color="auto" w:fill="FFFFFF"/>
            <w:noWrap/>
            <w:vAlign w:val="center"/>
          </w:tcPr>
          <w:p w14:paraId="5AB569EA">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4.25%</w:t>
            </w:r>
          </w:p>
        </w:tc>
      </w:tr>
      <w:tr w14:paraId="3F3383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1EED5663">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五、教育支出</w:t>
            </w:r>
          </w:p>
        </w:tc>
        <w:tc>
          <w:tcPr>
            <w:tcW w:w="817" w:type="pct"/>
            <w:tcBorders>
              <w:top w:val="nil"/>
              <w:left w:val="nil"/>
              <w:bottom w:val="nil"/>
              <w:right w:val="nil"/>
            </w:tcBorders>
            <w:shd w:val="clear" w:color="auto" w:fill="FFFFFF"/>
            <w:noWrap/>
            <w:vAlign w:val="center"/>
          </w:tcPr>
          <w:p w14:paraId="59E9236F">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59455</w:t>
            </w:r>
          </w:p>
        </w:tc>
        <w:tc>
          <w:tcPr>
            <w:tcW w:w="920" w:type="pct"/>
            <w:tcBorders>
              <w:top w:val="nil"/>
              <w:left w:val="nil"/>
              <w:bottom w:val="nil"/>
              <w:right w:val="nil"/>
            </w:tcBorders>
            <w:shd w:val="clear" w:color="auto" w:fill="FFFFFF"/>
            <w:noWrap/>
            <w:vAlign w:val="center"/>
          </w:tcPr>
          <w:p w14:paraId="302BB14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16.74%</w:t>
            </w:r>
          </w:p>
        </w:tc>
      </w:tr>
      <w:tr w14:paraId="2EB45A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0B8F4DCF">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六、科学技术支出</w:t>
            </w:r>
          </w:p>
        </w:tc>
        <w:tc>
          <w:tcPr>
            <w:tcW w:w="817" w:type="pct"/>
            <w:tcBorders>
              <w:top w:val="nil"/>
              <w:left w:val="nil"/>
              <w:bottom w:val="nil"/>
              <w:right w:val="nil"/>
            </w:tcBorders>
            <w:shd w:val="clear" w:color="auto" w:fill="FFFFFF"/>
            <w:noWrap/>
            <w:vAlign w:val="center"/>
          </w:tcPr>
          <w:p w14:paraId="24CB54E5">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839</w:t>
            </w:r>
          </w:p>
        </w:tc>
        <w:tc>
          <w:tcPr>
            <w:tcW w:w="920" w:type="pct"/>
            <w:tcBorders>
              <w:top w:val="nil"/>
              <w:left w:val="nil"/>
              <w:bottom w:val="nil"/>
              <w:right w:val="nil"/>
            </w:tcBorders>
            <w:shd w:val="clear" w:color="auto" w:fill="FFFFFF"/>
            <w:noWrap/>
            <w:vAlign w:val="center"/>
          </w:tcPr>
          <w:p w14:paraId="391F427F">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0.24%</w:t>
            </w:r>
          </w:p>
        </w:tc>
      </w:tr>
      <w:tr w14:paraId="67342A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2BCA35ED">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七、文化旅游体育与传媒支出</w:t>
            </w:r>
          </w:p>
        </w:tc>
        <w:tc>
          <w:tcPr>
            <w:tcW w:w="817" w:type="pct"/>
            <w:tcBorders>
              <w:top w:val="nil"/>
              <w:left w:val="nil"/>
              <w:bottom w:val="nil"/>
              <w:right w:val="nil"/>
            </w:tcBorders>
            <w:shd w:val="clear" w:color="auto" w:fill="FFFFFF"/>
            <w:noWrap/>
            <w:vAlign w:val="center"/>
          </w:tcPr>
          <w:p w14:paraId="6C17174E">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7200</w:t>
            </w:r>
          </w:p>
        </w:tc>
        <w:tc>
          <w:tcPr>
            <w:tcW w:w="920" w:type="pct"/>
            <w:tcBorders>
              <w:top w:val="nil"/>
              <w:left w:val="nil"/>
              <w:bottom w:val="nil"/>
              <w:right w:val="nil"/>
            </w:tcBorders>
            <w:shd w:val="clear" w:color="auto" w:fill="FFFFFF"/>
            <w:noWrap/>
            <w:vAlign w:val="center"/>
          </w:tcPr>
          <w:p w14:paraId="70957031">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2.03%</w:t>
            </w:r>
          </w:p>
        </w:tc>
      </w:tr>
      <w:tr w14:paraId="5B80FA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1739F9C9">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八、社会保障和就业支出</w:t>
            </w:r>
          </w:p>
        </w:tc>
        <w:tc>
          <w:tcPr>
            <w:tcW w:w="817" w:type="pct"/>
            <w:tcBorders>
              <w:top w:val="nil"/>
              <w:left w:val="nil"/>
              <w:bottom w:val="nil"/>
              <w:right w:val="nil"/>
            </w:tcBorders>
            <w:shd w:val="clear" w:color="auto" w:fill="FFFFFF"/>
            <w:noWrap/>
            <w:vAlign w:val="center"/>
          </w:tcPr>
          <w:p w14:paraId="099B1464">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62737</w:t>
            </w:r>
          </w:p>
        </w:tc>
        <w:tc>
          <w:tcPr>
            <w:tcW w:w="920" w:type="pct"/>
            <w:tcBorders>
              <w:top w:val="nil"/>
              <w:left w:val="nil"/>
              <w:bottom w:val="nil"/>
              <w:right w:val="nil"/>
            </w:tcBorders>
            <w:shd w:val="clear" w:color="auto" w:fill="FFFFFF"/>
            <w:noWrap/>
            <w:vAlign w:val="center"/>
          </w:tcPr>
          <w:p w14:paraId="65F15633">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17.67%</w:t>
            </w:r>
          </w:p>
        </w:tc>
      </w:tr>
      <w:tr w14:paraId="10CAA0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6B257655">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九、卫生健康支出</w:t>
            </w:r>
          </w:p>
        </w:tc>
        <w:tc>
          <w:tcPr>
            <w:tcW w:w="817" w:type="pct"/>
            <w:tcBorders>
              <w:top w:val="nil"/>
              <w:left w:val="nil"/>
              <w:bottom w:val="nil"/>
              <w:right w:val="nil"/>
            </w:tcBorders>
            <w:shd w:val="clear" w:color="auto" w:fill="FFFFFF"/>
            <w:noWrap/>
            <w:vAlign w:val="center"/>
          </w:tcPr>
          <w:p w14:paraId="5EFE930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34121</w:t>
            </w:r>
          </w:p>
        </w:tc>
        <w:tc>
          <w:tcPr>
            <w:tcW w:w="920" w:type="pct"/>
            <w:tcBorders>
              <w:top w:val="nil"/>
              <w:left w:val="nil"/>
              <w:bottom w:val="nil"/>
              <w:right w:val="nil"/>
            </w:tcBorders>
            <w:shd w:val="clear" w:color="auto" w:fill="FFFFFF"/>
            <w:noWrap/>
            <w:vAlign w:val="center"/>
          </w:tcPr>
          <w:p w14:paraId="73BE5846">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9.61%</w:t>
            </w:r>
          </w:p>
        </w:tc>
      </w:tr>
      <w:tr w14:paraId="0AEC7F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3BFE5645">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十、节能环保支出</w:t>
            </w:r>
          </w:p>
        </w:tc>
        <w:tc>
          <w:tcPr>
            <w:tcW w:w="817" w:type="pct"/>
            <w:tcBorders>
              <w:top w:val="nil"/>
              <w:left w:val="nil"/>
              <w:bottom w:val="nil"/>
              <w:right w:val="nil"/>
            </w:tcBorders>
            <w:shd w:val="clear" w:color="auto" w:fill="FFFFFF"/>
            <w:noWrap/>
            <w:vAlign w:val="center"/>
          </w:tcPr>
          <w:p w14:paraId="4A794DD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16335</w:t>
            </w:r>
          </w:p>
        </w:tc>
        <w:tc>
          <w:tcPr>
            <w:tcW w:w="920" w:type="pct"/>
            <w:tcBorders>
              <w:top w:val="nil"/>
              <w:left w:val="nil"/>
              <w:bottom w:val="nil"/>
              <w:right w:val="nil"/>
            </w:tcBorders>
            <w:shd w:val="clear" w:color="auto" w:fill="FFFFFF"/>
            <w:noWrap/>
            <w:vAlign w:val="center"/>
          </w:tcPr>
          <w:p w14:paraId="708BB3D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4.60%</w:t>
            </w:r>
          </w:p>
        </w:tc>
      </w:tr>
      <w:tr w14:paraId="4C6472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06E81C72">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十一、城乡社区支出</w:t>
            </w:r>
          </w:p>
        </w:tc>
        <w:tc>
          <w:tcPr>
            <w:tcW w:w="817" w:type="pct"/>
            <w:tcBorders>
              <w:top w:val="nil"/>
              <w:left w:val="nil"/>
              <w:bottom w:val="nil"/>
              <w:right w:val="nil"/>
            </w:tcBorders>
            <w:shd w:val="clear" w:color="auto" w:fill="FFFFFF"/>
            <w:noWrap/>
            <w:vAlign w:val="center"/>
          </w:tcPr>
          <w:p w14:paraId="38F9B801">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14944</w:t>
            </w:r>
          </w:p>
        </w:tc>
        <w:tc>
          <w:tcPr>
            <w:tcW w:w="920" w:type="pct"/>
            <w:tcBorders>
              <w:top w:val="nil"/>
              <w:left w:val="nil"/>
              <w:bottom w:val="nil"/>
              <w:right w:val="nil"/>
            </w:tcBorders>
            <w:shd w:val="clear" w:color="auto" w:fill="FFFFFF"/>
            <w:noWrap/>
            <w:vAlign w:val="center"/>
          </w:tcPr>
          <w:p w14:paraId="5ED4B267">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4.21%</w:t>
            </w:r>
          </w:p>
        </w:tc>
      </w:tr>
      <w:tr w14:paraId="7350E9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53F1D4E7">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十二、农林水支出</w:t>
            </w:r>
          </w:p>
        </w:tc>
        <w:tc>
          <w:tcPr>
            <w:tcW w:w="817" w:type="pct"/>
            <w:tcBorders>
              <w:top w:val="nil"/>
              <w:left w:val="nil"/>
              <w:bottom w:val="nil"/>
              <w:right w:val="nil"/>
            </w:tcBorders>
            <w:shd w:val="clear" w:color="auto" w:fill="FFFFFF"/>
            <w:noWrap/>
            <w:vAlign w:val="center"/>
          </w:tcPr>
          <w:p w14:paraId="3B96465C">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70702</w:t>
            </w:r>
          </w:p>
        </w:tc>
        <w:tc>
          <w:tcPr>
            <w:tcW w:w="920" w:type="pct"/>
            <w:tcBorders>
              <w:top w:val="nil"/>
              <w:left w:val="nil"/>
              <w:bottom w:val="nil"/>
              <w:right w:val="nil"/>
            </w:tcBorders>
            <w:shd w:val="clear" w:color="auto" w:fill="FFFFFF"/>
            <w:noWrap/>
            <w:vAlign w:val="center"/>
          </w:tcPr>
          <w:p w14:paraId="53F4748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19.91%</w:t>
            </w:r>
          </w:p>
        </w:tc>
      </w:tr>
      <w:tr w14:paraId="473C57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5287F5FA">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十三、交通运输支出</w:t>
            </w:r>
          </w:p>
        </w:tc>
        <w:tc>
          <w:tcPr>
            <w:tcW w:w="817" w:type="pct"/>
            <w:tcBorders>
              <w:top w:val="nil"/>
              <w:left w:val="nil"/>
              <w:bottom w:val="nil"/>
              <w:right w:val="nil"/>
            </w:tcBorders>
            <w:shd w:val="clear" w:color="auto" w:fill="FFFFFF"/>
            <w:noWrap/>
            <w:vAlign w:val="center"/>
          </w:tcPr>
          <w:p w14:paraId="4B45536C">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5399</w:t>
            </w:r>
          </w:p>
        </w:tc>
        <w:tc>
          <w:tcPr>
            <w:tcW w:w="920" w:type="pct"/>
            <w:tcBorders>
              <w:top w:val="nil"/>
              <w:left w:val="nil"/>
              <w:bottom w:val="nil"/>
              <w:right w:val="nil"/>
            </w:tcBorders>
            <w:shd w:val="clear" w:color="auto" w:fill="FFFFFF"/>
            <w:noWrap/>
            <w:vAlign w:val="center"/>
          </w:tcPr>
          <w:p w14:paraId="74E1FCA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1.52%</w:t>
            </w:r>
          </w:p>
        </w:tc>
      </w:tr>
      <w:tr w14:paraId="554373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1A1CA547">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十四、资源勘探工业信息等支出</w:t>
            </w:r>
          </w:p>
        </w:tc>
        <w:tc>
          <w:tcPr>
            <w:tcW w:w="817" w:type="pct"/>
            <w:tcBorders>
              <w:top w:val="nil"/>
              <w:left w:val="nil"/>
              <w:bottom w:val="nil"/>
              <w:right w:val="nil"/>
            </w:tcBorders>
            <w:shd w:val="clear" w:color="auto" w:fill="FFFFFF"/>
            <w:noWrap/>
            <w:vAlign w:val="center"/>
          </w:tcPr>
          <w:p w14:paraId="34A27F6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957</w:t>
            </w:r>
          </w:p>
        </w:tc>
        <w:tc>
          <w:tcPr>
            <w:tcW w:w="920" w:type="pct"/>
            <w:tcBorders>
              <w:top w:val="nil"/>
              <w:left w:val="nil"/>
              <w:bottom w:val="nil"/>
              <w:right w:val="nil"/>
            </w:tcBorders>
            <w:shd w:val="clear" w:color="auto" w:fill="FFFFFF"/>
            <w:noWrap/>
            <w:vAlign w:val="center"/>
          </w:tcPr>
          <w:p w14:paraId="15E260D9">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0.27%</w:t>
            </w:r>
          </w:p>
        </w:tc>
      </w:tr>
      <w:tr w14:paraId="626B9C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119D658B">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十五、商业服务业等支出</w:t>
            </w:r>
          </w:p>
        </w:tc>
        <w:tc>
          <w:tcPr>
            <w:tcW w:w="817" w:type="pct"/>
            <w:tcBorders>
              <w:top w:val="nil"/>
              <w:left w:val="nil"/>
              <w:bottom w:val="nil"/>
              <w:right w:val="nil"/>
            </w:tcBorders>
            <w:shd w:val="clear" w:color="auto" w:fill="FFFFFF"/>
            <w:noWrap/>
            <w:vAlign w:val="center"/>
          </w:tcPr>
          <w:p w14:paraId="4E1030E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1844</w:t>
            </w:r>
          </w:p>
        </w:tc>
        <w:tc>
          <w:tcPr>
            <w:tcW w:w="920" w:type="pct"/>
            <w:tcBorders>
              <w:top w:val="nil"/>
              <w:left w:val="nil"/>
              <w:bottom w:val="nil"/>
              <w:right w:val="nil"/>
            </w:tcBorders>
            <w:shd w:val="clear" w:color="auto" w:fill="FFFFFF"/>
            <w:noWrap/>
            <w:vAlign w:val="center"/>
          </w:tcPr>
          <w:p w14:paraId="53B459EE">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0.52%</w:t>
            </w:r>
          </w:p>
        </w:tc>
      </w:tr>
      <w:tr w14:paraId="00766C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6F2E5E0A">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十六、金融支出</w:t>
            </w:r>
          </w:p>
        </w:tc>
        <w:tc>
          <w:tcPr>
            <w:tcW w:w="817" w:type="pct"/>
            <w:tcBorders>
              <w:top w:val="nil"/>
              <w:left w:val="nil"/>
              <w:bottom w:val="nil"/>
              <w:right w:val="nil"/>
            </w:tcBorders>
            <w:shd w:val="clear" w:color="auto" w:fill="FFFFFF"/>
            <w:noWrap/>
            <w:vAlign w:val="center"/>
          </w:tcPr>
          <w:p w14:paraId="54B64A45">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23</w:t>
            </w:r>
          </w:p>
        </w:tc>
        <w:tc>
          <w:tcPr>
            <w:tcW w:w="920" w:type="pct"/>
            <w:tcBorders>
              <w:top w:val="nil"/>
              <w:left w:val="nil"/>
              <w:bottom w:val="nil"/>
              <w:right w:val="nil"/>
            </w:tcBorders>
            <w:shd w:val="clear" w:color="auto" w:fill="FFFFFF"/>
            <w:noWrap/>
            <w:vAlign w:val="center"/>
          </w:tcPr>
          <w:p w14:paraId="7FB33597">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0.01%</w:t>
            </w:r>
          </w:p>
        </w:tc>
      </w:tr>
      <w:tr w14:paraId="710902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14150553">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十七、援助其他地区支出</w:t>
            </w:r>
          </w:p>
        </w:tc>
        <w:tc>
          <w:tcPr>
            <w:tcW w:w="817" w:type="pct"/>
            <w:tcBorders>
              <w:top w:val="nil"/>
              <w:left w:val="nil"/>
              <w:bottom w:val="nil"/>
              <w:right w:val="nil"/>
            </w:tcBorders>
            <w:shd w:val="clear" w:color="auto" w:fill="FFFFFF"/>
            <w:noWrap/>
            <w:vAlign w:val="center"/>
          </w:tcPr>
          <w:p w14:paraId="1A39F362">
            <w:pPr>
              <w:rPr>
                <w:rFonts w:hint="eastAsia" w:ascii="宋体" w:hAnsi="宋体" w:eastAsia="宋体" w:cs="宋体"/>
                <w:b w:val="0"/>
                <w:i w:val="0"/>
                <w:iCs w:val="0"/>
                <w:color w:val="000000"/>
                <w:sz w:val="21"/>
                <w:szCs w:val="21"/>
                <w:u w:val="none"/>
              </w:rPr>
            </w:pPr>
          </w:p>
        </w:tc>
        <w:tc>
          <w:tcPr>
            <w:tcW w:w="920" w:type="pct"/>
            <w:tcBorders>
              <w:top w:val="nil"/>
              <w:left w:val="nil"/>
              <w:bottom w:val="nil"/>
              <w:right w:val="nil"/>
            </w:tcBorders>
            <w:shd w:val="clear" w:color="auto" w:fill="FFFFFF"/>
            <w:noWrap/>
            <w:vAlign w:val="center"/>
          </w:tcPr>
          <w:p w14:paraId="00BBB9F9">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0.00%</w:t>
            </w:r>
          </w:p>
        </w:tc>
      </w:tr>
      <w:tr w14:paraId="44D355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7C80F03A">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十八、自然资源海洋气象等支出</w:t>
            </w:r>
          </w:p>
        </w:tc>
        <w:tc>
          <w:tcPr>
            <w:tcW w:w="817" w:type="pct"/>
            <w:tcBorders>
              <w:top w:val="nil"/>
              <w:left w:val="nil"/>
              <w:bottom w:val="nil"/>
              <w:right w:val="nil"/>
            </w:tcBorders>
            <w:shd w:val="clear" w:color="auto" w:fill="FFFFFF"/>
            <w:noWrap/>
            <w:vAlign w:val="center"/>
          </w:tcPr>
          <w:p w14:paraId="2D25061B">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5353</w:t>
            </w:r>
          </w:p>
        </w:tc>
        <w:tc>
          <w:tcPr>
            <w:tcW w:w="920" w:type="pct"/>
            <w:tcBorders>
              <w:top w:val="nil"/>
              <w:left w:val="nil"/>
              <w:bottom w:val="nil"/>
              <w:right w:val="nil"/>
            </w:tcBorders>
            <w:shd w:val="clear" w:color="auto" w:fill="FFFFFF"/>
            <w:noWrap/>
            <w:vAlign w:val="center"/>
          </w:tcPr>
          <w:p w14:paraId="3F6FAF5A">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1.51%</w:t>
            </w:r>
          </w:p>
        </w:tc>
      </w:tr>
      <w:tr w14:paraId="09A08D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29525B2E">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十九、住房保障支出</w:t>
            </w:r>
          </w:p>
        </w:tc>
        <w:tc>
          <w:tcPr>
            <w:tcW w:w="817" w:type="pct"/>
            <w:tcBorders>
              <w:top w:val="nil"/>
              <w:left w:val="nil"/>
              <w:bottom w:val="nil"/>
              <w:right w:val="nil"/>
            </w:tcBorders>
            <w:shd w:val="clear" w:color="auto" w:fill="FFFFFF"/>
            <w:noWrap/>
            <w:vAlign w:val="center"/>
          </w:tcPr>
          <w:p w14:paraId="3626D305">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9084</w:t>
            </w:r>
          </w:p>
        </w:tc>
        <w:tc>
          <w:tcPr>
            <w:tcW w:w="920" w:type="pct"/>
            <w:tcBorders>
              <w:top w:val="nil"/>
              <w:left w:val="nil"/>
              <w:bottom w:val="nil"/>
              <w:right w:val="nil"/>
            </w:tcBorders>
            <w:shd w:val="clear" w:color="auto" w:fill="FFFFFF"/>
            <w:noWrap/>
            <w:vAlign w:val="center"/>
          </w:tcPr>
          <w:p w14:paraId="04A1DE9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2.56%</w:t>
            </w:r>
          </w:p>
        </w:tc>
      </w:tr>
      <w:tr w14:paraId="12FB30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44555C78">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二十、粮油物资储备支出</w:t>
            </w:r>
          </w:p>
        </w:tc>
        <w:tc>
          <w:tcPr>
            <w:tcW w:w="817" w:type="pct"/>
            <w:tcBorders>
              <w:top w:val="nil"/>
              <w:left w:val="nil"/>
              <w:bottom w:val="nil"/>
              <w:right w:val="nil"/>
            </w:tcBorders>
            <w:shd w:val="clear" w:color="auto" w:fill="FFFFFF"/>
            <w:noWrap/>
            <w:vAlign w:val="center"/>
          </w:tcPr>
          <w:p w14:paraId="6816BEDA">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388</w:t>
            </w:r>
          </w:p>
        </w:tc>
        <w:tc>
          <w:tcPr>
            <w:tcW w:w="920" w:type="pct"/>
            <w:tcBorders>
              <w:top w:val="nil"/>
              <w:left w:val="nil"/>
              <w:bottom w:val="nil"/>
              <w:right w:val="nil"/>
            </w:tcBorders>
            <w:shd w:val="clear" w:color="auto" w:fill="FFFFFF"/>
            <w:noWrap/>
            <w:vAlign w:val="center"/>
          </w:tcPr>
          <w:p w14:paraId="62CD3D0D">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0.11%</w:t>
            </w:r>
          </w:p>
        </w:tc>
      </w:tr>
      <w:tr w14:paraId="0E01D2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52036272">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二十一、灾害防治及应急管理支出</w:t>
            </w:r>
          </w:p>
        </w:tc>
        <w:tc>
          <w:tcPr>
            <w:tcW w:w="817" w:type="pct"/>
            <w:tcBorders>
              <w:top w:val="nil"/>
              <w:left w:val="nil"/>
              <w:bottom w:val="nil"/>
              <w:right w:val="nil"/>
            </w:tcBorders>
            <w:shd w:val="clear" w:color="auto" w:fill="FFFFFF"/>
            <w:noWrap/>
            <w:vAlign w:val="center"/>
          </w:tcPr>
          <w:p w14:paraId="6C96AB56">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2531</w:t>
            </w:r>
          </w:p>
        </w:tc>
        <w:tc>
          <w:tcPr>
            <w:tcW w:w="920" w:type="pct"/>
            <w:tcBorders>
              <w:top w:val="nil"/>
              <w:left w:val="nil"/>
              <w:bottom w:val="nil"/>
              <w:right w:val="nil"/>
            </w:tcBorders>
            <w:shd w:val="clear" w:color="auto" w:fill="FFFFFF"/>
            <w:noWrap/>
            <w:vAlign w:val="center"/>
          </w:tcPr>
          <w:p w14:paraId="6811C210">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0.71%</w:t>
            </w:r>
          </w:p>
        </w:tc>
      </w:tr>
      <w:tr w14:paraId="5F4DEB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5BE08666">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二十二、预备费</w:t>
            </w:r>
          </w:p>
        </w:tc>
        <w:tc>
          <w:tcPr>
            <w:tcW w:w="817" w:type="pct"/>
            <w:tcBorders>
              <w:top w:val="nil"/>
              <w:left w:val="nil"/>
              <w:bottom w:val="nil"/>
              <w:right w:val="nil"/>
            </w:tcBorders>
            <w:shd w:val="clear" w:color="auto" w:fill="FFFFFF"/>
            <w:noWrap/>
            <w:vAlign w:val="center"/>
          </w:tcPr>
          <w:p w14:paraId="16CB2D14">
            <w:pPr>
              <w:rPr>
                <w:rFonts w:hint="eastAsia" w:ascii="宋体" w:hAnsi="宋体" w:eastAsia="宋体" w:cs="宋体"/>
                <w:b w:val="0"/>
                <w:i w:val="0"/>
                <w:iCs w:val="0"/>
                <w:color w:val="000000"/>
                <w:sz w:val="21"/>
                <w:szCs w:val="21"/>
                <w:u w:val="none"/>
              </w:rPr>
            </w:pPr>
          </w:p>
        </w:tc>
        <w:tc>
          <w:tcPr>
            <w:tcW w:w="920" w:type="pct"/>
            <w:tcBorders>
              <w:top w:val="nil"/>
              <w:left w:val="nil"/>
              <w:bottom w:val="nil"/>
              <w:right w:val="nil"/>
            </w:tcBorders>
            <w:shd w:val="clear" w:color="auto" w:fill="FFFFFF"/>
            <w:noWrap/>
            <w:vAlign w:val="center"/>
          </w:tcPr>
          <w:p w14:paraId="094B0C39">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0.00%</w:t>
            </w:r>
          </w:p>
        </w:tc>
      </w:tr>
      <w:tr w14:paraId="51F26C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7DFE8608">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二十三、其他支出</w:t>
            </w:r>
          </w:p>
        </w:tc>
        <w:tc>
          <w:tcPr>
            <w:tcW w:w="817" w:type="pct"/>
            <w:tcBorders>
              <w:top w:val="nil"/>
              <w:left w:val="nil"/>
              <w:bottom w:val="nil"/>
              <w:right w:val="nil"/>
            </w:tcBorders>
            <w:shd w:val="clear" w:color="auto" w:fill="FFFFFF"/>
            <w:noWrap/>
            <w:vAlign w:val="center"/>
          </w:tcPr>
          <w:p w14:paraId="28E3660C">
            <w:pPr>
              <w:rPr>
                <w:rFonts w:hint="eastAsia" w:ascii="宋体" w:hAnsi="宋体" w:eastAsia="宋体" w:cs="宋体"/>
                <w:b w:val="0"/>
                <w:i w:val="0"/>
                <w:iCs w:val="0"/>
                <w:color w:val="000000"/>
                <w:sz w:val="21"/>
                <w:szCs w:val="21"/>
                <w:u w:val="none"/>
              </w:rPr>
            </w:pPr>
          </w:p>
        </w:tc>
        <w:tc>
          <w:tcPr>
            <w:tcW w:w="920" w:type="pct"/>
            <w:tcBorders>
              <w:top w:val="nil"/>
              <w:left w:val="nil"/>
              <w:bottom w:val="nil"/>
              <w:right w:val="nil"/>
            </w:tcBorders>
            <w:shd w:val="clear" w:color="auto" w:fill="FFFFFF"/>
            <w:noWrap/>
            <w:vAlign w:val="center"/>
          </w:tcPr>
          <w:p w14:paraId="4158B2C4">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0.00%</w:t>
            </w:r>
          </w:p>
        </w:tc>
      </w:tr>
      <w:tr w14:paraId="11F71B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727B1781">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二十四、债务付息支出</w:t>
            </w:r>
          </w:p>
        </w:tc>
        <w:tc>
          <w:tcPr>
            <w:tcW w:w="817" w:type="pct"/>
            <w:tcBorders>
              <w:top w:val="nil"/>
              <w:left w:val="nil"/>
              <w:bottom w:val="nil"/>
              <w:right w:val="nil"/>
            </w:tcBorders>
            <w:shd w:val="clear" w:color="auto" w:fill="FFFFFF"/>
            <w:noWrap/>
            <w:vAlign w:val="center"/>
          </w:tcPr>
          <w:p w14:paraId="28F220D4">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6341</w:t>
            </w:r>
          </w:p>
        </w:tc>
        <w:tc>
          <w:tcPr>
            <w:tcW w:w="920" w:type="pct"/>
            <w:tcBorders>
              <w:top w:val="nil"/>
              <w:left w:val="nil"/>
              <w:bottom w:val="nil"/>
              <w:right w:val="nil"/>
            </w:tcBorders>
            <w:shd w:val="clear" w:color="auto" w:fill="FFFFFF"/>
            <w:noWrap/>
            <w:vAlign w:val="center"/>
          </w:tcPr>
          <w:p w14:paraId="358C5957">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1.79%</w:t>
            </w:r>
          </w:p>
        </w:tc>
      </w:tr>
      <w:tr w14:paraId="7C1CA5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261" w:type="pct"/>
            <w:tcBorders>
              <w:top w:val="nil"/>
              <w:bottom w:val="nil"/>
              <w:right w:val="nil"/>
            </w:tcBorders>
            <w:shd w:val="clear" w:color="auto" w:fill="FFFFFF"/>
            <w:noWrap/>
            <w:vAlign w:val="center"/>
          </w:tcPr>
          <w:p w14:paraId="200BAC2B">
            <w:pPr>
              <w:keepNext w:val="0"/>
              <w:keepLines w:val="0"/>
              <w:widowControl/>
              <w:suppressLineNumbers w:val="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二十五、债务发行费用支出</w:t>
            </w:r>
          </w:p>
        </w:tc>
        <w:tc>
          <w:tcPr>
            <w:tcW w:w="817" w:type="pct"/>
            <w:tcBorders>
              <w:top w:val="nil"/>
              <w:left w:val="nil"/>
              <w:bottom w:val="nil"/>
              <w:right w:val="nil"/>
            </w:tcBorders>
            <w:shd w:val="clear" w:color="auto" w:fill="FFFFFF"/>
            <w:noWrap/>
            <w:vAlign w:val="center"/>
          </w:tcPr>
          <w:p w14:paraId="1CB34C5B">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35</w:t>
            </w:r>
          </w:p>
        </w:tc>
        <w:tc>
          <w:tcPr>
            <w:tcW w:w="920" w:type="pct"/>
            <w:tcBorders>
              <w:top w:val="nil"/>
              <w:left w:val="nil"/>
              <w:bottom w:val="nil"/>
              <w:right w:val="nil"/>
            </w:tcBorders>
            <w:shd w:val="clear" w:color="auto" w:fill="FFFFFF"/>
            <w:noWrap/>
            <w:vAlign w:val="center"/>
          </w:tcPr>
          <w:p w14:paraId="3320BFB2">
            <w:pPr>
              <w:keepNext w:val="0"/>
              <w:keepLines w:val="0"/>
              <w:widowControl/>
              <w:suppressLineNumbers w:val="0"/>
              <w:jc w:val="righ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0.01%</w:t>
            </w:r>
          </w:p>
        </w:tc>
      </w:tr>
      <w:tr w14:paraId="557CB8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261" w:type="pct"/>
            <w:tcBorders>
              <w:top w:val="nil"/>
              <w:bottom w:val="single" w:color="000000" w:sz="12" w:space="0"/>
              <w:right w:val="nil"/>
            </w:tcBorders>
            <w:shd w:val="clear" w:color="auto" w:fill="FFFFFF"/>
            <w:noWrap/>
            <w:vAlign w:val="center"/>
          </w:tcPr>
          <w:p w14:paraId="52103497">
            <w:pPr>
              <w:keepNext w:val="0"/>
              <w:keepLines w:val="0"/>
              <w:widowControl/>
              <w:suppressLineNumbers w:val="0"/>
              <w:jc w:val="center"/>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总计</w:t>
            </w:r>
          </w:p>
        </w:tc>
        <w:tc>
          <w:tcPr>
            <w:tcW w:w="817" w:type="pct"/>
            <w:tcBorders>
              <w:top w:val="nil"/>
              <w:left w:val="nil"/>
              <w:bottom w:val="single" w:color="000000" w:sz="12" w:space="0"/>
              <w:right w:val="nil"/>
            </w:tcBorders>
            <w:shd w:val="clear" w:color="auto" w:fill="FFFFFF"/>
            <w:noWrap/>
            <w:vAlign w:val="center"/>
          </w:tcPr>
          <w:p w14:paraId="47AAA272">
            <w:pPr>
              <w:keepNext w:val="0"/>
              <w:keepLines w:val="0"/>
              <w:widowControl/>
              <w:suppressLineNumbers w:val="0"/>
              <w:jc w:val="righ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355063</w:t>
            </w:r>
          </w:p>
        </w:tc>
        <w:tc>
          <w:tcPr>
            <w:tcW w:w="920" w:type="pct"/>
            <w:tcBorders>
              <w:top w:val="nil"/>
              <w:left w:val="nil"/>
              <w:bottom w:val="single" w:color="000000" w:sz="12" w:space="0"/>
              <w:right w:val="nil"/>
            </w:tcBorders>
            <w:shd w:val="clear" w:color="auto" w:fill="FFFFFF"/>
            <w:noWrap/>
            <w:vAlign w:val="center"/>
          </w:tcPr>
          <w:p w14:paraId="5440B1FD">
            <w:pPr>
              <w:keepNext w:val="0"/>
              <w:keepLines w:val="0"/>
              <w:widowControl/>
              <w:suppressLineNumbers w:val="0"/>
              <w:jc w:val="right"/>
              <w:textAlignment w:val="center"/>
              <w:rPr>
                <w:rFonts w:hint="eastAsia" w:ascii="宋体" w:hAnsi="宋体" w:eastAsia="宋体" w:cs="宋体"/>
                <w:b w:val="0"/>
                <w:bCs/>
                <w:i w:val="0"/>
                <w:iCs w:val="0"/>
                <w:color w:val="000000"/>
                <w:sz w:val="21"/>
                <w:szCs w:val="21"/>
                <w:u w:val="none"/>
              </w:rPr>
            </w:pPr>
            <w:r>
              <w:rPr>
                <w:rFonts w:hint="eastAsia" w:ascii="宋体" w:hAnsi="宋体" w:eastAsia="宋体" w:cs="宋体"/>
                <w:b w:val="0"/>
                <w:bCs/>
                <w:i w:val="0"/>
                <w:iCs w:val="0"/>
                <w:color w:val="000000"/>
                <w:kern w:val="0"/>
                <w:sz w:val="21"/>
                <w:szCs w:val="21"/>
                <w:u w:val="none"/>
                <w:lang w:val="en-US" w:eastAsia="zh-CN" w:bidi="ar"/>
              </w:rPr>
              <w:t>100.00%</w:t>
            </w:r>
          </w:p>
        </w:tc>
      </w:tr>
    </w:tbl>
    <w:p w14:paraId="62707F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上解上级支出方面</w:t>
      </w:r>
      <w:r>
        <w:rPr>
          <w:rFonts w:hint="eastAsia" w:ascii="仿宋_GB2312" w:hAnsi="仿宋_GB2312" w:eastAsia="仿宋_GB2312" w:cs="仿宋_GB2312"/>
          <w:color w:val="auto"/>
          <w:sz w:val="32"/>
          <w:szCs w:val="32"/>
          <w:lang w:val="en-US" w:eastAsia="zh-CN"/>
        </w:rPr>
        <w:t>，本年上解上级支出</w:t>
      </w:r>
      <w:r>
        <w:rPr>
          <w:rFonts w:hint="eastAsia" w:ascii="仿宋_GB2312" w:hAnsi="仿宋_GB2312" w:eastAsia="仿宋_GB2312" w:cs="仿宋_GB2312"/>
          <w:color w:val="auto"/>
          <w:sz w:val="32"/>
          <w:szCs w:val="32"/>
          <w:lang w:eastAsia="zh-CN"/>
        </w:rPr>
        <w:t>10758万元，其中体制上解</w:t>
      </w:r>
      <w:r>
        <w:rPr>
          <w:rFonts w:hint="eastAsia" w:ascii="仿宋_GB2312" w:hAnsi="仿宋_GB2312" w:eastAsia="仿宋_GB2312" w:cs="仿宋_GB2312"/>
          <w:color w:val="auto"/>
          <w:sz w:val="32"/>
          <w:szCs w:val="32"/>
          <w:lang w:val="en-US" w:eastAsia="zh-CN"/>
        </w:rPr>
        <w:t>1723万元；专项上解中，市县地税、工商、质监、药监、森林公安等省级垂直管理单位上划经费3132万元，法检系统上划经费2877万元，2024年度市县库款资金占用费1139万元，其他专项上解1887万元，共计9035万元。</w:t>
      </w:r>
    </w:p>
    <w:p w14:paraId="5CE570C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调出资金方面</w:t>
      </w:r>
      <w:r>
        <w:rPr>
          <w:rFonts w:hint="eastAsia" w:ascii="仿宋_GB2312" w:hAnsi="仿宋_GB2312" w:eastAsia="仿宋_GB2312" w:cs="仿宋_GB2312"/>
          <w:color w:val="auto"/>
          <w:sz w:val="32"/>
          <w:szCs w:val="32"/>
          <w:lang w:val="en-US" w:eastAsia="zh-CN"/>
        </w:rPr>
        <w:t>，本年度一般公共预算调出资金至政府性基金3556万元，主要用于债务付息、发行费用及还本支出。</w:t>
      </w:r>
    </w:p>
    <w:p w14:paraId="6231A2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本年度年终结余</w:t>
      </w:r>
      <w:r>
        <w:rPr>
          <w:rFonts w:hint="eastAsia" w:ascii="仿宋_GB2312" w:hAnsi="仿宋_GB2312" w:eastAsia="仿宋_GB2312" w:cs="仿宋_GB2312"/>
          <w:b/>
          <w:bCs/>
          <w:color w:val="auto"/>
          <w:sz w:val="32"/>
          <w:szCs w:val="32"/>
          <w:lang w:val="en-US" w:eastAsia="zh-CN"/>
        </w:rPr>
        <w:t>19970万元</w:t>
      </w:r>
      <w:r>
        <w:rPr>
          <w:rFonts w:hint="eastAsia" w:ascii="仿宋_GB2312" w:hAnsi="仿宋_GB2312" w:eastAsia="仿宋_GB2312" w:cs="仿宋_GB2312"/>
          <w:color w:val="auto"/>
          <w:sz w:val="32"/>
          <w:szCs w:val="32"/>
          <w:lang w:val="en-US" w:eastAsia="zh-CN"/>
        </w:rPr>
        <w:t>，其中:一般公共服务支出5万元，公共安全支出294万元，教育支出507万元，科学技术支出13万元，文化旅游体育与传媒支出506万元，社会保障和就业支出1681万元，卫生健康支出578万元，节能环保支出8955万元，城乡社区支出1818万元，农林水支出3506万元，交通运输支出1016万元，商业服务业等支出549万元，自然资源海洋气象等支出235万元，住房保障支出307万元。</w:t>
      </w:r>
    </w:p>
    <w:p w14:paraId="7A38E4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w:t>
      </w:r>
      <w:r>
        <w:rPr>
          <w:rFonts w:hint="eastAsia" w:ascii="仿宋_GB2312" w:hAnsi="仿宋_GB2312" w:eastAsia="仿宋_GB2312" w:cs="仿宋_GB2312"/>
          <w:b w:val="0"/>
          <w:bCs w:val="0"/>
          <w:color w:val="auto"/>
          <w:sz w:val="32"/>
          <w:szCs w:val="32"/>
          <w:highlight w:val="none"/>
          <w:lang w:val="en-US" w:eastAsia="zh-CN"/>
        </w:rPr>
        <w:t>县本级预备费</w:t>
      </w:r>
      <w:r>
        <w:rPr>
          <w:rFonts w:hint="eastAsia" w:ascii="仿宋_GB2312" w:hAnsi="仿宋_GB2312" w:eastAsia="仿宋_GB2312" w:cs="仿宋_GB2312"/>
          <w:color w:val="auto"/>
          <w:sz w:val="32"/>
          <w:szCs w:val="32"/>
          <w:highlight w:val="none"/>
          <w:lang w:val="en-US" w:eastAsia="zh-CN"/>
        </w:rPr>
        <w:t>年初预算5800万元，当年分配至其他社会保障和就业支出3000万元，未分配部分年底全部转入预算稳定调节基金。</w:t>
      </w:r>
    </w:p>
    <w:p w14:paraId="46710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（二）政府性基金预算收支决算情况</w:t>
      </w:r>
    </w:p>
    <w:p w14:paraId="63F05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2025年，县本级地方政府性基金预算收入4539万元，为预算的61.24%，</w:t>
      </w:r>
      <w:r>
        <w:rPr>
          <w:rFonts w:hint="eastAsia" w:ascii="仿宋_GB2312" w:hAnsi="仿宋_GB2312" w:eastAsia="仿宋_GB2312" w:cs="仿宋_GB2312"/>
          <w:sz w:val="32"/>
          <w:szCs w:val="32"/>
          <w:lang w:eastAsia="zh-CN"/>
        </w:rPr>
        <w:t>降幅</w:t>
      </w:r>
      <w:r>
        <w:rPr>
          <w:rFonts w:hint="eastAsia" w:ascii="仿宋_GB2312" w:hAnsi="仿宋_GB2312" w:eastAsia="仿宋_GB2312" w:cs="仿宋_GB2312"/>
          <w:sz w:val="32"/>
          <w:szCs w:val="32"/>
        </w:rPr>
        <w:t>3.28%，</w:t>
      </w:r>
      <w:r>
        <w:rPr>
          <w:rFonts w:hint="eastAsia" w:ascii="仿宋_GB2312" w:hAnsi="仿宋_GB2312" w:eastAsia="仿宋_GB2312" w:cs="仿宋_GB2312"/>
          <w:sz w:val="32"/>
          <w:szCs w:val="32"/>
          <w:lang w:eastAsia="zh-CN"/>
        </w:rPr>
        <w:t>减</w:t>
      </w:r>
      <w:r>
        <w:rPr>
          <w:rFonts w:hint="eastAsia" w:ascii="仿宋_GB2312" w:hAnsi="仿宋_GB2312" w:eastAsia="仿宋_GB2312" w:cs="仿宋_GB2312"/>
          <w:sz w:val="32"/>
          <w:szCs w:val="32"/>
        </w:rPr>
        <w:t>收</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万元，债务转贷收入</w:t>
      </w:r>
      <w:r>
        <w:rPr>
          <w:rFonts w:hint="eastAsia" w:ascii="仿宋_GB2312" w:hAnsi="仿宋_GB2312" w:eastAsia="仿宋_GB2312" w:cs="仿宋_GB2312"/>
          <w:sz w:val="32"/>
          <w:szCs w:val="32"/>
          <w:lang w:val="en-US" w:eastAsia="zh-CN"/>
        </w:rPr>
        <w:t>37000</w:t>
      </w:r>
      <w:r>
        <w:rPr>
          <w:rFonts w:hint="eastAsia" w:ascii="仿宋_GB2312" w:hAnsi="仿宋_GB2312" w:eastAsia="仿宋_GB2312" w:cs="仿宋_GB2312"/>
          <w:sz w:val="32"/>
          <w:szCs w:val="32"/>
        </w:rPr>
        <w:t>万元，上级补助收入</w:t>
      </w:r>
      <w:r>
        <w:rPr>
          <w:rFonts w:hint="eastAsia" w:ascii="仿宋_GB2312" w:hAnsi="仿宋_GB2312" w:eastAsia="仿宋_GB2312" w:cs="仿宋_GB2312"/>
          <w:sz w:val="32"/>
          <w:szCs w:val="32"/>
          <w:lang w:val="en-US" w:eastAsia="zh-CN"/>
        </w:rPr>
        <w:t>4771</w:t>
      </w:r>
      <w:r>
        <w:rPr>
          <w:rFonts w:hint="eastAsia" w:ascii="仿宋_GB2312" w:hAnsi="仿宋_GB2312" w:eastAsia="仿宋_GB2312" w:cs="仿宋_GB2312"/>
          <w:sz w:val="32"/>
          <w:szCs w:val="32"/>
        </w:rPr>
        <w:t>万元，上年结余收入</w:t>
      </w:r>
      <w:r>
        <w:rPr>
          <w:rFonts w:hint="eastAsia" w:ascii="仿宋_GB2312" w:hAnsi="仿宋_GB2312" w:eastAsia="仿宋_GB2312" w:cs="仿宋_GB2312"/>
          <w:sz w:val="32"/>
          <w:szCs w:val="32"/>
          <w:lang w:val="en-US" w:eastAsia="zh-CN"/>
        </w:rPr>
        <w:t>16890</w:t>
      </w:r>
      <w:r>
        <w:rPr>
          <w:rFonts w:hint="eastAsia" w:ascii="仿宋_GB2312" w:hAnsi="仿宋_GB2312" w:eastAsia="仿宋_GB2312" w:cs="仿宋_GB2312"/>
          <w:sz w:val="32"/>
          <w:szCs w:val="32"/>
        </w:rPr>
        <w:t>万元，调入资金</w:t>
      </w:r>
      <w:r>
        <w:rPr>
          <w:rFonts w:hint="eastAsia" w:ascii="仿宋_GB2312" w:hAnsi="仿宋_GB2312" w:eastAsia="仿宋_GB2312" w:cs="仿宋_GB2312"/>
          <w:sz w:val="32"/>
          <w:szCs w:val="32"/>
          <w:lang w:val="en-US" w:eastAsia="zh-CN"/>
        </w:rPr>
        <w:t>3556</w:t>
      </w:r>
      <w:r>
        <w:rPr>
          <w:rFonts w:hint="eastAsia" w:ascii="仿宋_GB2312" w:hAnsi="仿宋_GB2312" w:eastAsia="仿宋_GB2312" w:cs="仿宋_GB2312"/>
          <w:sz w:val="32"/>
          <w:szCs w:val="32"/>
        </w:rPr>
        <w:t>万元，收入总计66756万元。县本级地方政府性基金预算支出</w:t>
      </w:r>
      <w:r>
        <w:rPr>
          <w:rFonts w:hint="eastAsia" w:ascii="仿宋_GB2312" w:hAnsi="仿宋_GB2312" w:eastAsia="仿宋_GB2312" w:cs="仿宋_GB2312"/>
          <w:sz w:val="32"/>
          <w:szCs w:val="32"/>
          <w:lang w:val="en-US" w:eastAsia="zh-CN"/>
        </w:rPr>
        <w:t>56186</w:t>
      </w:r>
      <w:r>
        <w:rPr>
          <w:rFonts w:hint="eastAsia" w:ascii="仿宋_GB2312" w:hAnsi="仿宋_GB2312" w:eastAsia="仿宋_GB2312" w:cs="仿宋_GB2312"/>
          <w:sz w:val="32"/>
          <w:szCs w:val="32"/>
        </w:rPr>
        <w:t>万元，为预算的119.18%</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auto"/>
          <w:sz w:val="32"/>
          <w:szCs w:val="32"/>
        </w:rPr>
        <w:t>同比增长36.62%，增支15059万元，债务还本支出</w:t>
      </w:r>
      <w:r>
        <w:rPr>
          <w:rFonts w:hint="eastAsia" w:ascii="仿宋_GB2312" w:hAnsi="仿宋_GB2312" w:eastAsia="仿宋_GB2312" w:cs="仿宋_GB2312"/>
          <w:color w:val="auto"/>
          <w:sz w:val="32"/>
          <w:szCs w:val="32"/>
          <w:lang w:val="en-US" w:eastAsia="zh-CN"/>
        </w:rPr>
        <w:t>5403</w:t>
      </w:r>
      <w:r>
        <w:rPr>
          <w:rFonts w:hint="eastAsia" w:ascii="仿宋_GB2312" w:hAnsi="仿宋_GB2312" w:eastAsia="仿宋_GB2312" w:cs="仿宋_GB2312"/>
          <w:color w:val="auto"/>
          <w:sz w:val="32"/>
          <w:szCs w:val="32"/>
        </w:rPr>
        <w:t>万元，调出资金</w:t>
      </w:r>
      <w:r>
        <w:rPr>
          <w:rFonts w:hint="eastAsia" w:ascii="仿宋_GB2312" w:hAnsi="仿宋_GB2312" w:eastAsia="仿宋_GB2312" w:cs="仿宋_GB2312"/>
          <w:color w:val="auto"/>
          <w:sz w:val="32"/>
          <w:szCs w:val="32"/>
          <w:lang w:val="en-US" w:eastAsia="zh-CN"/>
        </w:rPr>
        <w:t>1904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支出总计</w:t>
      </w:r>
      <w:r>
        <w:rPr>
          <w:rFonts w:hint="eastAsia" w:ascii="仿宋_GB2312" w:hAnsi="仿宋_GB2312" w:eastAsia="仿宋_GB2312" w:cs="仿宋_GB2312"/>
          <w:color w:val="auto"/>
          <w:sz w:val="32"/>
          <w:szCs w:val="32"/>
          <w:lang w:val="en-US" w:eastAsia="zh-CN"/>
        </w:rPr>
        <w:t>63493</w:t>
      </w:r>
      <w:r>
        <w:rPr>
          <w:rFonts w:hint="eastAsia" w:ascii="仿宋_GB2312" w:hAnsi="仿宋_GB2312" w:eastAsia="仿宋_GB2312" w:cs="仿宋_GB2312"/>
          <w:color w:val="auto"/>
          <w:sz w:val="32"/>
          <w:szCs w:val="32"/>
        </w:rPr>
        <w:t>万元。收支相抵，</w:t>
      </w:r>
      <w:r>
        <w:rPr>
          <w:rFonts w:hint="eastAsia" w:ascii="仿宋_GB2312" w:hAnsi="仿宋_GB2312" w:eastAsia="仿宋_GB2312" w:cs="仿宋_GB2312"/>
          <w:color w:val="auto"/>
          <w:sz w:val="32"/>
          <w:szCs w:val="32"/>
          <w:lang w:eastAsia="zh-CN"/>
        </w:rPr>
        <w:t>年终</w:t>
      </w:r>
      <w:r>
        <w:rPr>
          <w:rFonts w:hint="eastAsia" w:ascii="仿宋_GB2312" w:hAnsi="仿宋_GB2312" w:eastAsia="仿宋_GB2312" w:cs="仿宋_GB2312"/>
          <w:color w:val="auto"/>
          <w:sz w:val="32"/>
          <w:szCs w:val="32"/>
        </w:rPr>
        <w:t xml:space="preserve">待偿债再融资专项债券结余 </w:t>
      </w:r>
      <w:r>
        <w:rPr>
          <w:rFonts w:hint="eastAsia" w:ascii="仿宋_GB2312" w:hAnsi="仿宋_GB2312" w:eastAsia="仿宋_GB2312" w:cs="仿宋_GB2312"/>
          <w:color w:val="auto"/>
          <w:sz w:val="32"/>
          <w:szCs w:val="32"/>
          <w:lang w:val="en-US" w:eastAsia="zh-CN"/>
        </w:rPr>
        <w:t>597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，年终结余</w:t>
      </w:r>
      <w:r>
        <w:rPr>
          <w:rFonts w:hint="eastAsia" w:ascii="仿宋_GB2312" w:hAnsi="仿宋_GB2312" w:eastAsia="仿宋_GB2312" w:cs="仿宋_GB2312"/>
          <w:color w:val="auto"/>
          <w:sz w:val="32"/>
          <w:szCs w:val="32"/>
          <w:lang w:val="en-US" w:eastAsia="zh-CN"/>
        </w:rPr>
        <w:t>2666万元</w:t>
      </w:r>
      <w:r>
        <w:rPr>
          <w:rFonts w:hint="eastAsia" w:ascii="仿宋_GB2312" w:hAnsi="仿宋_GB2312" w:eastAsia="仿宋_GB2312" w:cs="仿宋_GB2312"/>
          <w:color w:val="auto"/>
          <w:sz w:val="32"/>
          <w:szCs w:val="32"/>
        </w:rPr>
        <w:t>。</w:t>
      </w:r>
    </w:p>
    <w:p w14:paraId="019DB1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地方政府性基金预算收入</w:t>
      </w:r>
      <w:r>
        <w:rPr>
          <w:rFonts w:hint="eastAsia" w:ascii="仿宋_GB2312" w:hAnsi="仿宋_GB2312" w:eastAsia="仿宋_GB2312" w:cs="仿宋_GB2312"/>
          <w:b/>
          <w:bCs/>
          <w:color w:val="auto"/>
          <w:sz w:val="32"/>
          <w:szCs w:val="32"/>
          <w:lang w:eastAsia="zh-CN"/>
        </w:rPr>
        <w:t>方面</w:t>
      </w:r>
      <w:r>
        <w:rPr>
          <w:rFonts w:hint="eastAsia" w:ascii="仿宋_GB2312" w:hAnsi="仿宋_GB2312" w:eastAsia="仿宋_GB2312" w:cs="仿宋_GB2312"/>
          <w:color w:val="auto"/>
          <w:sz w:val="32"/>
          <w:szCs w:val="32"/>
          <w:lang w:eastAsia="zh-CN"/>
        </w:rPr>
        <w:t>，部分科目决算数与预算数存在较大差异，具体情况如下：</w:t>
      </w:r>
    </w:p>
    <w:p w14:paraId="70604A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国有土地收益基金收入106万元，年初未编制预算，较上年增长68.25%，增收</w:t>
      </w:r>
      <w:r>
        <w:rPr>
          <w:rFonts w:hint="eastAsia" w:ascii="仿宋_GB2312" w:hAnsi="仿宋_GB2312" w:eastAsia="仿宋_GB2312" w:cs="仿宋_GB2312"/>
          <w:color w:val="auto"/>
          <w:sz w:val="32"/>
          <w:szCs w:val="32"/>
          <w:lang w:val="en-US" w:eastAsia="zh-CN"/>
        </w:rPr>
        <w:t>43万元</w:t>
      </w:r>
      <w:r>
        <w:rPr>
          <w:rFonts w:hint="eastAsia" w:ascii="仿宋_GB2312" w:hAnsi="仿宋_GB2312" w:eastAsia="仿宋_GB2312" w:cs="仿宋_GB2312"/>
          <w:color w:val="auto"/>
          <w:sz w:val="32"/>
          <w:szCs w:val="32"/>
          <w:lang w:eastAsia="zh-CN"/>
        </w:rPr>
        <w:t>万元；</w:t>
      </w:r>
    </w:p>
    <w:p w14:paraId="29A52B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农业土地开发资金收入24万元，年初未编制预算，较上年增长50.00%，增收</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万元；</w:t>
      </w:r>
    </w:p>
    <w:p w14:paraId="66C654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国有土地使用权出让收入3342万元，为预算的47.74%，较上年下降9.92%，减收</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lang w:eastAsia="zh-CN"/>
        </w:rPr>
        <w:t>8万元；</w:t>
      </w:r>
    </w:p>
    <w:p w14:paraId="20CBE4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彩票公益金收入116万元，为预算的193.33%，较上年增长</w:t>
      </w:r>
      <w:r>
        <w:rPr>
          <w:rFonts w:hint="eastAsia" w:ascii="仿宋_GB2312" w:hAnsi="仿宋_GB2312" w:eastAsia="仿宋_GB2312" w:cs="仿宋_GB2312"/>
          <w:color w:val="auto"/>
          <w:sz w:val="32"/>
          <w:szCs w:val="32"/>
          <w:lang w:val="en-US" w:eastAsia="zh-CN"/>
        </w:rPr>
        <w:t>0.87</w:t>
      </w:r>
      <w:r>
        <w:rPr>
          <w:rFonts w:hint="eastAsia" w:ascii="仿宋_GB2312" w:hAnsi="仿宋_GB2312" w:eastAsia="仿宋_GB2312" w:cs="仿宋_GB2312"/>
          <w:color w:val="auto"/>
          <w:sz w:val="32"/>
          <w:szCs w:val="32"/>
          <w:lang w:eastAsia="zh-CN"/>
        </w:rPr>
        <w:t>%，增收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万元；</w:t>
      </w:r>
    </w:p>
    <w:p w14:paraId="120D6B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城市基础设施配套费收入583万元，为预算的388.67%，较上年增长9.59%，增收</w:t>
      </w:r>
      <w:r>
        <w:rPr>
          <w:rFonts w:hint="eastAsia" w:ascii="仿宋_GB2312" w:hAnsi="仿宋_GB2312" w:eastAsia="仿宋_GB2312" w:cs="仿宋_GB2312"/>
          <w:color w:val="auto"/>
          <w:sz w:val="32"/>
          <w:szCs w:val="32"/>
          <w:lang w:val="en-US" w:eastAsia="zh-CN"/>
        </w:rPr>
        <w:t>51</w:t>
      </w:r>
      <w:r>
        <w:rPr>
          <w:rFonts w:hint="eastAsia" w:ascii="仿宋_GB2312" w:hAnsi="仿宋_GB2312" w:eastAsia="仿宋_GB2312" w:cs="仿宋_GB2312"/>
          <w:color w:val="auto"/>
          <w:sz w:val="32"/>
          <w:szCs w:val="32"/>
          <w:lang w:eastAsia="zh-CN"/>
        </w:rPr>
        <w:t>万元；</w:t>
      </w:r>
    </w:p>
    <w:p w14:paraId="20F691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污水处理费收入365万元，为预算的182.50%，较上年增长</w:t>
      </w:r>
      <w:r>
        <w:rPr>
          <w:rFonts w:hint="eastAsia" w:ascii="仿宋_GB2312" w:hAnsi="仿宋_GB2312" w:eastAsia="仿宋_GB2312" w:cs="仿宋_GB2312"/>
          <w:color w:val="auto"/>
          <w:sz w:val="32"/>
          <w:szCs w:val="32"/>
          <w:lang w:val="en-US" w:eastAsia="zh-CN"/>
        </w:rPr>
        <w:t>43.14</w:t>
      </w:r>
      <w:r>
        <w:rPr>
          <w:rFonts w:hint="eastAsia" w:ascii="仿宋_GB2312" w:hAnsi="仿宋_GB2312" w:eastAsia="仿宋_GB2312" w:cs="仿宋_GB2312"/>
          <w:color w:val="auto"/>
          <w:sz w:val="32"/>
          <w:szCs w:val="32"/>
          <w:lang w:eastAsia="zh-CN"/>
        </w:rPr>
        <w:t>%，增收</w:t>
      </w:r>
      <w:r>
        <w:rPr>
          <w:rFonts w:hint="eastAsia" w:ascii="仿宋_GB2312" w:hAnsi="仿宋_GB2312" w:eastAsia="仿宋_GB2312" w:cs="仿宋_GB2312"/>
          <w:color w:val="auto"/>
          <w:sz w:val="32"/>
          <w:szCs w:val="32"/>
          <w:lang w:val="en-US" w:eastAsia="zh-CN"/>
        </w:rPr>
        <w:t>110</w:t>
      </w:r>
      <w:r>
        <w:rPr>
          <w:rFonts w:hint="eastAsia" w:ascii="仿宋_GB2312" w:hAnsi="仿宋_GB2312" w:eastAsia="仿宋_GB2312" w:cs="仿宋_GB2312"/>
          <w:color w:val="auto"/>
          <w:sz w:val="32"/>
          <w:szCs w:val="32"/>
          <w:lang w:eastAsia="zh-CN"/>
        </w:rPr>
        <w:t>万元；</w:t>
      </w:r>
    </w:p>
    <w:p w14:paraId="56ECA2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彩票发行机构和彩票销售机构的业务费用</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万元，为预算的150.00%，较上年增长</w:t>
      </w:r>
      <w:r>
        <w:rPr>
          <w:rFonts w:hint="eastAsia" w:ascii="仿宋_GB2312" w:hAnsi="仿宋_GB2312" w:eastAsia="仿宋_GB2312" w:cs="仿宋_GB2312"/>
          <w:color w:val="auto"/>
          <w:sz w:val="32"/>
          <w:szCs w:val="32"/>
          <w:lang w:val="en-US" w:eastAsia="zh-CN"/>
        </w:rPr>
        <w:t>50.00%</w:t>
      </w:r>
      <w:r>
        <w:rPr>
          <w:rFonts w:hint="eastAsia" w:ascii="仿宋_GB2312" w:hAnsi="仿宋_GB2312" w:eastAsia="仿宋_GB2312" w:cs="仿宋_GB2312"/>
          <w:color w:val="auto"/>
          <w:sz w:val="32"/>
          <w:szCs w:val="32"/>
          <w:lang w:eastAsia="zh-CN"/>
        </w:rPr>
        <w:t>，增收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万元。</w:t>
      </w:r>
    </w:p>
    <w:p w14:paraId="7206B1BA">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399405" cy="2627630"/>
            <wp:effectExtent l="0" t="0" r="10795" b="127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70C65A7">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lang w:val="en-US" w:eastAsia="zh-CN"/>
        </w:rPr>
      </w:pPr>
      <w:r>
        <w:rPr>
          <w:rFonts w:hint="eastAsia"/>
          <w:lang w:val="en-US" w:eastAsia="zh-CN"/>
        </w:rPr>
        <w:t>图3：2025年度白沙县地方政府性基金收入结构图</w:t>
      </w:r>
    </w:p>
    <w:p w14:paraId="17681A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从结构上来看，我县地方政府性基金收入中，国有土地使用权出让收入占地方政府性基金收入比重达73.63%，为我县地方政府性基金收入的主要来源，相较2024年度所占比重79.05%，有所缩减，但波动较大。</w:t>
      </w:r>
    </w:p>
    <w:p w14:paraId="3981AAD6">
      <w:pPr>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429250" cy="2330450"/>
            <wp:effectExtent l="4445" t="4445" r="14605" b="825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BA90F73">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eastAsiaTheme="minorEastAsia"/>
          <w:lang w:val="en-US" w:eastAsia="zh-CN"/>
        </w:rPr>
      </w:pPr>
      <w:r>
        <w:rPr>
          <w:rFonts w:hint="eastAsia"/>
          <w:lang w:val="en-US" w:eastAsia="zh-CN"/>
        </w:rPr>
        <w:t>图4：白沙县历年国有土地使用权出让收入情况图</w:t>
      </w:r>
    </w:p>
    <w:p w14:paraId="02E7C2A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FF0000"/>
          <w:sz w:val="32"/>
          <w:szCs w:val="32"/>
          <w:highlight w:val="green"/>
          <w:lang w:eastAsia="zh-CN"/>
        </w:rPr>
      </w:pPr>
      <w:r>
        <w:rPr>
          <w:rFonts w:hint="eastAsia" w:ascii="仿宋_GB2312" w:hAnsi="仿宋_GB2312" w:eastAsia="仿宋_GB2312" w:cs="仿宋_GB2312"/>
          <w:b/>
          <w:bCs/>
          <w:color w:val="auto"/>
          <w:sz w:val="32"/>
          <w:szCs w:val="32"/>
          <w:lang w:val="en-US" w:eastAsia="zh-CN"/>
        </w:rPr>
        <w:t>债务（转贷）收入方面</w:t>
      </w:r>
      <w:r>
        <w:rPr>
          <w:rFonts w:hint="eastAsia" w:ascii="仿宋_GB2312" w:hAnsi="仿宋_GB2312" w:eastAsia="仿宋_GB2312" w:cs="仿宋_GB2312"/>
          <w:color w:val="auto"/>
          <w:sz w:val="32"/>
          <w:szCs w:val="32"/>
          <w:lang w:val="en-US" w:eastAsia="zh-CN"/>
        </w:rPr>
        <w:t>，本年度地方政府专项债务（转贷）收入37000万元，其中，新增再融资专项债5500万元；新增专项债31500万元。</w:t>
      </w:r>
    </w:p>
    <w:p w14:paraId="362BBC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地方政府性基金预算</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b/>
          <w:bCs/>
          <w:sz w:val="32"/>
          <w:szCs w:val="32"/>
        </w:rPr>
        <w:t>方面</w:t>
      </w:r>
      <w:r>
        <w:rPr>
          <w:rFonts w:hint="eastAsia" w:ascii="仿宋_GB2312" w:hAnsi="仿宋_GB2312" w:eastAsia="仿宋_GB2312" w:cs="仿宋_GB2312"/>
          <w:sz w:val="32"/>
          <w:szCs w:val="32"/>
          <w:lang w:eastAsia="zh-CN"/>
        </w:rPr>
        <w:t>，部分科目决算与人大批复的预算受上级转移支付增加、年中追加资金等影响存在较大差异；部分科目较上年度有较大变动，具体情况如下：</w:t>
      </w:r>
    </w:p>
    <w:p w14:paraId="4C7DC1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文化旅游体育与传媒支出</w:t>
      </w:r>
      <w:r>
        <w:rPr>
          <w:rFonts w:hint="eastAsia" w:ascii="仿宋_GB2312" w:hAnsi="仿宋_GB2312" w:eastAsia="仿宋_GB2312" w:cs="仿宋_GB2312"/>
          <w:color w:val="auto"/>
          <w:sz w:val="32"/>
          <w:szCs w:val="32"/>
          <w:lang w:val="en-US" w:eastAsia="zh-CN"/>
        </w:rPr>
        <w:t>12万元，为预算的150%，同比增长200.00%，增支8万元。</w:t>
      </w:r>
    </w:p>
    <w:p w14:paraId="331C19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城乡社区支出5987万元，</w:t>
      </w:r>
      <w:r>
        <w:rPr>
          <w:rFonts w:hint="eastAsia" w:ascii="仿宋_GB2312" w:hAnsi="仿宋_GB2312" w:eastAsia="仿宋_GB2312" w:cs="仿宋_GB2312"/>
          <w:color w:val="auto"/>
          <w:sz w:val="32"/>
          <w:szCs w:val="32"/>
          <w:lang w:eastAsia="zh-CN"/>
        </w:rPr>
        <w:t>为预算的100.23%，同比增长</w:t>
      </w:r>
      <w:r>
        <w:rPr>
          <w:rFonts w:hint="eastAsia" w:ascii="仿宋_GB2312" w:hAnsi="仿宋_GB2312" w:eastAsia="仿宋_GB2312" w:cs="仿宋_GB2312"/>
          <w:color w:val="auto"/>
          <w:sz w:val="32"/>
          <w:szCs w:val="32"/>
        </w:rPr>
        <w:t>80.22%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增</w:t>
      </w:r>
      <w:r>
        <w:rPr>
          <w:rFonts w:hint="eastAsia" w:ascii="仿宋_GB2312" w:hAnsi="仿宋_GB2312" w:eastAsia="仿宋_GB2312" w:cs="仿宋_GB2312"/>
          <w:color w:val="auto"/>
          <w:sz w:val="32"/>
          <w:szCs w:val="32"/>
          <w:lang w:eastAsia="zh-CN"/>
        </w:rPr>
        <w:t>支</w:t>
      </w:r>
      <w:r>
        <w:rPr>
          <w:rFonts w:hint="eastAsia" w:ascii="仿宋_GB2312" w:hAnsi="仿宋_GB2312" w:eastAsia="仿宋_GB2312" w:cs="仿宋_GB2312"/>
          <w:color w:val="auto"/>
          <w:sz w:val="32"/>
          <w:szCs w:val="32"/>
        </w:rPr>
        <w:t>2665万元，系（琼财农〔2024〕1566号）文件水利发展资金在本年度落实。</w:t>
      </w:r>
    </w:p>
    <w:p w14:paraId="5FA904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农林水支出960万元，</w:t>
      </w:r>
      <w:r>
        <w:rPr>
          <w:rFonts w:hint="eastAsia" w:ascii="仿宋_GB2312" w:hAnsi="仿宋_GB2312" w:eastAsia="仿宋_GB2312" w:cs="仿宋_GB2312"/>
          <w:color w:val="auto"/>
          <w:sz w:val="32"/>
          <w:szCs w:val="32"/>
          <w:lang w:eastAsia="zh-CN"/>
        </w:rPr>
        <w:t>为预算的93.66%，</w:t>
      </w:r>
      <w:r>
        <w:rPr>
          <w:rFonts w:hint="eastAsia" w:ascii="仿宋_GB2312" w:hAnsi="仿宋_GB2312" w:eastAsia="仿宋_GB2312" w:cs="仿宋_GB2312"/>
          <w:color w:val="auto"/>
          <w:sz w:val="32"/>
          <w:szCs w:val="32"/>
        </w:rPr>
        <w:t>降幅31.43%，</w:t>
      </w:r>
      <w:r>
        <w:rPr>
          <w:rFonts w:hint="eastAsia" w:ascii="仿宋_GB2312" w:hAnsi="仿宋_GB2312" w:eastAsia="仿宋_GB2312" w:cs="仿宋_GB2312"/>
          <w:color w:val="auto"/>
          <w:sz w:val="32"/>
          <w:szCs w:val="32"/>
          <w:lang w:eastAsia="zh-CN"/>
        </w:rPr>
        <w:t>减支</w:t>
      </w:r>
      <w:r>
        <w:rPr>
          <w:rFonts w:hint="eastAsia" w:ascii="仿宋_GB2312" w:hAnsi="仿宋_GB2312" w:eastAsia="仿宋_GB2312" w:cs="仿宋_GB2312"/>
          <w:color w:val="auto"/>
          <w:sz w:val="32"/>
          <w:szCs w:val="32"/>
        </w:rPr>
        <w:t>440万元，主要原因为2024年支付白沙县细水乡福马二村美丽家园项目款（琼财农〔2022〕1163号），本年无此项支出。</w:t>
      </w:r>
    </w:p>
    <w:p w14:paraId="05BDC9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资源勘探工业信息等支出</w:t>
      </w:r>
      <w:r>
        <w:rPr>
          <w:rFonts w:hint="eastAsia" w:ascii="仿宋_GB2312" w:hAnsi="仿宋_GB2312" w:eastAsia="仿宋_GB2312" w:cs="仿宋_GB2312"/>
          <w:color w:val="auto"/>
          <w:sz w:val="32"/>
          <w:szCs w:val="32"/>
          <w:lang w:val="en-US" w:eastAsia="zh-CN"/>
        </w:rPr>
        <w:t>60万元，年初未编制预算，</w:t>
      </w:r>
      <w:r>
        <w:rPr>
          <w:rFonts w:hint="eastAsia" w:ascii="仿宋_GB2312" w:hAnsi="仿宋_GB2312" w:eastAsia="仿宋_GB2312" w:cs="仿宋_GB2312"/>
          <w:sz w:val="32"/>
          <w:szCs w:val="32"/>
          <w:lang w:eastAsia="zh-CN"/>
        </w:rPr>
        <w:t>受上级转移支付增加影响</w:t>
      </w:r>
      <w:r>
        <w:rPr>
          <w:rFonts w:hint="eastAsia" w:ascii="仿宋_GB2312" w:hAnsi="仿宋_GB2312" w:eastAsia="仿宋_GB2312" w:cs="仿宋_GB2312"/>
          <w:color w:val="auto"/>
          <w:sz w:val="32"/>
          <w:szCs w:val="32"/>
          <w:lang w:val="en-US" w:eastAsia="zh-CN"/>
        </w:rPr>
        <w:t>。</w:t>
      </w:r>
    </w:p>
    <w:p w14:paraId="7BF65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自然资源海洋气象等支出</w:t>
      </w:r>
      <w:r>
        <w:rPr>
          <w:rFonts w:hint="eastAsia" w:ascii="仿宋_GB2312" w:hAnsi="仿宋_GB2312" w:eastAsia="仿宋_GB2312" w:cs="仿宋_GB2312"/>
          <w:color w:val="auto"/>
          <w:sz w:val="32"/>
          <w:szCs w:val="32"/>
          <w:lang w:val="en-US" w:eastAsia="zh-CN"/>
        </w:rPr>
        <w:t>0万元，年初预算309万元，为根据琼财资环〔2024〕1338号提前下达的指标文编列预算，后续在执行中根据更正的文件调整支出科目，本年度执行数为0。</w:t>
      </w:r>
    </w:p>
    <w:p w14:paraId="2E1C8F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其他支出46112万元，</w:t>
      </w:r>
      <w:r>
        <w:rPr>
          <w:rFonts w:hint="eastAsia" w:ascii="仿宋_GB2312" w:hAnsi="仿宋_GB2312" w:eastAsia="仿宋_GB2312" w:cs="仿宋_GB2312"/>
          <w:color w:val="auto"/>
          <w:sz w:val="32"/>
          <w:szCs w:val="32"/>
          <w:lang w:eastAsia="zh-CN"/>
        </w:rPr>
        <w:t>为预算的128.40%，同比增长</w:t>
      </w:r>
      <w:r>
        <w:rPr>
          <w:rFonts w:hint="eastAsia" w:ascii="仿宋_GB2312" w:hAnsi="仿宋_GB2312" w:eastAsia="仿宋_GB2312" w:cs="仿宋_GB2312"/>
          <w:color w:val="auto"/>
          <w:sz w:val="32"/>
          <w:szCs w:val="32"/>
        </w:rPr>
        <w:t>31.77%</w:t>
      </w:r>
      <w:r>
        <w:rPr>
          <w:rFonts w:hint="eastAsia" w:ascii="仿宋_GB2312" w:hAnsi="仿宋_GB2312" w:eastAsia="仿宋_GB2312" w:cs="仿宋_GB2312"/>
          <w:color w:val="auto"/>
          <w:sz w:val="32"/>
          <w:szCs w:val="32"/>
          <w:lang w:eastAsia="zh-CN"/>
        </w:rPr>
        <w:t>，增支</w:t>
      </w:r>
      <w:r>
        <w:rPr>
          <w:rFonts w:hint="eastAsia" w:ascii="仿宋_GB2312" w:hAnsi="仿宋_GB2312" w:eastAsia="仿宋_GB2312" w:cs="仿宋_GB2312"/>
          <w:color w:val="auto"/>
          <w:sz w:val="32"/>
          <w:szCs w:val="32"/>
        </w:rPr>
        <w:t>11118万元，系本年度清偿拖欠企业账款</w:t>
      </w:r>
      <w:r>
        <w:rPr>
          <w:rFonts w:hint="eastAsia" w:ascii="仿宋_GB2312" w:hAnsi="仿宋_GB2312" w:eastAsia="仿宋_GB2312" w:cs="仿宋_GB2312"/>
          <w:color w:val="auto"/>
          <w:sz w:val="32"/>
          <w:szCs w:val="32"/>
          <w:lang w:eastAsia="zh-CN"/>
        </w:rPr>
        <w:t>，为年中新增项目，年初未编制预算，</w:t>
      </w:r>
      <w:r>
        <w:rPr>
          <w:rFonts w:hint="eastAsia" w:ascii="仿宋_GB2312" w:hAnsi="仿宋_GB2312" w:eastAsia="仿宋_GB2312" w:cs="仿宋_GB2312"/>
          <w:color w:val="auto"/>
          <w:sz w:val="32"/>
          <w:szCs w:val="32"/>
          <w:lang w:val="en-US" w:eastAsia="zh-CN"/>
        </w:rPr>
        <w:t>2024年无此项支出</w:t>
      </w:r>
      <w:r>
        <w:rPr>
          <w:rFonts w:hint="eastAsia" w:ascii="仿宋_GB2312" w:hAnsi="仿宋_GB2312" w:eastAsia="仿宋_GB2312" w:cs="仿宋_GB2312"/>
          <w:color w:val="auto"/>
          <w:sz w:val="32"/>
          <w:szCs w:val="32"/>
        </w:rPr>
        <w:t>。</w:t>
      </w:r>
    </w:p>
    <w:p w14:paraId="6A96E8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债务付息支出3023万元，</w:t>
      </w:r>
      <w:r>
        <w:rPr>
          <w:rFonts w:hint="eastAsia" w:ascii="仿宋_GB2312" w:hAnsi="仿宋_GB2312" w:eastAsia="仿宋_GB2312" w:cs="仿宋_GB2312"/>
          <w:color w:val="auto"/>
          <w:sz w:val="32"/>
          <w:szCs w:val="32"/>
          <w:lang w:eastAsia="zh-CN"/>
        </w:rPr>
        <w:t>为预算的78.79%</w:t>
      </w:r>
      <w:r>
        <w:rPr>
          <w:rFonts w:hint="eastAsia" w:ascii="仿宋_GB2312" w:hAnsi="仿宋_GB2312" w:eastAsia="仿宋_GB2312" w:cs="仿宋_GB2312"/>
          <w:color w:val="auto"/>
          <w:sz w:val="32"/>
          <w:szCs w:val="32"/>
          <w:lang w:val="en-US" w:eastAsia="zh-CN"/>
        </w:rPr>
        <w:t>，同比增长</w:t>
      </w:r>
      <w:r>
        <w:rPr>
          <w:rFonts w:hint="eastAsia" w:ascii="仿宋_GB2312" w:hAnsi="仿宋_GB2312" w:eastAsia="仿宋_GB2312" w:cs="仿宋_GB2312"/>
          <w:color w:val="auto"/>
          <w:sz w:val="32"/>
          <w:szCs w:val="32"/>
        </w:rPr>
        <w:t>128.50%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增支</w:t>
      </w:r>
      <w:r>
        <w:rPr>
          <w:rFonts w:hint="eastAsia" w:ascii="仿宋_GB2312" w:hAnsi="仿宋_GB2312" w:eastAsia="仿宋_GB2312" w:cs="仿宋_GB2312"/>
          <w:color w:val="auto"/>
          <w:sz w:val="32"/>
          <w:szCs w:val="32"/>
        </w:rPr>
        <w:t>1700万元，</w:t>
      </w:r>
      <w:r>
        <w:rPr>
          <w:rFonts w:hint="eastAsia" w:ascii="仿宋_GB2312" w:hAnsi="仿宋_GB2312" w:eastAsia="仿宋_GB2312" w:cs="仿宋_GB2312"/>
          <w:color w:val="auto"/>
          <w:sz w:val="32"/>
          <w:szCs w:val="32"/>
          <w:lang w:eastAsia="zh-CN"/>
        </w:rPr>
        <w:t>主要原因为</w:t>
      </w:r>
      <w:r>
        <w:rPr>
          <w:rFonts w:hint="eastAsia" w:ascii="仿宋_GB2312" w:hAnsi="仿宋_GB2312" w:eastAsia="仿宋_GB2312" w:cs="仿宋_GB2312"/>
          <w:color w:val="auto"/>
          <w:sz w:val="32"/>
          <w:szCs w:val="32"/>
        </w:rPr>
        <w:t>2024、2025年新增</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其他地方自行试点项目收益专项债券及其他政府性基金债务。其中，其他地方自行试点项目收益专项债券付息支出增长1093万元，其他政府性基金债务付息支出增长607万元。</w:t>
      </w:r>
    </w:p>
    <w:p w14:paraId="0BFBA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债务发行费用支出32万元，</w:t>
      </w:r>
      <w:r>
        <w:rPr>
          <w:rFonts w:hint="eastAsia" w:ascii="仿宋_GB2312" w:hAnsi="仿宋_GB2312" w:eastAsia="仿宋_GB2312" w:cs="仿宋_GB2312"/>
          <w:color w:val="auto"/>
          <w:sz w:val="32"/>
          <w:szCs w:val="32"/>
          <w:lang w:eastAsia="zh-CN"/>
        </w:rPr>
        <w:t>为预算的40.00%，</w:t>
      </w:r>
      <w:r>
        <w:rPr>
          <w:rFonts w:hint="eastAsia" w:ascii="仿宋_GB2312" w:hAnsi="仿宋_GB2312" w:eastAsia="仿宋_GB2312" w:cs="仿宋_GB2312"/>
          <w:color w:val="auto"/>
          <w:sz w:val="32"/>
          <w:szCs w:val="32"/>
        </w:rPr>
        <w:t>较上年减少39万元，主要是2025年发行专项债券项目数减少。</w:t>
      </w:r>
    </w:p>
    <w:p w14:paraId="088945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调出资金方面</w:t>
      </w:r>
      <w:r>
        <w:rPr>
          <w:rFonts w:hint="eastAsia" w:ascii="仿宋_GB2312" w:hAnsi="仿宋_GB2312" w:eastAsia="仿宋_GB2312" w:cs="仿宋_GB2312"/>
          <w:color w:val="auto"/>
          <w:sz w:val="32"/>
          <w:szCs w:val="32"/>
          <w:highlight w:val="none"/>
          <w:lang w:val="en-US" w:eastAsia="zh-CN"/>
        </w:rPr>
        <w:t>，本年度</w:t>
      </w:r>
      <w:r>
        <w:rPr>
          <w:rFonts w:hint="eastAsia" w:ascii="仿宋_GB2312" w:hAnsi="仿宋_GB2312" w:eastAsia="仿宋_GB2312" w:cs="仿宋_GB2312"/>
          <w:color w:val="auto"/>
          <w:sz w:val="32"/>
          <w:szCs w:val="32"/>
          <w:highlight w:val="none"/>
        </w:rPr>
        <w:t>政府性基金调出</w:t>
      </w:r>
      <w:r>
        <w:rPr>
          <w:rFonts w:hint="eastAsia" w:ascii="仿宋_GB2312" w:hAnsi="仿宋_GB2312" w:eastAsia="仿宋_GB2312" w:cs="仿宋_GB2312"/>
          <w:color w:val="auto"/>
          <w:sz w:val="32"/>
          <w:szCs w:val="32"/>
          <w:highlight w:val="none"/>
          <w:lang w:eastAsia="zh-CN"/>
        </w:rPr>
        <w:t>资金至一般公共预算</w:t>
      </w:r>
      <w:r>
        <w:rPr>
          <w:rFonts w:hint="eastAsia" w:ascii="仿宋_GB2312" w:hAnsi="仿宋_GB2312" w:eastAsia="仿宋_GB2312" w:cs="仿宋_GB2312"/>
          <w:color w:val="auto"/>
          <w:sz w:val="32"/>
          <w:szCs w:val="32"/>
          <w:highlight w:val="none"/>
          <w:lang w:val="en-US" w:eastAsia="zh-CN"/>
        </w:rPr>
        <w:t>1904</w:t>
      </w:r>
      <w:r>
        <w:rPr>
          <w:rFonts w:hint="eastAsia" w:ascii="仿宋_GB2312" w:hAnsi="仿宋_GB2312" w:eastAsia="仿宋_GB2312" w:cs="仿宋_GB2312"/>
          <w:color w:val="auto"/>
          <w:sz w:val="32"/>
          <w:szCs w:val="32"/>
          <w:highlight w:val="none"/>
        </w:rPr>
        <w:t>万元，其中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国有土地使用权出让资金</w:t>
      </w:r>
      <w:r>
        <w:rPr>
          <w:rFonts w:hint="eastAsia" w:ascii="仿宋_GB2312" w:hAnsi="仿宋_GB2312" w:eastAsia="仿宋_GB2312" w:cs="仿宋_GB2312"/>
          <w:color w:val="auto"/>
          <w:sz w:val="32"/>
          <w:szCs w:val="32"/>
          <w:highlight w:val="none"/>
          <w:lang w:val="en-US" w:eastAsia="zh-CN"/>
        </w:rPr>
        <w:t>818</w:t>
      </w:r>
      <w:r>
        <w:rPr>
          <w:rFonts w:hint="eastAsia" w:ascii="仿宋_GB2312" w:hAnsi="仿宋_GB2312" w:eastAsia="仿宋_GB2312" w:cs="仿宋_GB2312"/>
          <w:color w:val="auto"/>
          <w:sz w:val="32"/>
          <w:szCs w:val="32"/>
          <w:highlight w:val="none"/>
        </w:rPr>
        <w:t>万元，国有土地收益基金资金</w:t>
      </w:r>
      <w:r>
        <w:rPr>
          <w:rFonts w:hint="eastAsia" w:ascii="仿宋_GB2312" w:hAnsi="仿宋_GB2312" w:eastAsia="仿宋_GB2312" w:cs="仿宋_GB2312"/>
          <w:color w:val="auto"/>
          <w:sz w:val="32"/>
          <w:szCs w:val="32"/>
          <w:highlight w:val="none"/>
          <w:lang w:val="en-US" w:eastAsia="zh-CN"/>
        </w:rPr>
        <w:t>75</w:t>
      </w:r>
      <w:r>
        <w:rPr>
          <w:rFonts w:hint="eastAsia" w:ascii="仿宋_GB2312" w:hAnsi="仿宋_GB2312" w:eastAsia="仿宋_GB2312" w:cs="仿宋_GB2312"/>
          <w:color w:val="auto"/>
          <w:sz w:val="32"/>
          <w:szCs w:val="32"/>
          <w:highlight w:val="none"/>
        </w:rPr>
        <w:t>万元，农业土地开发资金</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万元，城市基础设施配套费</w:t>
      </w:r>
      <w:r>
        <w:rPr>
          <w:rFonts w:hint="eastAsia" w:ascii="仿宋_GB2312" w:hAnsi="仿宋_GB2312" w:eastAsia="仿宋_GB2312" w:cs="仿宋_GB2312"/>
          <w:color w:val="auto"/>
          <w:sz w:val="32"/>
          <w:szCs w:val="32"/>
          <w:highlight w:val="none"/>
          <w:lang w:val="en-US" w:eastAsia="zh-CN"/>
        </w:rPr>
        <w:t>379</w:t>
      </w:r>
      <w:r>
        <w:rPr>
          <w:rFonts w:hint="eastAsia" w:ascii="仿宋_GB2312" w:hAnsi="仿宋_GB2312" w:eastAsia="仿宋_GB2312" w:cs="仿宋_GB2312"/>
          <w:color w:val="auto"/>
          <w:sz w:val="32"/>
          <w:szCs w:val="32"/>
          <w:highlight w:val="none"/>
        </w:rPr>
        <w:t>万元，污水处理费</w:t>
      </w:r>
      <w:r>
        <w:rPr>
          <w:rFonts w:hint="eastAsia" w:ascii="仿宋_GB2312" w:hAnsi="仿宋_GB2312" w:eastAsia="仿宋_GB2312" w:cs="仿宋_GB2312"/>
          <w:color w:val="auto"/>
          <w:sz w:val="32"/>
          <w:szCs w:val="32"/>
          <w:highlight w:val="none"/>
          <w:lang w:val="en-US" w:eastAsia="zh-CN"/>
        </w:rPr>
        <w:t>60</w:t>
      </w:r>
      <w:r>
        <w:rPr>
          <w:rFonts w:hint="eastAsia" w:ascii="仿宋_GB2312" w:hAnsi="仿宋_GB2312" w:eastAsia="仿宋_GB2312" w:cs="仿宋_GB2312"/>
          <w:color w:val="auto"/>
          <w:sz w:val="32"/>
          <w:szCs w:val="32"/>
          <w:highlight w:val="none"/>
        </w:rPr>
        <w:t>万元，大中型水库移民后期扶持基金</w:t>
      </w:r>
      <w:r>
        <w:rPr>
          <w:rFonts w:hint="eastAsia" w:ascii="仿宋_GB2312" w:hAnsi="仿宋_GB2312" w:eastAsia="仿宋_GB2312" w:cs="仿宋_GB2312"/>
          <w:color w:val="auto"/>
          <w:sz w:val="32"/>
          <w:szCs w:val="32"/>
          <w:highlight w:val="none"/>
          <w:lang w:val="en-US" w:eastAsia="zh-CN"/>
        </w:rPr>
        <w:t>415万元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小型水库移民扶助基金</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万元，彩票发行销售机构业务费3万元，彩票公益金安排资金</w:t>
      </w:r>
      <w:r>
        <w:rPr>
          <w:rFonts w:hint="eastAsia" w:ascii="仿宋_GB2312" w:hAnsi="仿宋_GB2312" w:eastAsia="仿宋_GB2312" w:cs="仿宋_GB2312"/>
          <w:color w:val="auto"/>
          <w:sz w:val="32"/>
          <w:szCs w:val="32"/>
          <w:highlight w:val="none"/>
          <w:lang w:val="en-US" w:eastAsia="zh-CN"/>
        </w:rPr>
        <w:t>113</w:t>
      </w:r>
      <w:r>
        <w:rPr>
          <w:rFonts w:hint="eastAsia" w:ascii="仿宋_GB2312" w:hAnsi="仿宋_GB2312" w:eastAsia="仿宋_GB2312" w:cs="仿宋_GB2312"/>
          <w:color w:val="auto"/>
          <w:sz w:val="32"/>
          <w:szCs w:val="32"/>
          <w:highlight w:val="none"/>
        </w:rPr>
        <w:t>万元。</w:t>
      </w:r>
    </w:p>
    <w:p w14:paraId="10786B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本年度</w:t>
      </w:r>
      <w:r>
        <w:rPr>
          <w:rFonts w:hint="eastAsia" w:ascii="仿宋_GB2312" w:hAnsi="仿宋_GB2312" w:eastAsia="仿宋_GB2312" w:cs="仿宋_GB2312"/>
          <w:b/>
          <w:bCs/>
          <w:color w:val="auto"/>
          <w:sz w:val="32"/>
          <w:szCs w:val="32"/>
          <w:highlight w:val="none"/>
        </w:rPr>
        <w:t>政府性基金预算年终结余</w:t>
      </w:r>
      <w:r>
        <w:rPr>
          <w:rFonts w:hint="eastAsia" w:ascii="仿宋_GB2312" w:hAnsi="仿宋_GB2312" w:eastAsia="仿宋_GB2312" w:cs="仿宋_GB2312"/>
          <w:b/>
          <w:bCs/>
          <w:color w:val="auto"/>
          <w:sz w:val="32"/>
          <w:szCs w:val="32"/>
          <w:highlight w:val="none"/>
          <w:lang w:val="en-US" w:eastAsia="zh-CN"/>
        </w:rPr>
        <w:t>3263</w:t>
      </w:r>
      <w:r>
        <w:rPr>
          <w:rFonts w:hint="eastAsia" w:ascii="仿宋_GB2312" w:hAnsi="仿宋_GB2312" w:eastAsia="仿宋_GB2312" w:cs="仿宋_GB2312"/>
          <w:b/>
          <w:bCs/>
          <w:color w:val="auto"/>
          <w:sz w:val="32"/>
          <w:szCs w:val="32"/>
          <w:highlight w:val="none"/>
        </w:rPr>
        <w:t>万元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其中</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国有土地使用权出让相关结余</w:t>
      </w:r>
      <w:r>
        <w:rPr>
          <w:rFonts w:hint="eastAsia" w:ascii="仿宋_GB2312" w:hAnsi="仿宋_GB2312" w:eastAsia="仿宋_GB2312" w:cs="仿宋_GB2312"/>
          <w:color w:val="auto"/>
          <w:sz w:val="32"/>
          <w:szCs w:val="32"/>
          <w:highlight w:val="none"/>
          <w:lang w:val="en-US" w:eastAsia="zh-CN"/>
        </w:rPr>
        <w:t>1002</w:t>
      </w:r>
      <w:r>
        <w:rPr>
          <w:rFonts w:hint="eastAsia" w:ascii="仿宋_GB2312" w:hAnsi="仿宋_GB2312" w:eastAsia="仿宋_GB2312" w:cs="仿宋_GB2312"/>
          <w:color w:val="auto"/>
          <w:sz w:val="32"/>
          <w:szCs w:val="32"/>
          <w:highlight w:val="none"/>
        </w:rPr>
        <w:t>万元；国有土地收益基金相关结余</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万元；农业土地开发资金相关结余</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万元；城市基础设施配套费相关结余</w:t>
      </w:r>
      <w:r>
        <w:rPr>
          <w:rFonts w:hint="eastAsia" w:ascii="仿宋_GB2312" w:hAnsi="仿宋_GB2312" w:eastAsia="仿宋_GB2312" w:cs="仿宋_GB2312"/>
          <w:color w:val="auto"/>
          <w:sz w:val="32"/>
          <w:szCs w:val="32"/>
          <w:highlight w:val="none"/>
          <w:lang w:val="en-US" w:eastAsia="zh-CN"/>
        </w:rPr>
        <w:t>174</w:t>
      </w:r>
      <w:r>
        <w:rPr>
          <w:rFonts w:hint="eastAsia" w:ascii="仿宋_GB2312" w:hAnsi="仿宋_GB2312" w:eastAsia="仿宋_GB2312" w:cs="仿宋_GB2312"/>
          <w:color w:val="auto"/>
          <w:sz w:val="32"/>
          <w:szCs w:val="32"/>
          <w:highlight w:val="none"/>
        </w:rPr>
        <w:t>万元；污水处理费相关结余</w:t>
      </w:r>
      <w:r>
        <w:rPr>
          <w:rFonts w:hint="eastAsia" w:ascii="仿宋_GB2312" w:hAnsi="仿宋_GB2312" w:eastAsia="仿宋_GB2312" w:cs="仿宋_GB2312"/>
          <w:color w:val="auto"/>
          <w:sz w:val="32"/>
          <w:szCs w:val="32"/>
          <w:highlight w:val="none"/>
          <w:lang w:val="en-US" w:eastAsia="zh-CN"/>
        </w:rPr>
        <w:t>109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，大中型水库移民后期扶持基金结余</w:t>
      </w:r>
      <w:r>
        <w:rPr>
          <w:rFonts w:hint="eastAsia" w:ascii="仿宋_GB2312" w:hAnsi="仿宋_GB2312" w:eastAsia="仿宋_GB2312" w:cs="仿宋_GB2312"/>
          <w:color w:val="auto"/>
          <w:sz w:val="32"/>
          <w:szCs w:val="32"/>
          <w:highlight w:val="none"/>
          <w:lang w:val="en-US" w:eastAsia="zh-CN"/>
        </w:rPr>
        <w:t>7万元，彩票公益金结余34万元，其他政府性基金相关结余1899万元（待偿债再融资专项债券结余597万元）。</w:t>
      </w:r>
    </w:p>
    <w:p w14:paraId="630A2C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（三）国有资本经营预算收支决算情况</w:t>
      </w:r>
    </w:p>
    <w:p w14:paraId="75700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县本级</w:t>
      </w:r>
      <w:r>
        <w:rPr>
          <w:rFonts w:hint="eastAsia" w:ascii="仿宋_GB2312" w:hAnsi="仿宋_GB2312" w:eastAsia="仿宋_GB2312" w:cs="仿宋_GB2312"/>
          <w:sz w:val="32"/>
          <w:szCs w:val="32"/>
        </w:rPr>
        <w:t>国有资本经营预算收入50万元，主要为国有资本经营预算转移支付收入</w:t>
      </w:r>
      <w:r>
        <w:rPr>
          <w:rFonts w:hint="eastAsia" w:ascii="仿宋_GB2312" w:hAnsi="仿宋_GB2312" w:eastAsia="仿宋_GB2312" w:cs="仿宋_GB2312"/>
          <w:sz w:val="32"/>
          <w:szCs w:val="32"/>
          <w:lang w:eastAsia="zh-CN"/>
        </w:rPr>
        <w:t>，上年结余收入</w:t>
      </w:r>
      <w:r>
        <w:rPr>
          <w:rFonts w:hint="eastAsia" w:ascii="仿宋_GB2312" w:hAnsi="仿宋_GB2312" w:eastAsia="仿宋_GB2312" w:cs="仿宋_GB2312"/>
          <w:sz w:val="32"/>
          <w:szCs w:val="32"/>
          <w:lang w:val="en-US" w:eastAsia="zh-CN"/>
        </w:rPr>
        <w:t>10万元。</w:t>
      </w:r>
      <w:r>
        <w:rPr>
          <w:rFonts w:hint="eastAsia" w:ascii="仿宋_GB2312" w:hAnsi="仿宋_GB2312" w:eastAsia="仿宋_GB2312" w:cs="仿宋_GB2312"/>
          <w:sz w:val="32"/>
          <w:szCs w:val="32"/>
          <w:lang w:eastAsia="zh-CN"/>
        </w:rPr>
        <w:t>县本级</w:t>
      </w:r>
      <w:r>
        <w:rPr>
          <w:rFonts w:hint="eastAsia" w:ascii="仿宋_GB2312" w:hAnsi="仿宋_GB2312" w:eastAsia="仿宋_GB2312" w:cs="仿宋_GB2312"/>
          <w:sz w:val="32"/>
          <w:szCs w:val="32"/>
        </w:rPr>
        <w:t>国有资本经营预算支出50万元，主要为解决历史遗留问题及改革成本支出</w:t>
      </w:r>
      <w:r>
        <w:rPr>
          <w:rFonts w:hint="eastAsia" w:ascii="仿宋_GB2312" w:hAnsi="仿宋_GB2312" w:eastAsia="仿宋_GB2312" w:cs="仿宋_GB2312"/>
          <w:sz w:val="32"/>
          <w:szCs w:val="32"/>
          <w:lang w:eastAsia="zh-CN"/>
        </w:rPr>
        <w:t>，调出资金至一般公共预算</w:t>
      </w:r>
      <w:r>
        <w:rPr>
          <w:rFonts w:hint="eastAsia" w:ascii="仿宋_GB2312" w:hAnsi="仿宋_GB2312" w:eastAsia="仿宋_GB2312" w:cs="仿宋_GB2312"/>
          <w:sz w:val="32"/>
          <w:szCs w:val="32"/>
          <w:lang w:val="en-US" w:eastAsia="zh-CN"/>
        </w:rPr>
        <w:t>10万元。收支相抵，年终结余0万元。</w:t>
      </w:r>
    </w:p>
    <w:p w14:paraId="494A12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（四）社会保险基金预算收支决算情况</w:t>
      </w:r>
    </w:p>
    <w:p w14:paraId="5D678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县本级</w:t>
      </w:r>
      <w:r>
        <w:rPr>
          <w:rFonts w:hint="eastAsia" w:ascii="仿宋_GB2312" w:hAnsi="仿宋_GB2312" w:eastAsia="仿宋_GB2312" w:cs="仿宋_GB2312"/>
          <w:color w:val="auto"/>
          <w:sz w:val="32"/>
          <w:szCs w:val="32"/>
        </w:rPr>
        <w:t>社会保险基金（</w:t>
      </w:r>
      <w:r>
        <w:rPr>
          <w:rFonts w:hint="eastAsia" w:ascii="仿宋_GB2312" w:hAnsi="仿宋_GB2312" w:eastAsia="仿宋_GB2312" w:cs="仿宋_GB2312"/>
          <w:color w:val="auto"/>
          <w:sz w:val="32"/>
          <w:szCs w:val="32"/>
          <w:lang w:eastAsia="zh-CN"/>
        </w:rPr>
        <w:t>仅含</w:t>
      </w:r>
      <w:r>
        <w:rPr>
          <w:rFonts w:hint="eastAsia" w:ascii="仿宋_GB2312" w:hAnsi="仿宋_GB2312" w:eastAsia="仿宋_GB2312" w:cs="仿宋_GB2312"/>
          <w:color w:val="auto"/>
          <w:sz w:val="32"/>
          <w:szCs w:val="32"/>
        </w:rPr>
        <w:t>城乡居民基本养老保险基金、机关事业单位基本养老保险基金）决算总收入为41337万元，较上年</w:t>
      </w:r>
      <w:r>
        <w:rPr>
          <w:rFonts w:hint="eastAsia" w:ascii="仿宋_GB2312" w:hAnsi="仿宋_GB2312" w:eastAsia="仿宋_GB2312" w:cs="仿宋_GB2312"/>
          <w:color w:val="auto"/>
          <w:sz w:val="32"/>
          <w:szCs w:val="32"/>
          <w:lang w:eastAsia="zh-CN"/>
        </w:rPr>
        <w:t>同比</w:t>
      </w:r>
      <w:r>
        <w:rPr>
          <w:rFonts w:hint="eastAsia" w:ascii="仿宋_GB2312" w:hAnsi="仿宋_GB2312" w:eastAsia="仿宋_GB2312" w:cs="仿宋_GB2312"/>
          <w:color w:val="auto"/>
          <w:sz w:val="32"/>
          <w:szCs w:val="32"/>
        </w:rPr>
        <w:t>增长</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0%，完成年</w:t>
      </w:r>
      <w:r>
        <w:rPr>
          <w:rFonts w:hint="eastAsia" w:ascii="仿宋_GB2312" w:hAnsi="仿宋_GB2312" w:eastAsia="仿宋_GB2312" w:cs="仿宋_GB2312"/>
          <w:color w:val="auto"/>
          <w:sz w:val="32"/>
          <w:szCs w:val="32"/>
          <w:lang w:eastAsia="zh-CN"/>
        </w:rPr>
        <w:t>初</w:t>
      </w:r>
      <w:r>
        <w:rPr>
          <w:rFonts w:hint="eastAsia" w:ascii="仿宋_GB2312" w:hAnsi="仿宋_GB2312" w:eastAsia="仿宋_GB2312" w:cs="仿宋_GB2312"/>
          <w:color w:val="auto"/>
          <w:sz w:val="32"/>
          <w:szCs w:val="32"/>
        </w:rPr>
        <w:t>预算的125.07%。决算总支出41912万元，较上年</w:t>
      </w:r>
      <w:r>
        <w:rPr>
          <w:rFonts w:hint="eastAsia" w:ascii="仿宋_GB2312" w:hAnsi="仿宋_GB2312" w:eastAsia="仿宋_GB2312" w:cs="仿宋_GB2312"/>
          <w:color w:val="auto"/>
          <w:sz w:val="32"/>
          <w:szCs w:val="32"/>
          <w:lang w:eastAsia="zh-CN"/>
        </w:rPr>
        <w:t>同比</w:t>
      </w:r>
      <w:r>
        <w:rPr>
          <w:rFonts w:hint="eastAsia" w:ascii="仿宋_GB2312" w:hAnsi="仿宋_GB2312" w:eastAsia="仿宋_GB2312" w:cs="仿宋_GB2312"/>
          <w:color w:val="auto"/>
          <w:sz w:val="32"/>
          <w:szCs w:val="32"/>
        </w:rPr>
        <w:t>增长57.22%，完成年</w:t>
      </w:r>
      <w:r>
        <w:rPr>
          <w:rFonts w:hint="eastAsia" w:ascii="仿宋_GB2312" w:hAnsi="仿宋_GB2312" w:eastAsia="仿宋_GB2312" w:cs="仿宋_GB2312"/>
          <w:color w:val="auto"/>
          <w:sz w:val="32"/>
          <w:szCs w:val="32"/>
          <w:lang w:eastAsia="zh-CN"/>
        </w:rPr>
        <w:t>初</w:t>
      </w:r>
      <w:r>
        <w:rPr>
          <w:rFonts w:hint="eastAsia" w:ascii="仿宋_GB2312" w:hAnsi="仿宋_GB2312" w:eastAsia="仿宋_GB2312" w:cs="仿宋_GB2312"/>
          <w:color w:val="auto"/>
          <w:sz w:val="32"/>
          <w:szCs w:val="32"/>
        </w:rPr>
        <w:t>预算的</w:t>
      </w:r>
      <w:r>
        <w:rPr>
          <w:rFonts w:hint="eastAsia" w:ascii="仿宋_GB2312" w:hAnsi="仿宋_GB2312" w:eastAsia="仿宋_GB2312" w:cs="仿宋_GB2312"/>
          <w:color w:val="auto"/>
          <w:sz w:val="32"/>
          <w:szCs w:val="32"/>
          <w:lang w:val="en-US" w:eastAsia="zh-CN"/>
        </w:rPr>
        <w:t>121.72</w:t>
      </w:r>
      <w:r>
        <w:rPr>
          <w:rFonts w:hint="eastAsia" w:ascii="仿宋_GB2312" w:hAnsi="仿宋_GB2312" w:eastAsia="仿宋_GB2312" w:cs="仿宋_GB2312"/>
          <w:color w:val="auto"/>
          <w:sz w:val="32"/>
          <w:szCs w:val="32"/>
        </w:rPr>
        <w:t>%。本年收支结余-575</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auto"/>
          <w:sz w:val="32"/>
          <w:szCs w:val="32"/>
        </w:rPr>
        <w:t>年末滚存结余27111万元。</w:t>
      </w:r>
    </w:p>
    <w:p w14:paraId="0B158A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val="en-US"/>
        </w:rPr>
      </w:pPr>
      <w:r>
        <w:rPr>
          <w:rFonts w:hint="eastAsia" w:ascii="楷体_GB2312" w:hAnsi="楷体_GB2312" w:eastAsia="楷体_GB2312" w:cs="楷体_GB2312"/>
          <w:sz w:val="32"/>
          <w:szCs w:val="32"/>
          <w:highlight w:val="none"/>
          <w:lang w:val="en-US" w:eastAsia="zh-CN"/>
        </w:rPr>
        <w:t>（五）2025年地方政府债务情况</w:t>
      </w:r>
    </w:p>
    <w:p w14:paraId="4B626B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我县政府债务主要为省下达的新增地方政府债券资金。2025年，</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rPr>
        <w:t>财政厅下达我县新增地方政府债券资金40500万元。其中一般债券资金9000万元，专项债券资金31500万元。主要用于白沙黎族自治县邦溪农产品产地初加工配套公共服务设施项目、白沙县珠碧江灌区改造工程、白沙县方亮保障性租赁住房项目、白沙县邦溪镇污水处理厂及配套管网工程PPP项目等基础设施项目的建设和清偿“6·30”拖欠企业账款。</w:t>
      </w:r>
    </w:p>
    <w:p w14:paraId="527ABB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全县2025年到期地方政府债券本息共计49263万元，其中地方政府一般债券还本支出34494万元，专项债券还本支出5403万元；债务付息支出9364万元。每笔地债本息均已由县财政按时足额偿还，政府信用良好。</w:t>
      </w:r>
    </w:p>
    <w:p w14:paraId="2FDD21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年末，县本级地方政府债务余额355329万元，其中一般债务余额214929万元，专项债务余额140400万元，控制在地方政府债务限额369882万元以内。</w:t>
      </w:r>
    </w:p>
    <w:p w14:paraId="29AF76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w:t>
      </w:r>
      <w:r>
        <w:rPr>
          <w:rFonts w:hint="eastAsia" w:ascii="黑体" w:hAnsi="黑体" w:eastAsia="黑体" w:cs="黑体"/>
          <w:sz w:val="32"/>
          <w:szCs w:val="32"/>
          <w:highlight w:val="none"/>
          <w:lang w:val="en-US" w:eastAsia="zh-CN"/>
        </w:rPr>
        <w:t>2025</w:t>
      </w:r>
      <w:r>
        <w:rPr>
          <w:rFonts w:hint="eastAsia" w:ascii="黑体" w:hAnsi="黑体" w:eastAsia="黑体" w:cs="黑体"/>
          <w:sz w:val="32"/>
          <w:szCs w:val="32"/>
          <w:highlight w:val="none"/>
        </w:rPr>
        <w:t>年财政政策落实</w:t>
      </w:r>
      <w:r>
        <w:rPr>
          <w:rFonts w:hint="eastAsia" w:ascii="黑体" w:hAnsi="黑体" w:eastAsia="黑体" w:cs="黑体"/>
          <w:sz w:val="32"/>
          <w:szCs w:val="32"/>
          <w:highlight w:val="none"/>
          <w:lang w:eastAsia="zh-CN"/>
        </w:rPr>
        <w:t>和支出</w:t>
      </w:r>
      <w:r>
        <w:rPr>
          <w:rFonts w:hint="eastAsia" w:ascii="黑体" w:hAnsi="黑体" w:eastAsia="黑体" w:cs="黑体"/>
          <w:sz w:val="32"/>
          <w:szCs w:val="32"/>
          <w:highlight w:val="none"/>
        </w:rPr>
        <w:t>情况</w:t>
      </w:r>
    </w:p>
    <w:p w14:paraId="0C4B3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全县各级预算部门严格执行县十六届人大五次会议批准的年度财政收支预算，认真执行县委、县政府的各项决策部署，兜牢“三保”支出底线，遵循“统筹兼顾、突出重点、勤俭节约、收支平衡、讲求绩效”和“量入为出、收支平衡、不列赤字”的原则，规范组织收入，统筹资金使用，优化支出结构，强化预算执行，积极落实</w:t>
      </w:r>
      <w:r>
        <w:rPr>
          <w:rFonts w:hint="eastAsia" w:ascii="仿宋_GB2312" w:hAnsi="仿宋_GB2312" w:eastAsia="仿宋_GB2312" w:cs="仿宋_GB2312"/>
          <w:color w:val="auto"/>
          <w:sz w:val="32"/>
          <w:szCs w:val="32"/>
          <w:lang w:eastAsia="zh-CN"/>
        </w:rPr>
        <w:t>各项财政</w:t>
      </w:r>
      <w:r>
        <w:rPr>
          <w:rFonts w:hint="eastAsia" w:ascii="仿宋_GB2312" w:hAnsi="仿宋_GB2312" w:eastAsia="仿宋_GB2312" w:cs="仿宋_GB2312"/>
          <w:color w:val="auto"/>
          <w:sz w:val="32"/>
          <w:szCs w:val="32"/>
        </w:rPr>
        <w:t>政策，全力防范债务风险，合理安排各项支出，较好地发挥了财政职能作用，财政预算执行情况总体较好。</w:t>
      </w:r>
    </w:p>
    <w:p w14:paraId="53D4BC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 xml:space="preserve">（一）抓好资金供给，夯实财政运行“稳”的基础 </w:t>
      </w:r>
    </w:p>
    <w:p w14:paraId="36E3EA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一是收支持续保持协同稳定增长。2025年，</w:t>
      </w:r>
      <w:r>
        <w:rPr>
          <w:rFonts w:hint="eastAsia" w:ascii="仿宋_GB2312" w:hAnsi="仿宋_GB2312" w:eastAsia="仿宋_GB2312" w:cs="仿宋_GB2312"/>
          <w:color w:val="auto"/>
          <w:sz w:val="32"/>
          <w:szCs w:val="32"/>
          <w:lang w:eastAsia="zh-CN"/>
        </w:rPr>
        <w:t>县本级</w:t>
      </w:r>
      <w:r>
        <w:rPr>
          <w:rFonts w:hint="eastAsia" w:ascii="仿宋_GB2312" w:hAnsi="仿宋_GB2312" w:eastAsia="仿宋_GB2312" w:cs="仿宋_GB2312"/>
          <w:color w:val="auto"/>
          <w:sz w:val="32"/>
          <w:szCs w:val="32"/>
        </w:rPr>
        <w:t>地方一般公共预算收入为22825万元，</w:t>
      </w:r>
      <w:r>
        <w:rPr>
          <w:rFonts w:hint="eastAsia" w:ascii="仿宋_GB2312" w:hAnsi="仿宋_GB2312" w:eastAsia="仿宋_GB2312" w:cs="仿宋_GB2312"/>
          <w:color w:val="auto"/>
          <w:sz w:val="32"/>
          <w:szCs w:val="32"/>
          <w:lang w:eastAsia="zh-CN"/>
        </w:rPr>
        <w:t>同比</w:t>
      </w:r>
      <w:r>
        <w:rPr>
          <w:rFonts w:hint="eastAsia" w:ascii="仿宋_GB2312" w:hAnsi="仿宋_GB2312" w:eastAsia="仿宋_GB2312" w:cs="仿宋_GB2312"/>
          <w:color w:val="auto"/>
          <w:sz w:val="32"/>
          <w:szCs w:val="32"/>
        </w:rPr>
        <w:t>增长3.4</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%，收入基础持续夯实；地方一般公共预算支出为355063万元，</w:t>
      </w:r>
      <w:r>
        <w:rPr>
          <w:rFonts w:hint="eastAsia" w:ascii="仿宋_GB2312" w:hAnsi="仿宋_GB2312" w:eastAsia="仿宋_GB2312" w:cs="仿宋_GB2312"/>
          <w:color w:val="auto"/>
          <w:sz w:val="32"/>
          <w:szCs w:val="32"/>
          <w:lang w:eastAsia="zh-CN"/>
        </w:rPr>
        <w:t>同比</w:t>
      </w:r>
      <w:r>
        <w:rPr>
          <w:rFonts w:hint="eastAsia" w:ascii="仿宋_GB2312" w:hAnsi="仿宋_GB2312" w:eastAsia="仿宋_GB2312" w:cs="仿宋_GB2312"/>
          <w:color w:val="auto"/>
          <w:sz w:val="32"/>
          <w:szCs w:val="32"/>
        </w:rPr>
        <w:t xml:space="preserve">增长14.74%，财力精准投向“三保”及其他重点项目支出。二是拓宽资金供给渠道。争取到中央预算内资金7000万元、一般债券资金9000万元、专项债券资金31500万元，有效推动了基础设施项目的建设。 </w:t>
      </w:r>
    </w:p>
    <w:p w14:paraId="09C7F0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（二）优化支出结构，强化民生保障“实”的成效</w:t>
      </w:r>
    </w:p>
    <w:p w14:paraId="435FD7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兜牢“三保”支出底线。坚决贯彻“三保”支出优先保障要求，我县“三保”支出共计185125万元，“三保”各项支出均严格在可用财力保障范围内。二是及时发放各类补助。通过“社保一卡通”共发放各类补贴项目资金2975</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万元，惠及城乡居民39.6万人次，有效促进稳就业、保民生、助农增收。三是加大民生领域资金投入。坚持“保增长、促民生、保稳定”，将资金向民生领域倾斜，共投入280365万元，占我县一般公共预算支出的</w:t>
      </w:r>
      <w:r>
        <w:rPr>
          <w:rFonts w:hint="eastAsia" w:ascii="仿宋_GB2312" w:hAnsi="仿宋_GB2312" w:eastAsia="仿宋_GB2312" w:cs="仿宋_GB2312"/>
          <w:color w:val="auto"/>
          <w:sz w:val="32"/>
          <w:szCs w:val="32"/>
          <w:highlight w:val="none"/>
          <w:lang w:val="en-US" w:eastAsia="zh-CN"/>
        </w:rPr>
        <w:t>78.96%</w:t>
      </w:r>
      <w:bookmarkStart w:id="0" w:name="_GoBack"/>
      <w:bookmarkEnd w:id="0"/>
      <w:r>
        <w:rPr>
          <w:rFonts w:hint="eastAsia" w:ascii="仿宋_GB2312" w:hAnsi="仿宋_GB2312" w:eastAsia="仿宋_GB2312" w:cs="仿宋_GB2312"/>
          <w:color w:val="auto"/>
          <w:sz w:val="32"/>
          <w:szCs w:val="32"/>
        </w:rPr>
        <w:t>，重点投向医疗、教育、社会保障和就业等领域，确保资金直达群众，促进民生事业健康发展。</w:t>
      </w:r>
    </w:p>
    <w:p w14:paraId="4F370B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（三）筑牢风险防线，守好财政安全“保”的底线</w:t>
      </w:r>
    </w:p>
    <w:p w14:paraId="6A5828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一是多措并举减少债务风险。通过预算安排、争取再融资债券等方式筹措政府债务还本付息，共偿还政府债券到期本金39897万元，利息9364万元，有效减少全县政府债务风险，保证债务率低于120%。</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是完成拖欠企业账款清偿工作。主动统筹本级财力筹措资金清偿欠款，完成清偿“6·30”拖欠企业账款5774</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万元，清偿率100%，为构建亲清政商关系奠定坚实基础。</w:t>
      </w:r>
    </w:p>
    <w:p w14:paraId="6A1EA7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（四）聚焦乡村振兴，激活资金使用“活”的动能</w:t>
      </w:r>
    </w:p>
    <w:p w14:paraId="466E67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一是强化资金保障支持农业农村发展。积极配合相关部门争取上级转移支付资金，及时下达对口单位各类资金665</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万元，其中争取到中央资金36583万元、省级资金2339</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万元，为农业农村发展提供有力支撑。二是建立动态跟踪机制。通过建立涉农资金预算执行动态跟踪机制，累计下发6份督促函，共完成576笔资金调剂，切实保障资金拨付的时效性和足额性。三是发挥资金使用效益助力乡村振兴。2025年衔接资金共下达38421万元，及时发挥衔接资金使用效益。持续落实半月报和通报约谈制度，督促衔接资金及时使用，通过动态调整机制，衔接资金共计调整5次，涉及资金2063</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万元，确保资金使用效益最大化。</w:t>
      </w:r>
    </w:p>
    <w:p w14:paraId="167610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财政预算执行存在的问题</w:t>
      </w:r>
    </w:p>
    <w:p w14:paraId="130851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我县财政运行总体平稳，各项财政工作取得积极进展，财政职能作用有效发挥。但在推动高质量发展等方面仍面临较大挑战，财政运行的深层次矛盾和结构性问题尚未根本解决，具体困难和问题主要体现在以下几个方面：</w:t>
      </w:r>
    </w:p>
    <w:p w14:paraId="557166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（一）</w:t>
      </w:r>
      <w:r>
        <w:rPr>
          <w:rFonts w:hint="eastAsia" w:ascii="楷体_GB2312" w:hAnsi="楷体_GB2312" w:eastAsia="楷体_GB2312" w:cs="楷体_GB2312"/>
          <w:color w:val="auto"/>
          <w:sz w:val="32"/>
          <w:szCs w:val="32"/>
        </w:rPr>
        <w:t>收入结构不尽合理，增长可持续性偏弱</w:t>
      </w:r>
    </w:p>
    <w:p w14:paraId="7AF5C4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级财政收入规模较小，税收收入基数偏低且增长缓慢，难以形成对发展建设类项目的稳定财力支撑。收入构成中，税收收入与非税收入比例失衡，多年呈现对半格局，收入增长对一次性因素、外部机遇性收入依赖性较</w:t>
      </w:r>
      <w:r>
        <w:rPr>
          <w:rFonts w:hint="eastAsia" w:ascii="仿宋_GB2312" w:hAnsi="仿宋_GB2312" w:eastAsia="仿宋_GB2312" w:cs="仿宋_GB2312"/>
          <w:color w:val="auto"/>
          <w:sz w:val="32"/>
          <w:szCs w:val="32"/>
          <w:lang w:eastAsia="zh-CN"/>
        </w:rPr>
        <w:t>高</w:t>
      </w:r>
      <w:r>
        <w:rPr>
          <w:rFonts w:hint="eastAsia" w:ascii="仿宋_GB2312" w:hAnsi="仿宋_GB2312" w:eastAsia="仿宋_GB2312" w:cs="仿宋_GB2312"/>
          <w:color w:val="auto"/>
          <w:sz w:val="32"/>
          <w:szCs w:val="32"/>
        </w:rPr>
        <w:t>，缺乏持续稳定的内生增长动力，财政收入的韧性和抗风险能力有待增强。</w:t>
      </w:r>
    </w:p>
    <w:p w14:paraId="73B8F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（二）债务偿还压力较大</w:t>
      </w:r>
    </w:p>
    <w:p w14:paraId="1844DF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前我县偿债资金来源较为单一，主要依赖上级转移支付及再融资债券资金安排。受宏观经济下行影响，县域税收收入增长乏力，国有土地使用权出让收入波动明显，地方可用财力稳定性不强，财政自给率偏低，债务还本付息对上级资金的依赖程度较高，防范化解债务风险的任务依然艰巨。</w:t>
      </w:r>
    </w:p>
    <w:p w14:paraId="0A50A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（三）预算编制科学化、精细化水平有待提高</w:t>
      </w:r>
    </w:p>
    <w:p w14:paraId="47555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受税收收入不足的制约，预算单位在项目资金安排上较多依赖上级转移支付，导致年度预算执行中出现项目频繁调整、年末资金结转规模偏大、项目支出进度缓慢等突出问题。预算编制的前期论证不够充分，项目库建设和管理仍显薄弱，预算安排与实际执行之间的衔接不够紧密，预算编制的科学性、精准度和前瞻性亟待进一步提升。</w:t>
      </w:r>
    </w:p>
    <w:p w14:paraId="0EADB4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（四）预算绩效目标规范性与自评工作质量有待加强</w:t>
      </w:r>
    </w:p>
    <w:p w14:paraId="487FD3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一是</w:t>
      </w:r>
      <w:r>
        <w:rPr>
          <w:rFonts w:hint="eastAsia" w:ascii="仿宋_GB2312" w:hAnsi="仿宋_GB2312" w:eastAsia="仿宋_GB2312" w:cs="仿宋_GB2312"/>
          <w:color w:val="auto"/>
          <w:sz w:val="32"/>
          <w:szCs w:val="32"/>
        </w:rPr>
        <w:t>绩效意识淡薄，业财融合不足。部分单位重合规轻绩效，绩效工作仅由财务人员负责，项目经办人员未参与，未形成业务与财务协同联动机制。</w:t>
      </w:r>
      <w:r>
        <w:rPr>
          <w:rFonts w:hint="eastAsia" w:ascii="仿宋_GB2312" w:hAnsi="仿宋_GB2312" w:eastAsia="仿宋_GB2312" w:cs="仿宋_GB2312"/>
          <w:color w:val="auto"/>
          <w:sz w:val="32"/>
          <w:szCs w:val="32"/>
          <w:lang w:eastAsia="zh-CN"/>
        </w:rPr>
        <w:t>二是</w:t>
      </w:r>
      <w:r>
        <w:rPr>
          <w:rFonts w:hint="eastAsia" w:ascii="仿宋_GB2312" w:hAnsi="仿宋_GB2312" w:eastAsia="仿宋_GB2312" w:cs="仿宋_GB2312"/>
          <w:color w:val="auto"/>
          <w:sz w:val="32"/>
          <w:szCs w:val="32"/>
        </w:rPr>
        <w:t>绩效目标编报不规范。部分单位绩效目标设置较为笼统，未能紧密契合部门职能及项目实施要求，目标指导性与可操作性不强。</w:t>
      </w:r>
      <w:r>
        <w:rPr>
          <w:rFonts w:hint="eastAsia" w:ascii="仿宋_GB2312" w:hAnsi="仿宋_GB2312" w:eastAsia="仿宋_GB2312" w:cs="仿宋_GB2312"/>
          <w:color w:val="auto"/>
          <w:sz w:val="32"/>
          <w:szCs w:val="32"/>
          <w:lang w:eastAsia="zh-CN"/>
        </w:rPr>
        <w:t>三是</w:t>
      </w:r>
      <w:r>
        <w:rPr>
          <w:rFonts w:hint="eastAsia" w:ascii="仿宋_GB2312" w:hAnsi="仿宋_GB2312" w:eastAsia="仿宋_GB2312" w:cs="仿宋_GB2312"/>
          <w:color w:val="auto"/>
          <w:sz w:val="32"/>
          <w:szCs w:val="32"/>
        </w:rPr>
        <w:t>绩效自评质量有待提高。虽已依托预算管理一体化系统实现绩效自评全覆盖，但部分单位未按要求针对重大改革发展项目或大额资金项目撰写自评报告，已撰写报告对问题反映不够充分、评价不够客观，自评结果应用效果有限，未能有效发挥优化资金配置的作用</w:t>
      </w:r>
      <w:r>
        <w:rPr>
          <w:rFonts w:hint="eastAsia" w:ascii="仿宋_GB2312" w:hAnsi="仿宋_GB2312" w:eastAsia="仿宋_GB2312" w:cs="仿宋_GB2312"/>
          <w:color w:val="auto"/>
          <w:sz w:val="32"/>
          <w:szCs w:val="32"/>
          <w:lang w:eastAsia="zh-CN"/>
        </w:rPr>
        <w:t>。</w:t>
      </w:r>
    </w:p>
    <w:p w14:paraId="60F07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（五）财政监督体系有待健全</w:t>
      </w:r>
    </w:p>
    <w:p w14:paraId="501C71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财会监督协同联动不足。财会监督运行中缺乏与统计、审计、纪检监察等部门的有效联动，未能充分共享和利用相关监督数据资料，导致监督力量分散、效率不高。二是监督手段相对单一。监督方式仍以突击性、专项性财政检查为主，日常监督与全覆盖监控相对薄弱，对资金使用的全过程跟踪问效不足，难以系统识别和防范潜在风险。三是财务基础工作不够扎实。部分单位存在“重业务、轻财务”倾向，对会计基础工作规范化要求认识不足，财务人员变动频繁、专业衔接不畅，影响财务管理整体水平。</w:t>
      </w:r>
    </w:p>
    <w:p w14:paraId="36930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财政预算执行工作建议</w:t>
      </w:r>
    </w:p>
    <w:p w14:paraId="68CEF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lang w:eastAsia="zh-CN"/>
        </w:rPr>
        <w:t>加强财源建设，依法组织收入</w:t>
      </w:r>
    </w:p>
    <w:p w14:paraId="500C1A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强化财税监管协同，深挖本地税源潜力，配合税务部门加强税收征管。健全财税协调机制，定期召开专题会议，做好项目建设、企业投资等重大涉税信息收集与共享，协同抓好财政收入。加强非税收入征管，重点抓好国有资产管理，密切跟踪社会捐赠收入。积极争取上级转移支付资金，确保财政收入安全稳定。</w:t>
      </w:r>
    </w:p>
    <w:p w14:paraId="1FD9E71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多措并举化解存量债务，压实责任筑牢风险防线</w:t>
      </w:r>
    </w:p>
    <w:p w14:paraId="1F8A4E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推动存量化解方面，在争取上级再融资债券和转移支付支持的同时，主动优化债务结构，通过合理安排预算和盘活存量财政资金，提前偿还高成本债务，平滑偿债高峰。在机制层面，硬化预算约束，将还本付息作为刚性支出列入预算，同时建立全口径的债务风险预警机制，坚决守住不发生系统性风险的底线。</w:t>
      </w:r>
    </w:p>
    <w:p w14:paraId="4ACC5A5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深化零基预算强约束，提升预算编制精度</w:t>
      </w:r>
    </w:p>
    <w:p w14:paraId="544ACB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sz w:val="32"/>
          <w:szCs w:val="32"/>
          <w:lang w:val="en-US" w:eastAsia="zh-CN"/>
        </w:rPr>
        <w:t>从源头上摆脱“等靠要”思维，通过强化财源建设和盘活存量资金，夯实本级财力基础。</w:t>
      </w:r>
      <w:r>
        <w:rPr>
          <w:rFonts w:hint="default" w:ascii="仿宋_GB2312" w:hAnsi="仿宋_GB2312" w:eastAsia="仿宋_GB2312" w:cs="仿宋_GB2312"/>
          <w:color w:val="auto"/>
          <w:sz w:val="32"/>
          <w:szCs w:val="32"/>
          <w:lang w:val="en-US" w:eastAsia="zh-CN"/>
        </w:rPr>
        <w:t>在过程管控上，硬化预算约束</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严控年内新增支出，建立执行进度、绩效评价与下年预算安排挂钩机制，对无法支出的结转资金定期清理收回，切实解决调整频繁和资金沉淀问题。</w:t>
      </w:r>
      <w:r>
        <w:rPr>
          <w:rFonts w:hint="eastAsia" w:ascii="仿宋_GB2312" w:hAnsi="仿宋_GB2312" w:eastAsia="仿宋_GB2312" w:cs="仿宋_GB2312"/>
          <w:color w:val="auto"/>
          <w:sz w:val="32"/>
          <w:szCs w:val="32"/>
          <w:lang w:val="en-US" w:eastAsia="zh-CN"/>
        </w:rPr>
        <w:t>在编制质量上，</w:t>
      </w:r>
      <w:r>
        <w:rPr>
          <w:rFonts w:hint="default" w:ascii="仿宋_GB2312" w:hAnsi="仿宋_GB2312" w:eastAsia="仿宋_GB2312" w:cs="仿宋_GB2312"/>
          <w:color w:val="auto"/>
          <w:sz w:val="32"/>
          <w:szCs w:val="32"/>
          <w:lang w:val="en-US" w:eastAsia="zh-CN"/>
        </w:rPr>
        <w:t>深化零基</w:t>
      </w:r>
      <w:r>
        <w:rPr>
          <w:rFonts w:hint="eastAsia" w:ascii="仿宋_GB2312" w:hAnsi="仿宋_GB2312" w:eastAsia="仿宋_GB2312" w:cs="仿宋_GB2312"/>
          <w:color w:val="auto"/>
          <w:sz w:val="32"/>
          <w:szCs w:val="32"/>
          <w:lang w:val="en-US" w:eastAsia="zh-CN"/>
        </w:rPr>
        <w:t>预算改革。</w:t>
      </w:r>
      <w:r>
        <w:rPr>
          <w:rFonts w:hint="default" w:ascii="仿宋_GB2312" w:hAnsi="仿宋_GB2312" w:eastAsia="仿宋_GB2312" w:cs="仿宋_GB2312"/>
          <w:color w:val="auto"/>
          <w:sz w:val="32"/>
          <w:szCs w:val="32"/>
          <w:lang w:val="en-US" w:eastAsia="zh-CN"/>
        </w:rPr>
        <w:t>打破“基数+增长”的惯性</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对所有支出重新审查，不看基数、只重实效，以项目的成熟度、紧要度和绩效目标作为排序和安排资金的唯一标准。</w:t>
      </w:r>
    </w:p>
    <w:p w14:paraId="46510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（四）全面加强预算绩效管理，提高资金绩效</w:t>
      </w:r>
    </w:p>
    <w:p w14:paraId="688D65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坚持“结果导向，务求实效”，压实预算单位绩效主体责任；加强预算绩效管理宣传，强化预算部门绩效意识，增强绩效管理工作能力，营造良好的绩效管理氛围；强化与组织等部门协同联动，将绩效管理与年度考核、履职能力挂钩，切实做到“花钱必问效、无效必问责”。</w:t>
      </w:r>
    </w:p>
    <w:p w14:paraId="40A516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（五）强化协同联动，夯实财会监督工作基础</w:t>
      </w:r>
    </w:p>
    <w:p w14:paraId="71695C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严格落实省财政厅和县委、县政府工作部署，组织开展相关领域财会监督及各项检查。健全监督体系，强化内外监督协同联动，凝聚监督合力，厘清监督职责边界，防止重叠与缺位。加大财会监督宣传力度，提升各单位重视与支持程度，为提高财会监督工作水平夯实基础。</w:t>
      </w:r>
    </w:p>
    <w:sectPr>
      <w:pgSz w:w="20636" w:h="14570" w:orient="landscape"/>
      <w:pgMar w:top="1800" w:right="1440" w:bottom="1800" w:left="1440" w:header="851" w:footer="992" w:gutter="0"/>
      <w:pgBorders>
        <w:top w:val="none" w:sz="0" w:space="0"/>
        <w:left w:val="none" w:sz="0" w:space="0"/>
        <w:bottom w:val="none" w:sz="0" w:space="0"/>
        <w:right w:val="none" w:sz="0" w:space="0"/>
      </w:pgBorders>
      <w:cols w:equalWidth="0" w:num="2">
        <w:col w:w="8665" w:space="425"/>
        <w:col w:w="8665"/>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8C24C"/>
    <w:multiLevelType w:val="singleLevel"/>
    <w:tmpl w:val="D318C2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2D27"/>
    <w:rsid w:val="00CA21C6"/>
    <w:rsid w:val="0189320A"/>
    <w:rsid w:val="025407EF"/>
    <w:rsid w:val="02EA60DD"/>
    <w:rsid w:val="06D86F27"/>
    <w:rsid w:val="072C44ED"/>
    <w:rsid w:val="075F4E95"/>
    <w:rsid w:val="080E42B9"/>
    <w:rsid w:val="0851368A"/>
    <w:rsid w:val="0A416AB2"/>
    <w:rsid w:val="0B9E4141"/>
    <w:rsid w:val="0C1314BB"/>
    <w:rsid w:val="0D0E4F57"/>
    <w:rsid w:val="0E3F4E7D"/>
    <w:rsid w:val="0F1F7901"/>
    <w:rsid w:val="11155316"/>
    <w:rsid w:val="114B59FF"/>
    <w:rsid w:val="137A1F6E"/>
    <w:rsid w:val="140343F0"/>
    <w:rsid w:val="195F7EE7"/>
    <w:rsid w:val="1A370E93"/>
    <w:rsid w:val="1C3F2422"/>
    <w:rsid w:val="1C703A01"/>
    <w:rsid w:val="1C8966CA"/>
    <w:rsid w:val="1CD211C8"/>
    <w:rsid w:val="1CEE1106"/>
    <w:rsid w:val="1D090FF4"/>
    <w:rsid w:val="1E711282"/>
    <w:rsid w:val="202C24BC"/>
    <w:rsid w:val="20AD3454"/>
    <w:rsid w:val="22AD0FF6"/>
    <w:rsid w:val="22AF2A95"/>
    <w:rsid w:val="26CF0993"/>
    <w:rsid w:val="27C35A04"/>
    <w:rsid w:val="28512B45"/>
    <w:rsid w:val="28592C79"/>
    <w:rsid w:val="2AAF6B69"/>
    <w:rsid w:val="2C616C4E"/>
    <w:rsid w:val="2E9B271B"/>
    <w:rsid w:val="2EA53B91"/>
    <w:rsid w:val="2FC751F2"/>
    <w:rsid w:val="303F6E5F"/>
    <w:rsid w:val="309747AE"/>
    <w:rsid w:val="326203B9"/>
    <w:rsid w:val="33DA4B7F"/>
    <w:rsid w:val="346218FF"/>
    <w:rsid w:val="36E162CA"/>
    <w:rsid w:val="36FC7AF9"/>
    <w:rsid w:val="37703C61"/>
    <w:rsid w:val="3976741B"/>
    <w:rsid w:val="397E21E1"/>
    <w:rsid w:val="3A9E59A8"/>
    <w:rsid w:val="3B3D34EE"/>
    <w:rsid w:val="3C662289"/>
    <w:rsid w:val="3CC86196"/>
    <w:rsid w:val="3DE35519"/>
    <w:rsid w:val="3F570339"/>
    <w:rsid w:val="4020487A"/>
    <w:rsid w:val="45B64034"/>
    <w:rsid w:val="47131137"/>
    <w:rsid w:val="47861364"/>
    <w:rsid w:val="4AD349C3"/>
    <w:rsid w:val="4DE85206"/>
    <w:rsid w:val="4E2C224E"/>
    <w:rsid w:val="506E22E3"/>
    <w:rsid w:val="537073C7"/>
    <w:rsid w:val="539F5D12"/>
    <w:rsid w:val="56A81994"/>
    <w:rsid w:val="592F29F7"/>
    <w:rsid w:val="5B9261ED"/>
    <w:rsid w:val="5E0F4078"/>
    <w:rsid w:val="5E186037"/>
    <w:rsid w:val="5E4C19C5"/>
    <w:rsid w:val="5F2502F1"/>
    <w:rsid w:val="5F3441B5"/>
    <w:rsid w:val="5FD373D4"/>
    <w:rsid w:val="60A44C14"/>
    <w:rsid w:val="61EC6B5A"/>
    <w:rsid w:val="624A6BA7"/>
    <w:rsid w:val="627579C5"/>
    <w:rsid w:val="63D85845"/>
    <w:rsid w:val="65E11E53"/>
    <w:rsid w:val="67DD4B84"/>
    <w:rsid w:val="6891732E"/>
    <w:rsid w:val="6942733B"/>
    <w:rsid w:val="6A151116"/>
    <w:rsid w:val="6CB03EAD"/>
    <w:rsid w:val="6D39227B"/>
    <w:rsid w:val="7118004B"/>
    <w:rsid w:val="72450661"/>
    <w:rsid w:val="73250952"/>
    <w:rsid w:val="74F91C79"/>
    <w:rsid w:val="776B6238"/>
    <w:rsid w:val="77B724E1"/>
    <w:rsid w:val="7A370601"/>
    <w:rsid w:val="7ABF3408"/>
    <w:rsid w:val="7B8F4143"/>
    <w:rsid w:val="7D486F29"/>
    <w:rsid w:val="7E443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2"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en-US" altLang="zh-CN" sz="1600">
                <a:latin typeface="仿宋_GB2312" panose="02010609030101010101" charset="-122"/>
                <a:ea typeface="仿宋_GB2312" panose="02010609030101010101" charset="-122"/>
                <a:cs typeface="仿宋_GB2312" panose="02010609030101010101" charset="-122"/>
              </a:rPr>
              <a:t>2025</a:t>
            </a:r>
            <a:r>
              <a:rPr altLang="en-US" sz="1600">
                <a:latin typeface="仿宋_GB2312" panose="02010609030101010101" charset="-122"/>
                <a:ea typeface="仿宋_GB2312" panose="02010609030101010101" charset="-122"/>
                <a:cs typeface="仿宋_GB2312" panose="02010609030101010101" charset="-122"/>
              </a:rPr>
              <a:t>年度地方一般公共预算收入结构图</a:t>
            </a:r>
            <a:endParaRPr altLang="en-US" sz="1600">
              <a:latin typeface="仿宋_GB2312" panose="02010609030101010101" charset="-122"/>
              <a:ea typeface="仿宋_GB2312" panose="02010609030101010101" charset="-122"/>
              <a:cs typeface="仿宋_GB2312" panose="0201060903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0316022332244812"/>
          <c:y val="0.121810310108739"/>
          <c:w val="0.590405561993048"/>
          <c:h val="0.792726540475232"/>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Pt>
            <c:idx val="6"/>
            <c:bubble3D val="0"/>
            <c:spPr>
              <a:solidFill>
                <a:schemeClr val="accent1">
                  <a:lumMod val="60000"/>
                </a:schemeClr>
              </a:solidFill>
              <a:ln>
                <a:solidFill>
                  <a:schemeClr val="bg1"/>
                </a:solidFill>
              </a:ln>
              <a:effectLst/>
              <a:scene3d>
                <a:camera prst="orthographicFront"/>
                <a:lightRig rig="threePt" dir="t"/>
              </a:scene3d>
              <a:sp3d contourW="9525"/>
            </c:spPr>
          </c:dPt>
          <c:dPt>
            <c:idx val="7"/>
            <c:bubble3D val="0"/>
            <c:spPr>
              <a:solidFill>
                <a:schemeClr val="accent2">
                  <a:lumMod val="60000"/>
                </a:schemeClr>
              </a:solidFill>
              <a:ln>
                <a:solidFill>
                  <a:schemeClr val="bg1"/>
                </a:solidFill>
              </a:ln>
              <a:effectLst/>
              <a:scene3d>
                <a:camera prst="orthographicFront"/>
                <a:lightRig rig="threePt" dir="t"/>
              </a:scene3d>
              <a:sp3d contourW="9525"/>
            </c:spPr>
          </c:dPt>
          <c:dPt>
            <c:idx val="8"/>
            <c:bubble3D val="0"/>
            <c:spPr>
              <a:solidFill>
                <a:schemeClr val="accent3">
                  <a:lumMod val="60000"/>
                </a:schemeClr>
              </a:solidFill>
              <a:ln>
                <a:solidFill>
                  <a:schemeClr val="bg1"/>
                </a:solidFill>
              </a:ln>
              <a:effectLst/>
              <a:scene3d>
                <a:camera prst="orthographicFront"/>
                <a:lightRig rig="threePt" dir="t"/>
              </a:scene3d>
              <a:sp3d contourW="9525"/>
            </c:spPr>
          </c:dPt>
          <c:dPt>
            <c:idx val="9"/>
            <c:bubble3D val="0"/>
            <c:spPr>
              <a:solidFill>
                <a:schemeClr val="accent4">
                  <a:lumMod val="60000"/>
                </a:schemeClr>
              </a:solidFill>
              <a:ln>
                <a:solidFill>
                  <a:schemeClr val="bg1"/>
                </a:solidFill>
              </a:ln>
              <a:effectLst/>
              <a:scene3d>
                <a:camera prst="orthographicFront"/>
                <a:lightRig rig="threePt" dir="t"/>
              </a:scene3d>
              <a:sp3d contourW="9525"/>
            </c:spPr>
          </c:dPt>
          <c:dPt>
            <c:idx val="10"/>
            <c:bubble3D val="0"/>
            <c:spPr>
              <a:solidFill>
                <a:schemeClr val="accent5">
                  <a:lumMod val="60000"/>
                </a:schemeClr>
              </a:solidFill>
              <a:ln>
                <a:solidFill>
                  <a:schemeClr val="bg1"/>
                </a:solidFill>
              </a:ln>
              <a:effectLst/>
              <a:scene3d>
                <a:camera prst="orthographicFront"/>
                <a:lightRig rig="threePt" dir="t"/>
              </a:scene3d>
              <a:sp3d contourW="9525"/>
            </c:spPr>
          </c:dPt>
          <c:dPt>
            <c:idx val="11"/>
            <c:bubble3D val="0"/>
            <c:spPr>
              <a:solidFill>
                <a:schemeClr val="accent6">
                  <a:lumMod val="60000"/>
                </a:schemeClr>
              </a:solidFill>
              <a:ln>
                <a:solidFill>
                  <a:schemeClr val="bg1"/>
                </a:solidFill>
              </a:ln>
              <a:effectLst/>
              <a:scene3d>
                <a:camera prst="orthographicFront"/>
                <a:lightRig rig="threePt" dir="t"/>
              </a:scene3d>
              <a:sp3d contourW="9525"/>
            </c:spPr>
          </c:dPt>
          <c:dPt>
            <c:idx val="12"/>
            <c:bubble3D val="0"/>
            <c:spPr>
              <a:solidFill>
                <a:schemeClr val="accent1">
                  <a:lumMod val="80000"/>
                  <a:lumOff val="20000"/>
                </a:schemeClr>
              </a:solidFill>
              <a:ln>
                <a:solidFill>
                  <a:schemeClr val="bg1"/>
                </a:solidFill>
              </a:ln>
              <a:effectLst/>
              <a:scene3d>
                <a:camera prst="orthographicFront"/>
                <a:lightRig rig="threePt" dir="t"/>
              </a:scene3d>
              <a:sp3d contourW="9525"/>
            </c:spPr>
          </c:dPt>
          <c:dPt>
            <c:idx val="13"/>
            <c:bubble3D val="0"/>
            <c:spPr>
              <a:solidFill>
                <a:schemeClr val="accent2">
                  <a:lumMod val="80000"/>
                  <a:lumOff val="20000"/>
                </a:schemeClr>
              </a:solidFill>
              <a:ln>
                <a:solidFill>
                  <a:schemeClr val="bg1"/>
                </a:solidFill>
              </a:ln>
              <a:effectLst/>
              <a:scene3d>
                <a:camera prst="orthographicFront"/>
                <a:lightRig rig="threePt" dir="t"/>
              </a:scene3d>
              <a:sp3d contourW="9525"/>
            </c:spPr>
          </c:dPt>
          <c:dPt>
            <c:idx val="14"/>
            <c:bubble3D val="0"/>
            <c:spPr>
              <a:solidFill>
                <a:schemeClr val="accent3">
                  <a:lumMod val="80000"/>
                  <a:lumOff val="20000"/>
                </a:schemeClr>
              </a:solidFill>
              <a:ln>
                <a:solidFill>
                  <a:schemeClr val="bg1"/>
                </a:solidFill>
              </a:ln>
              <a:effectLst/>
              <a:scene3d>
                <a:camera prst="orthographicFront"/>
                <a:lightRig rig="threePt" dir="t"/>
              </a:scene3d>
              <a:sp3d contourW="9525"/>
            </c:spPr>
          </c:dPt>
          <c:dPt>
            <c:idx val="15"/>
            <c:bubble3D val="0"/>
            <c:spPr>
              <a:solidFill>
                <a:schemeClr val="accent4">
                  <a:lumMod val="80000"/>
                  <a:lumOff val="20000"/>
                </a:schemeClr>
              </a:solidFill>
              <a:ln>
                <a:solidFill>
                  <a:schemeClr val="bg1"/>
                </a:solidFill>
              </a:ln>
              <a:effectLst/>
              <a:scene3d>
                <a:camera prst="orthographicFront"/>
                <a:lightRig rig="threePt" dir="t"/>
              </a:scene3d>
              <a:sp3d contourW="9525"/>
            </c:spPr>
          </c:dPt>
          <c:dPt>
            <c:idx val="16"/>
            <c:bubble3D val="0"/>
            <c:spPr>
              <a:solidFill>
                <a:schemeClr val="accent5">
                  <a:lumMod val="80000"/>
                  <a:lumOff val="20000"/>
                </a:schemeClr>
              </a:solidFill>
              <a:ln>
                <a:solidFill>
                  <a:schemeClr val="bg1"/>
                </a:solidFill>
              </a:ln>
              <a:effectLst/>
              <a:scene3d>
                <a:camera prst="orthographicFront"/>
                <a:lightRig rig="threePt" dir="t"/>
              </a:scene3d>
              <a:sp3d contourW="9525"/>
            </c:spPr>
          </c:dPt>
          <c:dPt>
            <c:idx val="17"/>
            <c:bubble3D val="0"/>
            <c:spPr>
              <a:solidFill>
                <a:schemeClr val="accent6">
                  <a:lumMod val="80000"/>
                  <a:lumOff val="20000"/>
                </a:schemeClr>
              </a:solidFill>
              <a:ln>
                <a:solidFill>
                  <a:schemeClr val="bg1"/>
                </a:solidFill>
              </a:ln>
              <a:effectLst/>
              <a:scene3d>
                <a:camera prst="orthographicFront"/>
                <a:lightRig rig="threePt" dir="t"/>
              </a:scene3d>
              <a:sp3d contourW="9525"/>
            </c:spPr>
          </c:dPt>
          <c:dPt>
            <c:idx val="18"/>
            <c:bubble3D val="0"/>
            <c:spPr>
              <a:solidFill>
                <a:schemeClr val="accent1">
                  <a:lumMod val="80000"/>
                </a:schemeClr>
              </a:solidFill>
              <a:ln>
                <a:solidFill>
                  <a:schemeClr val="bg1"/>
                </a:solidFill>
              </a:ln>
              <a:effectLst/>
              <a:scene3d>
                <a:camera prst="orthographicFront"/>
                <a:lightRig rig="threePt" dir="t"/>
              </a:scene3d>
              <a:sp3d contourW="9525"/>
            </c:spPr>
          </c:dPt>
          <c:dPt>
            <c:idx val="19"/>
            <c:bubble3D val="0"/>
            <c:spPr>
              <a:solidFill>
                <a:schemeClr val="accent2">
                  <a:lumMod val="80000"/>
                </a:schemeClr>
              </a:solidFill>
              <a:ln>
                <a:solidFill>
                  <a:schemeClr val="bg1"/>
                </a:solidFill>
              </a:ln>
              <a:effectLst/>
              <a:scene3d>
                <a:camera prst="orthographicFront"/>
                <a:lightRig rig="threePt" dir="t"/>
              </a:scene3d>
              <a:sp3d contourW="9525"/>
            </c:spPr>
          </c:dPt>
          <c:dPt>
            <c:idx val="20"/>
            <c:bubble3D val="0"/>
            <c:spPr>
              <a:solidFill>
                <a:schemeClr val="accent3">
                  <a:lumMod val="80000"/>
                </a:schemeClr>
              </a:solidFill>
              <a:ln>
                <a:solidFill>
                  <a:schemeClr val="bg1"/>
                </a:solidFill>
              </a:ln>
              <a:effectLst/>
              <a:scene3d>
                <a:camera prst="orthographicFront"/>
                <a:lightRig rig="threePt" dir="t"/>
              </a:scene3d>
              <a:sp3d contourW="9525"/>
            </c:spPr>
          </c:dPt>
          <c:dLbls>
            <c:dLbl>
              <c:idx val="1"/>
              <c:layout>
                <c:manualLayout>
                  <c:x val="0.0414867175220514"/>
                  <c:y val="-0.109406163652493"/>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2"/>
              <c:layout>
                <c:manualLayout>
                  <c:x val="0.0196101878160323"/>
                  <c:y val="-0.0983069883878218"/>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3"/>
              <c:layout>
                <c:manualLayout>
                  <c:x val="0.0139024252589548"/>
                  <c:y val="-0.0702787593246957"/>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4"/>
              <c:layout>
                <c:manualLayout>
                  <c:x val="0.00742803998331862"/>
                  <c:y val="-0.0442350477686167"/>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5"/>
              <c:layout>
                <c:manualLayout>
                  <c:x val="-0.00113683061507633"/>
                  <c:y val="-0.0362864277364255"/>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6"/>
              <c:layout>
                <c:manualLayout>
                  <c:x val="-0.00425148643533065"/>
                  <c:y val="-0.0200551869527737"/>
                </c:manualLayout>
              </c:layout>
              <c:numFmt formatCode="0.00%" sourceLinked="0"/>
              <c:spPr>
                <a:noFill/>
                <a:ln w="28575" cmpd="sng">
                  <a:noFill/>
                  <a:prstDash val="solid"/>
                </a:ln>
                <a:effectLst>
                  <a:softEdge rad="12700"/>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7"/>
              <c:layout>
                <c:manualLayout>
                  <c:x val="0.00245120934258854"/>
                  <c:y val="-0.136816691848247"/>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8"/>
              <c:layout>
                <c:manualLayout>
                  <c:x val="0.0133692678463231"/>
                  <c:y val="-0.140112438746638"/>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9"/>
              <c:layout>
                <c:manualLayout>
                  <c:x val="0.0263833993837644"/>
                  <c:y val="-0.131386616435908"/>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0"/>
              <c:layout>
                <c:manualLayout>
                  <c:x val="0.0426931981123318"/>
                  <c:y val="-0.11891855172052"/>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1"/>
              <c:layout>
                <c:manualLayout>
                  <c:x val="0.0907562185130083"/>
                  <c:y val="-0.127959151352752"/>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2"/>
              <c:layout>
                <c:manualLayout>
                  <c:x val="0.127357673306021"/>
                  <c:y val="-0.105817897203139"/>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3"/>
              <c:layout>
                <c:manualLayout>
                  <c:x val="0.113417392708334"/>
                  <c:y val="-0.058944308733807"/>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4"/>
              <c:layout>
                <c:manualLayout>
                  <c:x val="0.0914212763678628"/>
                  <c:y val="-0.0131006545173819"/>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dLbl>
              <c:idx val="15"/>
              <c:layout>
                <c:manualLayout>
                  <c:x val="0.0748203234266505"/>
                  <c:y val="0.028035607619554"/>
                </c:manualLayout>
              </c:layout>
              <c:dLblPos val="bestFit"/>
              <c:showLegendKey val="1"/>
              <c:showVal val="1"/>
              <c:showCatName val="0"/>
              <c:showSerName val="0"/>
              <c:showPercent val="1"/>
              <c:showBubbleSize val="0"/>
              <c:separator>;</c:separator>
              <c:extLst>
                <c:ext xmlns:c15="http://schemas.microsoft.com/office/drawing/2012/chart" uri="{CE6537A1-D6FC-4f65-9D91-7224C49458BB}">
                  <c15:layout/>
                </c:ext>
              </c:extLst>
            </c:dLbl>
            <c:numFmt formatCode="0.00%" sourceLinked="0"/>
            <c:spPr>
              <a:noFill/>
              <a:ln w="28575" cmpd="sng">
                <a:noFill/>
                <a:prstDash val="solid"/>
              </a:ln>
              <a:effectLst>
                <a:softEdge rad="12700"/>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outEnd"/>
            <c:showLegendKey val="1"/>
            <c:showVal val="1"/>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[工作簿2]Sheet2!$A$31:$A$51</c:f>
              <c:strCache>
                <c:ptCount val="21"/>
                <c:pt idx="0">
                  <c:v>增值税</c:v>
                </c:pt>
                <c:pt idx="1">
                  <c:v>企业所得税</c:v>
                </c:pt>
                <c:pt idx="2">
                  <c:v>个人所得税</c:v>
                </c:pt>
                <c:pt idx="3">
                  <c:v>资源税</c:v>
                </c:pt>
                <c:pt idx="4">
                  <c:v>城市维护建设税</c:v>
                </c:pt>
                <c:pt idx="5">
                  <c:v>房产税</c:v>
                </c:pt>
                <c:pt idx="6">
                  <c:v>印花税</c:v>
                </c:pt>
                <c:pt idx="7">
                  <c:v>城镇土地使用税</c:v>
                </c:pt>
                <c:pt idx="8">
                  <c:v>土地增值税</c:v>
                </c:pt>
                <c:pt idx="9">
                  <c:v>车船税</c:v>
                </c:pt>
                <c:pt idx="10">
                  <c:v>耕地占用税</c:v>
                </c:pt>
                <c:pt idx="11">
                  <c:v>契税</c:v>
                </c:pt>
                <c:pt idx="12">
                  <c:v>烟叶税</c:v>
                </c:pt>
                <c:pt idx="13">
                  <c:v>环境保护税</c:v>
                </c:pt>
                <c:pt idx="14">
                  <c:v>其他税收收入</c:v>
                </c:pt>
                <c:pt idx="15">
                  <c:v>专项收入</c:v>
                </c:pt>
                <c:pt idx="16">
                  <c:v>行政事业性收费收入</c:v>
                </c:pt>
                <c:pt idx="17">
                  <c:v>罚没收入</c:v>
                </c:pt>
                <c:pt idx="18">
                  <c:v>国有资本经营收入</c:v>
                </c:pt>
                <c:pt idx="19">
                  <c:v>国有资源(资产)有偿使用收入</c:v>
                </c:pt>
                <c:pt idx="20">
                  <c:v>其他收入</c:v>
                </c:pt>
              </c:strCache>
            </c:strRef>
          </c:cat>
          <c:val>
            <c:numRef>
              <c:f>[工作簿2]Sheet2!$B$31:$B$51</c:f>
              <c:numCache>
                <c:formatCode>General</c:formatCode>
                <c:ptCount val="21"/>
                <c:pt idx="0">
                  <c:v>3467</c:v>
                </c:pt>
                <c:pt idx="1">
                  <c:v>747</c:v>
                </c:pt>
                <c:pt idx="2">
                  <c:v>337</c:v>
                </c:pt>
                <c:pt idx="3">
                  <c:v>91</c:v>
                </c:pt>
                <c:pt idx="4">
                  <c:v>331</c:v>
                </c:pt>
                <c:pt idx="5">
                  <c:v>638</c:v>
                </c:pt>
                <c:pt idx="6">
                  <c:v>153</c:v>
                </c:pt>
                <c:pt idx="7">
                  <c:v>744</c:v>
                </c:pt>
                <c:pt idx="8">
                  <c:v>629</c:v>
                </c:pt>
                <c:pt idx="9">
                  <c:v>345</c:v>
                </c:pt>
                <c:pt idx="10">
                  <c:v>466</c:v>
                </c:pt>
                <c:pt idx="11">
                  <c:v>1294</c:v>
                </c:pt>
                <c:pt idx="12">
                  <c:v>6</c:v>
                </c:pt>
                <c:pt idx="13">
                  <c:v>23</c:v>
                </c:pt>
                <c:pt idx="14">
                  <c:v>28</c:v>
                </c:pt>
                <c:pt idx="15">
                  <c:v>480</c:v>
                </c:pt>
                <c:pt idx="16">
                  <c:v>2336</c:v>
                </c:pt>
                <c:pt idx="17">
                  <c:v>3225</c:v>
                </c:pt>
                <c:pt idx="18">
                  <c:v>42</c:v>
                </c:pt>
                <c:pt idx="19">
                  <c:v>3912</c:v>
                </c:pt>
                <c:pt idx="20">
                  <c:v>3531</c:v>
                </c:pt>
              </c:numCache>
            </c:numRef>
          </c:val>
        </c:ser>
        <c:dLbls>
          <c:showLegendKey val="0"/>
          <c:showVal val="1"/>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7"/>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8"/>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9"/>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5"/>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6"/>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7"/>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8"/>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9"/>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744071292286881"/>
          <c:y val="0.085569884977344"/>
        </c:manualLayout>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6b268e-86eb-486e-bcf0-9a193e0f6bda}"/>
      </c:ext>
    </c:extLst>
  </c:chart>
  <c:spPr>
    <a:solidFill>
      <a:schemeClr val="bg1"/>
    </a:solidFill>
    <a:ln w="9525" cap="flat" cmpd="sng" algn="ctr">
      <a:noFill/>
      <a:round/>
    </a:ln>
    <a:effectLst/>
  </c:spPr>
  <c:txPr>
    <a:bodyPr/>
    <a:lstStyle/>
    <a:p>
      <a:pPr>
        <a:defRPr lang="zh-CN" sz="8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60" b="1" i="0" u="none" strike="noStrike" kern="1200" baseline="0">
                <a:solidFill>
                  <a:schemeClr val="tx1">
                    <a:lumMod val="75000"/>
                    <a:lumOff val="25000"/>
                  </a:schemeClr>
                </a:solidFill>
                <a:latin typeface="+mn-lt"/>
                <a:ea typeface="+mn-ea"/>
                <a:cs typeface="+mn-cs"/>
              </a:defRPr>
            </a:pPr>
            <a:r>
              <a:rPr lang="en-US" altLang="zh-CN" sz="1600">
                <a:latin typeface="仿宋_GB2312" panose="02010609030101010101" charset="-122"/>
                <a:ea typeface="仿宋_GB2312" panose="02010609030101010101" charset="-122"/>
                <a:cs typeface="仿宋_GB2312" panose="02010609030101010101" charset="-122"/>
              </a:rPr>
              <a:t>2025</a:t>
            </a:r>
            <a:r>
              <a:rPr altLang="zh-CN" sz="1600">
                <a:latin typeface="仿宋_GB2312" panose="02010609030101010101" charset="-122"/>
                <a:ea typeface="仿宋_GB2312" panose="02010609030101010101" charset="-122"/>
                <a:cs typeface="仿宋_GB2312" panose="02010609030101010101" charset="-122"/>
              </a:rPr>
              <a:t>年度一般公共预算收入结构图</a:t>
            </a:r>
            <a:endParaRPr altLang="zh-CN" sz="1600">
              <a:latin typeface="仿宋_GB2312" panose="02010609030101010101" charset="-122"/>
              <a:ea typeface="仿宋_GB2312" panose="02010609030101010101" charset="-122"/>
              <a:cs typeface="仿宋_GB2312" panose="0201060903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110364878952855"/>
          <c:y val="0.176097077761268"/>
          <c:w val="0.63331866095216"/>
          <c:h val="0.730354961201915"/>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Lbls>
            <c:dLbl>
              <c:idx val="4"/>
              <c:layout>
                <c:manualLayout>
                  <c:x val="0.0380228136882129"/>
                  <c:y val="-0.0241002570694087"/>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5"/>
              <c:layout>
                <c:manualLayout>
                  <c:x val="0.139761119790141"/>
                  <c:y val="0"/>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[工作簿2]Sheet1!$G$2:$G$7</c:f>
              <c:strCache>
                <c:ptCount val="6"/>
                <c:pt idx="0">
                  <c:v>上级补助收入</c:v>
                </c:pt>
                <c:pt idx="1">
                  <c:v>地方一般公共预算收入</c:v>
                </c:pt>
                <c:pt idx="2">
                  <c:v>债务(转贷)收入</c:v>
                </c:pt>
                <c:pt idx="3">
                  <c:v>动用预算稳定调节基金</c:v>
                </c:pt>
                <c:pt idx="4">
                  <c:v>上年结余收入</c:v>
                </c:pt>
                <c:pt idx="5">
                  <c:v>调入资金</c:v>
                </c:pt>
              </c:strCache>
            </c:strRef>
          </c:cat>
          <c:val>
            <c:numRef>
              <c:f>[工作簿2]Sheet1!$H$2:$H$7</c:f>
              <c:numCache>
                <c:formatCode>General</c:formatCode>
                <c:ptCount val="6"/>
                <c:pt idx="0">
                  <c:v>366498</c:v>
                </c:pt>
                <c:pt idx="1">
                  <c:v>22825</c:v>
                </c:pt>
                <c:pt idx="2">
                  <c:v>40444</c:v>
                </c:pt>
                <c:pt idx="3">
                  <c:v>12969</c:v>
                </c:pt>
                <c:pt idx="4">
                  <c:v>11852</c:v>
                </c:pt>
                <c:pt idx="5">
                  <c:v>1914</c:v>
                </c:pt>
              </c:numCache>
            </c:numRef>
          </c:val>
        </c:ser>
        <c:dLbls>
          <c:showLegendKey val="0"/>
          <c:showVal val="1"/>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d1882b-0611-469b-aaba-c80065d7db3a}"/>
      </c:ext>
    </c:extLst>
  </c:chart>
  <c:spPr>
    <a:solidFill>
      <a:schemeClr val="bg1"/>
    </a:solidFill>
    <a:ln w="12700" cap="flat" cmpd="sng" algn="ctr">
      <a:noFill/>
      <a:prstDash val="solid"/>
      <a:round/>
    </a:ln>
    <a:effectLst/>
  </c:spPr>
  <c:txPr>
    <a:bodyPr/>
    <a:lstStyle/>
    <a:p>
      <a:pPr>
        <a:defRPr lang="zh-CN" sz="105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sz="1600"/>
              <a:t>2025</a:t>
            </a:r>
            <a:r>
              <a:rPr altLang="zh-CN" sz="1600"/>
              <a:t>年度地方政府性基金收入结构图</a:t>
            </a:r>
            <a:endParaRPr altLang="zh-CN" sz="1600"/>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63968921778639"/>
          <c:y val="0.185142241323005"/>
          <c:w val="0.591204809619238"/>
          <c:h val="0.750246246246246"/>
        </c:manualLayout>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Pt>
            <c:idx val="6"/>
            <c:bubble3D val="0"/>
            <c:spPr>
              <a:solidFill>
                <a:schemeClr val="accent1">
                  <a:lumMod val="60000"/>
                </a:schemeClr>
              </a:solidFill>
              <a:ln>
                <a:solidFill>
                  <a:schemeClr val="bg1"/>
                </a:solidFill>
              </a:ln>
              <a:effectLst/>
              <a:scene3d>
                <a:camera prst="orthographicFront"/>
                <a:lightRig rig="threePt" dir="t"/>
              </a:scene3d>
              <a:sp3d contourW="9525"/>
            </c:spPr>
          </c:dPt>
          <c:dLbls>
            <c:dLbl>
              <c:idx val="0"/>
              <c:layout>
                <c:manualLayout>
                  <c:x val="0.0906745801442382"/>
                  <c:y val="-0.0249304604143314"/>
                </c:manualLayout>
              </c:layout>
              <c:dLblPos val="bestFit"/>
              <c:showLegendKey val="0"/>
              <c:showVal val="1"/>
              <c:showCatName val="0"/>
              <c:showSerName val="0"/>
              <c:showPercent val="1"/>
              <c:showBubbleSize val="0"/>
              <c:separator>;</c:separator>
              <c:extLst>
                <c:ext xmlns:c15="http://schemas.microsoft.com/office/drawing/2012/chart" uri="{CE6537A1-D6FC-4f65-9D91-7224C49458BB}">
                  <c15:layout/>
                </c:ext>
              </c:extLst>
            </c:dLbl>
            <c:dLbl>
              <c:idx val="1"/>
              <c:layout>
                <c:manualLayout>
                  <c:x val="0.123681696959865"/>
                  <c:y val="0.0202702702702703"/>
                </c:manualLayout>
              </c:layout>
              <c:dLblPos val="bestFit"/>
              <c:showLegendKey val="0"/>
              <c:showVal val="1"/>
              <c:showCatName val="0"/>
              <c:showSerName val="0"/>
              <c:showPercent val="1"/>
              <c:showBubbleSize val="0"/>
              <c:separator>;</c:separator>
              <c:extLst>
                <c:ext xmlns:c15="http://schemas.microsoft.com/office/drawing/2012/chart" uri="{CE6537A1-D6FC-4f65-9D91-7224C49458BB}">
                  <c15:layout/>
                </c:ext>
              </c:extLst>
            </c:dLbl>
            <c:dLbl>
              <c:idx val="6"/>
              <c:layout>
                <c:manualLayout>
                  <c:x val="-0.000542186955907603"/>
                  <c:y val="-0.0295906505583925"/>
                </c:manualLayout>
              </c:layout>
              <c:dLblPos val="bestFit"/>
              <c:showLegendKey val="0"/>
              <c:showVal val="1"/>
              <c:showCatName val="0"/>
              <c:showSerName val="0"/>
              <c:showPercent val="1"/>
              <c:showBubbleSize val="0"/>
              <c:separator>;</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[工作簿2]Sheet1!$A$3:$A$9</c:f>
              <c:strCache>
                <c:ptCount val="7"/>
                <c:pt idx="0">
                  <c:v>国有土地收益基金收入</c:v>
                </c:pt>
                <c:pt idx="1">
                  <c:v>农业土地开发资金收入</c:v>
                </c:pt>
                <c:pt idx="2">
                  <c:v>国有土地使用权出让收入</c:v>
                </c:pt>
                <c:pt idx="3">
                  <c:v>彩票公益金收入</c:v>
                </c:pt>
                <c:pt idx="4">
                  <c:v>城市基础设施配套费收入</c:v>
                </c:pt>
                <c:pt idx="5">
                  <c:v>污水处理费收入</c:v>
                </c:pt>
                <c:pt idx="6">
                  <c:v>彩票发行机构和彩票销售机构的业务费用</c:v>
                </c:pt>
              </c:strCache>
            </c:strRef>
          </c:cat>
          <c:val>
            <c:numRef>
              <c:f>[工作簿2]Sheet1!$B$3:$B$9</c:f>
              <c:numCache>
                <c:formatCode>General</c:formatCode>
                <c:ptCount val="7"/>
                <c:pt idx="0">
                  <c:v>106</c:v>
                </c:pt>
                <c:pt idx="1">
                  <c:v>24</c:v>
                </c:pt>
                <c:pt idx="2">
                  <c:v>3342</c:v>
                </c:pt>
                <c:pt idx="3">
                  <c:v>116</c:v>
                </c:pt>
                <c:pt idx="4">
                  <c:v>583</c:v>
                </c:pt>
                <c:pt idx="5">
                  <c:v>365</c:v>
                </c:pt>
                <c:pt idx="6">
                  <c:v>3</c:v>
                </c:pt>
              </c:numCache>
            </c:numRef>
          </c:val>
        </c:ser>
        <c:dLbls>
          <c:showLegendKey val="0"/>
          <c:showVal val="1"/>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693948891031823"/>
          <c:y val="0.191383786590511"/>
          <c:w val="0.291586306653809"/>
          <c:h val="0.703219315895372"/>
        </c:manualLayout>
      </c:layout>
      <c:overlay val="0"/>
      <c:spPr>
        <a:noFill/>
        <a:ln>
          <a:noFill/>
        </a:ln>
        <a:effectLst/>
      </c:spPr>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0e872b-1d82-4eef-b6bf-e5171d7f117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1">
                    <a:lumMod val="75000"/>
                    <a:lumOff val="25000"/>
                  </a:schemeClr>
                </a:solidFill>
                <a:latin typeface="+mn-lt"/>
                <a:ea typeface="+mn-ea"/>
                <a:cs typeface="+mn-cs"/>
              </a:defRPr>
            </a:pPr>
            <a:r>
              <a:rPr sz="1600"/>
              <a:t> 历年国有土地使用权出让收入情况图</a:t>
            </a:r>
            <a:endParaRPr sz="1600"/>
          </a:p>
        </c:rich>
      </c:tx>
      <c:layout/>
      <c:overlay val="0"/>
      <c:spPr>
        <a:noFill/>
        <a:ln>
          <a:noFill/>
        </a:ln>
        <a:effectLst/>
      </c:spPr>
    </c:title>
    <c:autoTitleDeleted val="0"/>
    <c:plotArea>
      <c:layout/>
      <c:barChart>
        <c:barDir val="col"/>
        <c:grouping val="clustered"/>
        <c:varyColors val="0"/>
        <c:ser>
          <c:idx val="0"/>
          <c:order val="0"/>
          <c:tx>
            <c:strRef>
              <c:f>[工作簿2]Sheet1!$B$1</c:f>
              <c:strCache>
                <c:ptCount val="1"/>
                <c:pt idx="0">
                  <c:v>地方政府性基金收入</c:v>
                </c:pt>
              </c:strCache>
            </c:strRef>
          </c:tx>
          <c:spPr>
            <a:solidFill>
              <a:schemeClr val="accent1"/>
            </a:solidFill>
            <a:ln>
              <a:noFill/>
            </a:ln>
            <a:effectLst/>
          </c:spPr>
          <c:invertIfNegative val="0"/>
          <c:dLbls>
            <c:delete val="1"/>
          </c:dLbls>
          <c:cat>
            <c:numRef>
              <c:f>[工作簿2]Sheet1!$A$2:$A$6</c:f>
              <c:numCache>
                <c:formatCode>General</c:formatCode>
                <c:ptCount val="5"/>
                <c:pt idx="0">
                  <c:v>2021</c:v>
                </c:pt>
                <c:pt idx="1">
                  <c:v>2022</c:v>
                </c:pt>
                <c:pt idx="2">
                  <c:v>2023</c:v>
                </c:pt>
                <c:pt idx="3">
                  <c:v>2024</c:v>
                </c:pt>
                <c:pt idx="4">
                  <c:v>2025</c:v>
                </c:pt>
              </c:numCache>
            </c:numRef>
          </c:cat>
          <c:val>
            <c:numRef>
              <c:f>[工作簿2]Sheet1!$B$2:$B$6</c:f>
              <c:numCache>
                <c:formatCode>_ * #,##0.00_ ;_ * \-#,##0.00_ ;_ * "-"??_ ;_ @_ </c:formatCode>
                <c:ptCount val="5"/>
                <c:pt idx="0">
                  <c:v>16526</c:v>
                </c:pt>
                <c:pt idx="1">
                  <c:v>12887</c:v>
                </c:pt>
                <c:pt idx="2">
                  <c:v>5106</c:v>
                </c:pt>
                <c:pt idx="3">
                  <c:v>4693</c:v>
                </c:pt>
                <c:pt idx="4">
                  <c:v>4539</c:v>
                </c:pt>
              </c:numCache>
            </c:numRef>
          </c:val>
        </c:ser>
        <c:ser>
          <c:idx val="1"/>
          <c:order val="1"/>
          <c:tx>
            <c:strRef>
              <c:f>[工作簿2]Sheet1!$C$1</c:f>
              <c:strCache>
                <c:ptCount val="1"/>
                <c:pt idx="0">
                  <c:v>国有土地使用权出让收入</c:v>
                </c:pt>
              </c:strCache>
            </c:strRef>
          </c:tx>
          <c:spPr>
            <a:solidFill>
              <a:schemeClr val="accent2"/>
            </a:solidFill>
            <a:ln>
              <a:noFill/>
            </a:ln>
            <a:effectLst/>
          </c:spPr>
          <c:invertIfNegative val="0"/>
          <c:dLbls>
            <c:delete val="1"/>
          </c:dLbls>
          <c:cat>
            <c:numRef>
              <c:f>[工作簿2]Sheet1!$A$2:$A$6</c:f>
              <c:numCache>
                <c:formatCode>General</c:formatCode>
                <c:ptCount val="5"/>
                <c:pt idx="0">
                  <c:v>2021</c:v>
                </c:pt>
                <c:pt idx="1">
                  <c:v>2022</c:v>
                </c:pt>
                <c:pt idx="2">
                  <c:v>2023</c:v>
                </c:pt>
                <c:pt idx="3">
                  <c:v>2024</c:v>
                </c:pt>
                <c:pt idx="4">
                  <c:v>2025</c:v>
                </c:pt>
              </c:numCache>
            </c:numRef>
          </c:cat>
          <c:val>
            <c:numRef>
              <c:f>[工作簿2]Sheet1!$C$2:$C$6</c:f>
              <c:numCache>
                <c:formatCode>_ * #,##0.00_ ;_ * \-#,##0.00_ ;_ * "-"??_ ;_ @_ </c:formatCode>
                <c:ptCount val="5"/>
                <c:pt idx="0">
                  <c:v>13613</c:v>
                </c:pt>
                <c:pt idx="1">
                  <c:v>12219</c:v>
                </c:pt>
                <c:pt idx="2">
                  <c:v>3351</c:v>
                </c:pt>
                <c:pt idx="3">
                  <c:v>3710</c:v>
                </c:pt>
                <c:pt idx="4">
                  <c:v>3342</c:v>
                </c:pt>
              </c:numCache>
            </c:numRef>
          </c:val>
        </c:ser>
        <c:dLbls>
          <c:showLegendKey val="0"/>
          <c:showVal val="1"/>
          <c:showCatName val="0"/>
          <c:showSerName val="0"/>
          <c:showPercent val="0"/>
          <c:showBubbleSize val="0"/>
        </c:dLbls>
        <c:gapWidth val="219"/>
        <c:overlap val="-27"/>
        <c:axId val="564971169"/>
        <c:axId val="246578332"/>
      </c:barChart>
      <c:lineChart>
        <c:grouping val="standard"/>
        <c:varyColors val="0"/>
        <c:ser>
          <c:idx val="2"/>
          <c:order val="2"/>
          <c:tx>
            <c:strRef>
              <c:f>[工作簿2]Sheet1!$D$1</c:f>
              <c:strCache>
                <c:ptCount val="1"/>
                <c:pt idx="0">
                  <c:v>占比</c:v>
                </c:pt>
              </c:strCache>
            </c:strRef>
          </c:tx>
          <c:spPr>
            <a:ln w="28575" cap="rnd">
              <a:solidFill>
                <a:schemeClr val="accent3"/>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[工作簿2]Sheet1!$D$2:$D$6</c:f>
              <c:numCache>
                <c:formatCode>0.00%</c:formatCode>
                <c:ptCount val="5"/>
                <c:pt idx="0">
                  <c:v>0.823732300617209</c:v>
                </c:pt>
                <c:pt idx="1">
                  <c:v>0.948164817257702</c:v>
                </c:pt>
                <c:pt idx="2">
                  <c:v>0.656286721504113</c:v>
                </c:pt>
                <c:pt idx="3">
                  <c:v>0.790539100788408</c:v>
                </c:pt>
                <c:pt idx="4">
                  <c:v>0.736285525446133</c:v>
                </c:pt>
              </c:numCache>
            </c:numRef>
          </c:val>
          <c:smooth val="0"/>
        </c:ser>
        <c:dLbls>
          <c:showLegendKey val="0"/>
          <c:showVal val="1"/>
          <c:showCatName val="0"/>
          <c:showSerName val="0"/>
          <c:showPercent val="0"/>
          <c:showBubbleSize val="0"/>
        </c:dLbls>
        <c:marker val="0"/>
        <c:smooth val="0"/>
        <c:axId val="675830974"/>
        <c:axId val="52899000"/>
      </c:lineChart>
      <c:catAx>
        <c:axId val="5649711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crossAx val="246578332"/>
        <c:crosses val="autoZero"/>
        <c:auto val="1"/>
        <c:lblAlgn val="ctr"/>
        <c:lblOffset val="100"/>
        <c:noMultiLvlLbl val="0"/>
      </c:catAx>
      <c:valAx>
        <c:axId val="246578332"/>
        <c:scaling>
          <c:orientation val="minMax"/>
        </c:scaling>
        <c:delete val="0"/>
        <c:axPos val="l"/>
        <c:majorGridlines>
          <c:spPr>
            <a:ln w="9525" cap="flat" cmpd="sng" algn="ctr">
              <a:solidFill>
                <a:schemeClr val="lt1">
                  <a:lumMod val="90200"/>
                </a:schemeClr>
              </a:solidFill>
              <a:round/>
            </a:ln>
            <a:effectLst/>
          </c:spPr>
        </c:majorGridlines>
        <c:numFmt formatCode="_ * #,##0.00_ ;_ * \-#,##0.00_ ;_ * &quot;-&quot;??_ ;_ @_ " sourceLinked="1"/>
        <c:majorTickMark val="none"/>
        <c:minorTickMark val="none"/>
        <c:tickLblPos val="nextTo"/>
        <c:spPr>
          <a:noFill/>
          <a:ln>
            <a:noFill/>
          </a:ln>
          <a:effectLst/>
        </c:spPr>
        <c:txPr>
          <a:bodyPr rot="-6000000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crossAx val="564971169"/>
        <c:crosses val="autoZero"/>
        <c:crossBetween val="between"/>
      </c:valAx>
      <c:catAx>
        <c:axId val="675830974"/>
        <c:scaling>
          <c:orientation val="minMax"/>
        </c:scaling>
        <c:delete val="1"/>
        <c:axPos val="b"/>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crossAx val="52899000"/>
        <c:crosses val="autoZero"/>
        <c:auto val="1"/>
        <c:lblAlgn val="ctr"/>
        <c:lblOffset val="100"/>
        <c:noMultiLvlLbl val="0"/>
      </c:catAx>
      <c:valAx>
        <c:axId val="52899000"/>
        <c:scaling>
          <c:orientation val="minMax"/>
        </c:scaling>
        <c:delete val="0"/>
        <c:axPos val="r"/>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crossAx val="675830974"/>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7ab560c-8a20-4b4b-bcbd-f723050aef32}"/>
      </c:ext>
    </c:extLst>
  </c:chart>
  <c:spPr>
    <a:solidFill>
      <a:schemeClr val="bg1"/>
    </a:solidFill>
    <a:ln w="9525" cap="flat" cmpd="sng" algn="ctr">
      <a:noFill/>
      <a:round/>
    </a:ln>
    <a:effectLst/>
  </c:spPr>
  <c:txPr>
    <a:bodyPr/>
    <a:lstStyle/>
    <a:p>
      <a:pPr>
        <a:defRPr lang="zh-CN" sz="105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7</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2026-05-08T02:31:32Z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3A92DB02EFE448358BDFACA8BB3335CB_12</vt:lpwstr>
  </property>
</Properties>
</file>