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FC834">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b w:val="0"/>
          <w:bCs/>
          <w:color w:val="auto"/>
          <w:sz w:val="44"/>
          <w:szCs w:val="44"/>
        </w:rPr>
      </w:pPr>
    </w:p>
    <w:p w14:paraId="05A3C191">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白沙县202</w:t>
      </w:r>
      <w:r>
        <w:rPr>
          <w:rFonts w:hint="eastAsia" w:ascii="方正小标宋简体" w:hAnsi="方正小标宋简体" w:eastAsia="方正小标宋简体" w:cs="方正小标宋简体"/>
          <w:b w:val="0"/>
          <w:bCs/>
          <w:color w:val="auto"/>
          <w:sz w:val="44"/>
          <w:szCs w:val="44"/>
          <w:lang w:val="en-US" w:eastAsia="zh-CN"/>
        </w:rPr>
        <w:t>5</w:t>
      </w:r>
      <w:r>
        <w:rPr>
          <w:rFonts w:hint="eastAsia" w:ascii="方正小标宋简体" w:hAnsi="方正小标宋简体" w:eastAsia="方正小标宋简体" w:cs="方正小标宋简体"/>
          <w:b w:val="0"/>
          <w:bCs/>
          <w:color w:val="auto"/>
          <w:sz w:val="44"/>
          <w:szCs w:val="44"/>
        </w:rPr>
        <w:t>年度财政总决算报表附注</w:t>
      </w:r>
    </w:p>
    <w:p w14:paraId="59D2E431">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b/>
          <w:color w:val="auto"/>
          <w:sz w:val="44"/>
          <w:szCs w:val="44"/>
        </w:rPr>
      </w:pPr>
    </w:p>
    <w:p w14:paraId="3273E65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contextualSpacing/>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eastAsia="zh-CN"/>
        </w:rPr>
        <w:t>一、</w:t>
      </w:r>
      <w:r>
        <w:rPr>
          <w:rFonts w:hint="eastAsia" w:ascii="黑体" w:hAnsi="黑体" w:eastAsia="黑体" w:cs="黑体"/>
          <w:b w:val="0"/>
          <w:bCs/>
          <w:color w:val="auto"/>
          <w:sz w:val="32"/>
          <w:szCs w:val="32"/>
        </w:rPr>
        <w:t>一般公共预算收支决算总表</w:t>
      </w:r>
    </w:p>
    <w:p w14:paraId="375AB4FE">
      <w:pPr>
        <w:keepNext w:val="0"/>
        <w:keepLines w:val="0"/>
        <w:pageBreakBefore w:val="0"/>
        <w:widowControl w:val="0"/>
        <w:kinsoku/>
        <w:wordWrap/>
        <w:overflowPunct/>
        <w:topLinePunct w:val="0"/>
        <w:autoSpaceDE/>
        <w:autoSpaceDN/>
        <w:bidi w:val="0"/>
        <w:adjustRightInd/>
        <w:snapToGrid w:val="0"/>
        <w:spacing w:line="560" w:lineRule="exact"/>
        <w:ind w:firstLine="640"/>
        <w:contextualSpacing/>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一般公共预算支出决算</w:t>
      </w:r>
    </w:p>
    <w:p w14:paraId="4DF285DF">
      <w:pPr>
        <w:keepNext w:val="0"/>
        <w:keepLines w:val="0"/>
        <w:pageBreakBefore w:val="0"/>
        <w:widowControl w:val="0"/>
        <w:kinsoku/>
        <w:wordWrap/>
        <w:overflowPunct/>
        <w:topLinePunct w:val="0"/>
        <w:autoSpaceDE/>
        <w:autoSpaceDN/>
        <w:bidi w:val="0"/>
        <w:adjustRightInd/>
        <w:snapToGrid w:val="0"/>
        <w:spacing w:line="560" w:lineRule="exact"/>
        <w:ind w:firstLine="640"/>
        <w:contextualSpacing/>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2025年，县本级地方一般公共预算支出355063万元，同比增长14.74%，增支45623万元，从支出的具体科目看，部分科目较上年度有较大变动，具体情况如下：</w:t>
      </w:r>
    </w:p>
    <w:p w14:paraId="5850B39A">
      <w:pPr>
        <w:keepNext w:val="0"/>
        <w:keepLines w:val="0"/>
        <w:pageBreakBefore w:val="0"/>
        <w:widowControl w:val="0"/>
        <w:kinsoku/>
        <w:wordWrap/>
        <w:overflowPunct/>
        <w:topLinePunct w:val="0"/>
        <w:autoSpaceDE/>
        <w:autoSpaceDN/>
        <w:bidi w:val="0"/>
        <w:adjustRightInd/>
        <w:snapToGrid w:val="0"/>
        <w:spacing w:line="560" w:lineRule="exact"/>
        <w:ind w:firstLine="640"/>
        <w:contextualSpacing/>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一般公共服务支出41603万元，同比增长28.73%，增支9284万元，主要原因为于本年度清偿拖欠企业账款4889万元以及支付七坊镇龙江居、珠碧江居农垦运行经费、邦溪镇盛胜养猪场清退补偿款及天蓬种猪养殖场关闭搬迁补偿款、与媒体合作经费等。</w:t>
      </w:r>
    </w:p>
    <w:p w14:paraId="6C792CA0">
      <w:pPr>
        <w:keepNext w:val="0"/>
        <w:keepLines w:val="0"/>
        <w:pageBreakBefore w:val="0"/>
        <w:widowControl w:val="0"/>
        <w:kinsoku/>
        <w:wordWrap/>
        <w:overflowPunct/>
        <w:topLinePunct w:val="0"/>
        <w:autoSpaceDE/>
        <w:autoSpaceDN/>
        <w:bidi w:val="0"/>
        <w:adjustRightInd/>
        <w:snapToGrid w:val="0"/>
        <w:spacing w:line="560" w:lineRule="exact"/>
        <w:ind w:firstLine="640"/>
        <w:contextualSpacing/>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公共安全支出15080万元，同比增长21.28%，增支2646万元，主要原因为本年度存在支付编外长聘人员工资福利（辅警、协警）及消化暂付款</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rPr>
        <w:t>大额支出。</w:t>
      </w:r>
    </w:p>
    <w:p w14:paraId="5DEA758B">
      <w:pPr>
        <w:keepNext w:val="0"/>
        <w:keepLines w:val="0"/>
        <w:pageBreakBefore w:val="0"/>
        <w:widowControl w:val="0"/>
        <w:kinsoku/>
        <w:wordWrap/>
        <w:overflowPunct/>
        <w:topLinePunct w:val="0"/>
        <w:autoSpaceDE/>
        <w:autoSpaceDN/>
        <w:bidi w:val="0"/>
        <w:adjustRightInd/>
        <w:snapToGrid w:val="0"/>
        <w:spacing w:line="560" w:lineRule="exact"/>
        <w:ind w:firstLine="640"/>
        <w:contextualSpacing/>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文化旅游体育与传媒支出7200万元，同比增长95.65%，增</w:t>
      </w:r>
      <w:r>
        <w:rPr>
          <w:rFonts w:hint="eastAsia" w:ascii="仿宋_GB2312" w:hAnsi="仿宋_GB2312" w:eastAsia="仿宋_GB2312" w:cs="仿宋_GB2312"/>
          <w:color w:val="auto"/>
          <w:sz w:val="32"/>
          <w:szCs w:val="32"/>
          <w:highlight w:val="none"/>
          <w:lang w:eastAsia="zh-CN"/>
        </w:rPr>
        <w:t>支</w:t>
      </w:r>
      <w:r>
        <w:rPr>
          <w:rFonts w:hint="eastAsia" w:ascii="仿宋_GB2312" w:hAnsi="仿宋_GB2312" w:eastAsia="仿宋_GB2312" w:cs="仿宋_GB2312"/>
          <w:color w:val="auto"/>
          <w:sz w:val="32"/>
          <w:szCs w:val="32"/>
          <w:highlight w:val="none"/>
        </w:rPr>
        <w:t>3520万元，主要原因：一是支付海南白沙方亮体育公园项目建设经费（琼财建〔2025〕578号）、国家体育训练南方基地（海南白沙.综合）综合体能训练中心项目以及白沙县打安镇长岭村乡村旅游建设项目经费等；二是清偿拖欠企业账款。</w:t>
      </w:r>
    </w:p>
    <w:p w14:paraId="4E784EDB">
      <w:pPr>
        <w:keepNext w:val="0"/>
        <w:keepLines w:val="0"/>
        <w:pageBreakBefore w:val="0"/>
        <w:widowControl w:val="0"/>
        <w:kinsoku/>
        <w:wordWrap/>
        <w:overflowPunct/>
        <w:topLinePunct w:val="0"/>
        <w:autoSpaceDE/>
        <w:autoSpaceDN/>
        <w:bidi w:val="0"/>
        <w:adjustRightInd/>
        <w:snapToGrid w:val="0"/>
        <w:spacing w:line="560" w:lineRule="exact"/>
        <w:ind w:firstLine="640"/>
        <w:contextualSpacing/>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社会保障和就业支出62737万元，同比增长24.74%，增支12441万元，主要原因：一是根据（琼人社发〔2025〕60号）文件要求，2025年7月1日起中央基础养老金标准由123元调整为143元，且丧葬补助金发放由中央基础养老金为标准发放。二是2025年清退个人账户支出1057万元以及年中调增机关养老金待遇。三是拨付被征地农民基本养老保险缴费补贴3000万元。</w:t>
      </w:r>
    </w:p>
    <w:p w14:paraId="4CE0FFA0">
      <w:pPr>
        <w:keepNext w:val="0"/>
        <w:keepLines w:val="0"/>
        <w:pageBreakBefore w:val="0"/>
        <w:widowControl w:val="0"/>
        <w:kinsoku/>
        <w:wordWrap/>
        <w:overflowPunct/>
        <w:topLinePunct w:val="0"/>
        <w:autoSpaceDE/>
        <w:autoSpaceDN/>
        <w:bidi w:val="0"/>
        <w:adjustRightInd/>
        <w:snapToGrid w:val="0"/>
        <w:spacing w:line="560" w:lineRule="exact"/>
        <w:ind w:firstLine="640"/>
        <w:contextualSpacing/>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卫生健康支出34121万元，同比增长27.62%，增支7384万元，主要原因为清偿拖欠企业账款5588万元以及支付2024年基层卫生专业技术人才激励补助资金。</w:t>
      </w:r>
    </w:p>
    <w:p w14:paraId="648D5006">
      <w:pPr>
        <w:keepNext w:val="0"/>
        <w:keepLines w:val="0"/>
        <w:pageBreakBefore w:val="0"/>
        <w:widowControl w:val="0"/>
        <w:kinsoku/>
        <w:wordWrap/>
        <w:overflowPunct/>
        <w:topLinePunct w:val="0"/>
        <w:autoSpaceDE/>
        <w:autoSpaceDN/>
        <w:bidi w:val="0"/>
        <w:adjustRightInd/>
        <w:snapToGrid w:val="0"/>
        <w:spacing w:line="560" w:lineRule="exact"/>
        <w:ind w:firstLine="640"/>
        <w:contextualSpacing/>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节能环保支出16335万元，同比增长21.04%，增支2839万元，主要是清偿拖欠企业账款6331万元，水体支出3876万元，较上年下降2234万元，降幅36.56%，系上年度存在污水处理厂尾水人工湿地水质净化项目建设（琼财资环〔2022〕1088号），2025年无此项支出。</w:t>
      </w:r>
    </w:p>
    <w:p w14:paraId="286DAC00">
      <w:pPr>
        <w:keepNext w:val="0"/>
        <w:keepLines w:val="0"/>
        <w:pageBreakBefore w:val="0"/>
        <w:widowControl w:val="0"/>
        <w:kinsoku/>
        <w:wordWrap/>
        <w:overflowPunct/>
        <w:topLinePunct w:val="0"/>
        <w:autoSpaceDE/>
        <w:autoSpaceDN/>
        <w:bidi w:val="0"/>
        <w:adjustRightInd/>
        <w:snapToGrid w:val="0"/>
        <w:spacing w:line="560" w:lineRule="exact"/>
        <w:ind w:firstLine="640"/>
        <w:contextualSpacing/>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城乡社区支出14944万元，同比增长51.58%，增支5085万元，主要原因：一是</w:t>
      </w:r>
      <w:r>
        <w:rPr>
          <w:rFonts w:hint="eastAsia" w:ascii="仿宋_GB2312" w:hAnsi="仿宋_GB2312" w:eastAsia="仿宋_GB2312" w:cs="仿宋_GB2312"/>
          <w:color w:val="auto"/>
          <w:sz w:val="32"/>
          <w:szCs w:val="32"/>
          <w:highlight w:val="none"/>
          <w:lang w:eastAsia="zh-CN"/>
        </w:rPr>
        <w:t>支付</w:t>
      </w:r>
      <w:r>
        <w:rPr>
          <w:rFonts w:hint="eastAsia" w:ascii="仿宋_GB2312" w:hAnsi="仿宋_GB2312" w:eastAsia="仿宋_GB2312" w:cs="仿宋_GB2312"/>
          <w:color w:val="auto"/>
          <w:sz w:val="32"/>
          <w:szCs w:val="32"/>
          <w:highlight w:val="none"/>
        </w:rPr>
        <w:t>城市地下管网及设施专项县城污水治理项目3182万元</w:t>
      </w:r>
      <w:r>
        <w:rPr>
          <w:rFonts w:hint="eastAsia" w:ascii="仿宋_GB2312" w:hAnsi="仿宋_GB2312" w:eastAsia="仿宋_GB2312" w:cs="仿宋_GB2312"/>
          <w:color w:val="auto"/>
          <w:sz w:val="32"/>
          <w:szCs w:val="32"/>
          <w:highlight w:val="none"/>
          <w:lang w:eastAsia="zh-CN"/>
        </w:rPr>
        <w:t>经费</w:t>
      </w:r>
      <w:r>
        <w:rPr>
          <w:rFonts w:hint="eastAsia" w:ascii="仿宋_GB2312" w:hAnsi="仿宋_GB2312" w:eastAsia="仿宋_GB2312" w:cs="仿宋_GB2312"/>
          <w:color w:val="auto"/>
          <w:sz w:val="32"/>
          <w:szCs w:val="32"/>
          <w:highlight w:val="none"/>
        </w:rPr>
        <w:t>（琼财建〔2024〕1498号）；二是清偿拖欠企业账款969万元。</w:t>
      </w:r>
    </w:p>
    <w:p w14:paraId="68861D3E">
      <w:pPr>
        <w:keepNext w:val="0"/>
        <w:keepLines w:val="0"/>
        <w:pageBreakBefore w:val="0"/>
        <w:widowControl w:val="0"/>
        <w:kinsoku/>
        <w:wordWrap/>
        <w:overflowPunct/>
        <w:topLinePunct w:val="0"/>
        <w:autoSpaceDE/>
        <w:autoSpaceDN/>
        <w:bidi w:val="0"/>
        <w:adjustRightInd/>
        <w:snapToGrid w:val="0"/>
        <w:spacing w:line="560" w:lineRule="exact"/>
        <w:ind w:firstLine="640"/>
        <w:contextualSpacing/>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农林水支出70702万元，</w:t>
      </w:r>
      <w:r>
        <w:rPr>
          <w:rFonts w:hint="eastAsia" w:ascii="仿宋_GB2312" w:hAnsi="仿宋_GB2312" w:eastAsia="仿宋_GB2312" w:cs="仿宋_GB2312"/>
          <w:color w:val="auto"/>
          <w:sz w:val="32"/>
          <w:szCs w:val="32"/>
          <w:highlight w:val="none"/>
          <w:lang w:eastAsia="zh-CN"/>
        </w:rPr>
        <w:t>同比下降</w:t>
      </w:r>
      <w:r>
        <w:rPr>
          <w:rFonts w:hint="eastAsia" w:ascii="仿宋_GB2312" w:hAnsi="仿宋_GB2312" w:eastAsia="仿宋_GB2312" w:cs="仿宋_GB2312"/>
          <w:color w:val="auto"/>
          <w:sz w:val="32"/>
          <w:szCs w:val="32"/>
          <w:highlight w:val="none"/>
        </w:rPr>
        <w:t>13.36%，</w:t>
      </w:r>
      <w:r>
        <w:rPr>
          <w:rFonts w:hint="eastAsia" w:ascii="仿宋_GB2312" w:hAnsi="仿宋_GB2312" w:eastAsia="仿宋_GB2312" w:cs="仿宋_GB2312"/>
          <w:color w:val="auto"/>
          <w:sz w:val="32"/>
          <w:szCs w:val="32"/>
          <w:highlight w:val="none"/>
          <w:lang w:eastAsia="zh-CN"/>
        </w:rPr>
        <w:t>减支</w:t>
      </w:r>
      <w:r>
        <w:rPr>
          <w:rFonts w:hint="eastAsia" w:ascii="仿宋_GB2312" w:hAnsi="仿宋_GB2312" w:eastAsia="仿宋_GB2312" w:cs="仿宋_GB2312"/>
          <w:color w:val="auto"/>
          <w:sz w:val="32"/>
          <w:szCs w:val="32"/>
          <w:highlight w:val="none"/>
        </w:rPr>
        <w:t>10907万元，主要原因是上年度存在白沙县珠碧江灌区改造工程项目（琼财农〔2023〕1610号）等，2025年无此项支出。</w:t>
      </w:r>
    </w:p>
    <w:p w14:paraId="2C454638">
      <w:pPr>
        <w:keepNext w:val="0"/>
        <w:keepLines w:val="0"/>
        <w:pageBreakBefore w:val="0"/>
        <w:widowControl w:val="0"/>
        <w:kinsoku/>
        <w:wordWrap/>
        <w:overflowPunct/>
        <w:topLinePunct w:val="0"/>
        <w:autoSpaceDE/>
        <w:autoSpaceDN/>
        <w:bidi w:val="0"/>
        <w:adjustRightInd/>
        <w:snapToGrid w:val="0"/>
        <w:spacing w:line="560" w:lineRule="exact"/>
        <w:ind w:firstLine="640"/>
        <w:contextualSpacing/>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交通运输支出5399万元，同比增长60.88%，增支2043万元，主要原因：一是清偿拖欠企业账款，二是支付农村公路建设项目经费、海南海汽运输集团股份有限公司白沙分公司2022-2024年度村村通及城乡公交一体化运营补贴以及2025年度为民办实事项目城乡公交一体化城区公交运营补贴等。</w:t>
      </w:r>
    </w:p>
    <w:p w14:paraId="0956A00D">
      <w:pPr>
        <w:keepNext w:val="0"/>
        <w:keepLines w:val="0"/>
        <w:pageBreakBefore w:val="0"/>
        <w:widowControl w:val="0"/>
        <w:kinsoku/>
        <w:wordWrap/>
        <w:overflowPunct/>
        <w:topLinePunct w:val="0"/>
        <w:autoSpaceDE/>
        <w:autoSpaceDN/>
        <w:bidi w:val="0"/>
        <w:adjustRightInd/>
        <w:snapToGrid w:val="0"/>
        <w:spacing w:line="560" w:lineRule="exact"/>
        <w:ind w:firstLine="640"/>
        <w:contextualSpacing/>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资源勘探工业信息等支出957万元，同比增长79.89%，增支425万元，主要为支付自来水公司化验楼建设资金212万元、新建县城生猪定点屠宰厂建设工程项目资产处置土地出让金 261万元。</w:t>
      </w:r>
    </w:p>
    <w:p w14:paraId="34BC0E70">
      <w:pPr>
        <w:keepNext w:val="0"/>
        <w:keepLines w:val="0"/>
        <w:pageBreakBefore w:val="0"/>
        <w:widowControl w:val="0"/>
        <w:kinsoku/>
        <w:wordWrap/>
        <w:overflowPunct/>
        <w:topLinePunct w:val="0"/>
        <w:autoSpaceDE/>
        <w:autoSpaceDN/>
        <w:bidi w:val="0"/>
        <w:adjustRightInd/>
        <w:snapToGrid w:val="0"/>
        <w:spacing w:line="560" w:lineRule="exact"/>
        <w:ind w:firstLine="640"/>
        <w:contextualSpacing/>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11.</w:t>
      </w:r>
      <w:r>
        <w:rPr>
          <w:rFonts w:hint="eastAsia" w:ascii="仿宋_GB2312" w:hAnsi="仿宋_GB2312" w:eastAsia="仿宋_GB2312" w:cs="仿宋_GB2312"/>
          <w:color w:val="auto"/>
          <w:sz w:val="32"/>
          <w:szCs w:val="32"/>
          <w:highlight w:val="none"/>
        </w:rPr>
        <w:t>商业服务业等支出1844万元，同比增长241.48%，增支1304万元，主要受本年度支付菜篮子保供稳价运营工作经费、狮球社区及卫星社区服务业发展资金（琼财建〔2024〕1339号）、打安镇卫星社区商业街新建项目及狮球社区集市升级改造项目资金（琼财建〔2025〕1353号）以及清偿拖欠企业账款影响。</w:t>
      </w:r>
    </w:p>
    <w:p w14:paraId="4FC4A927">
      <w:pPr>
        <w:keepNext w:val="0"/>
        <w:keepLines w:val="0"/>
        <w:pageBreakBefore w:val="0"/>
        <w:widowControl w:val="0"/>
        <w:kinsoku/>
        <w:wordWrap/>
        <w:overflowPunct/>
        <w:topLinePunct w:val="0"/>
        <w:autoSpaceDE/>
        <w:autoSpaceDN/>
        <w:bidi w:val="0"/>
        <w:adjustRightInd/>
        <w:snapToGrid w:val="0"/>
        <w:spacing w:line="560" w:lineRule="exact"/>
        <w:ind w:firstLine="640"/>
        <w:contextualSpacing/>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12.</w:t>
      </w:r>
      <w:r>
        <w:rPr>
          <w:rFonts w:hint="eastAsia" w:ascii="仿宋_GB2312" w:hAnsi="仿宋_GB2312" w:eastAsia="仿宋_GB2312" w:cs="仿宋_GB2312"/>
          <w:color w:val="auto"/>
          <w:sz w:val="32"/>
          <w:szCs w:val="32"/>
          <w:highlight w:val="none"/>
        </w:rPr>
        <w:t>自然资源海洋气象等支出5353万元，</w:t>
      </w:r>
      <w:r>
        <w:rPr>
          <w:rFonts w:hint="eastAsia" w:ascii="仿宋_GB2312" w:hAnsi="仿宋_GB2312" w:eastAsia="仿宋_GB2312" w:cs="仿宋_GB2312"/>
          <w:color w:val="auto"/>
          <w:sz w:val="32"/>
          <w:szCs w:val="32"/>
          <w:highlight w:val="none"/>
          <w:lang w:eastAsia="zh-CN"/>
        </w:rPr>
        <w:t>同比增长</w:t>
      </w:r>
      <w:r>
        <w:rPr>
          <w:rFonts w:hint="eastAsia" w:ascii="仿宋_GB2312" w:hAnsi="仿宋_GB2312" w:eastAsia="仿宋_GB2312" w:cs="仿宋_GB2312"/>
          <w:color w:val="auto"/>
          <w:sz w:val="32"/>
          <w:szCs w:val="32"/>
          <w:highlight w:val="none"/>
        </w:rPr>
        <w:t>278.57%，</w:t>
      </w:r>
      <w:r>
        <w:rPr>
          <w:rFonts w:hint="eastAsia" w:ascii="仿宋_GB2312" w:hAnsi="仿宋_GB2312" w:eastAsia="仿宋_GB2312" w:cs="仿宋_GB2312"/>
          <w:color w:val="auto"/>
          <w:sz w:val="32"/>
          <w:szCs w:val="32"/>
          <w:highlight w:val="none"/>
          <w:lang w:eastAsia="zh-CN"/>
        </w:rPr>
        <w:t>增支</w:t>
      </w:r>
      <w:r>
        <w:rPr>
          <w:rFonts w:hint="eastAsia" w:ascii="仿宋_GB2312" w:hAnsi="仿宋_GB2312" w:eastAsia="仿宋_GB2312" w:cs="仿宋_GB2312"/>
          <w:color w:val="auto"/>
          <w:sz w:val="32"/>
          <w:szCs w:val="32"/>
          <w:highlight w:val="none"/>
        </w:rPr>
        <w:t>3939万元，主要为清偿拖欠企业账款3338万元。</w:t>
      </w:r>
    </w:p>
    <w:p w14:paraId="1CDED4B4">
      <w:pPr>
        <w:keepNext w:val="0"/>
        <w:keepLines w:val="0"/>
        <w:pageBreakBefore w:val="0"/>
        <w:widowControl w:val="0"/>
        <w:kinsoku/>
        <w:wordWrap/>
        <w:overflowPunct/>
        <w:topLinePunct w:val="0"/>
        <w:autoSpaceDE/>
        <w:autoSpaceDN/>
        <w:bidi w:val="0"/>
        <w:adjustRightInd/>
        <w:snapToGrid w:val="0"/>
        <w:spacing w:line="560" w:lineRule="exact"/>
        <w:ind w:firstLine="640"/>
        <w:contextualSpacing/>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13.</w:t>
      </w:r>
      <w:r>
        <w:rPr>
          <w:rFonts w:hint="eastAsia" w:ascii="仿宋_GB2312" w:hAnsi="仿宋_GB2312" w:eastAsia="仿宋_GB2312" w:cs="仿宋_GB2312"/>
          <w:color w:val="auto"/>
          <w:sz w:val="32"/>
          <w:szCs w:val="32"/>
          <w:highlight w:val="none"/>
        </w:rPr>
        <w:t>粮油物资储备支出388万元，同比增长48.66%,增支127万元，主要原因:一是本年度清偿拖欠企业账款45万元；二是拨付2025年县级储备粮经费较上一年度增长59万元。</w:t>
      </w:r>
    </w:p>
    <w:p w14:paraId="30742273">
      <w:pPr>
        <w:keepNext w:val="0"/>
        <w:keepLines w:val="0"/>
        <w:pageBreakBefore w:val="0"/>
        <w:widowControl w:val="0"/>
        <w:kinsoku/>
        <w:wordWrap/>
        <w:overflowPunct/>
        <w:topLinePunct w:val="0"/>
        <w:autoSpaceDE/>
        <w:autoSpaceDN/>
        <w:bidi w:val="0"/>
        <w:adjustRightInd/>
        <w:snapToGrid w:val="0"/>
        <w:spacing w:line="560" w:lineRule="exact"/>
        <w:ind w:firstLine="640"/>
        <w:contextualSpacing/>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14.</w:t>
      </w:r>
      <w:r>
        <w:rPr>
          <w:rFonts w:hint="eastAsia" w:ascii="仿宋_GB2312" w:hAnsi="仿宋_GB2312" w:eastAsia="仿宋_GB2312" w:cs="仿宋_GB2312"/>
          <w:color w:val="auto"/>
          <w:sz w:val="32"/>
          <w:szCs w:val="32"/>
          <w:highlight w:val="none"/>
        </w:rPr>
        <w:t>灾害防治及应急管理支出2531万元，同比增长79.12%，增支1118万元，主要原因：一是支付中央自然灾害救灾资金；二是清偿拖欠企业账款。</w:t>
      </w:r>
    </w:p>
    <w:p w14:paraId="7E289948">
      <w:pPr>
        <w:keepNext w:val="0"/>
        <w:keepLines w:val="0"/>
        <w:pageBreakBefore w:val="0"/>
        <w:widowControl w:val="0"/>
        <w:kinsoku/>
        <w:wordWrap/>
        <w:overflowPunct/>
        <w:topLinePunct w:val="0"/>
        <w:autoSpaceDE/>
        <w:autoSpaceDN/>
        <w:bidi w:val="0"/>
        <w:adjustRightInd/>
        <w:snapToGrid w:val="0"/>
        <w:spacing w:line="560" w:lineRule="exact"/>
        <w:ind w:firstLine="640"/>
        <w:contextualSpacing/>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债务发行费用支出35万元，</w:t>
      </w:r>
      <w:r>
        <w:rPr>
          <w:rFonts w:hint="eastAsia" w:ascii="仿宋_GB2312" w:hAnsi="仿宋_GB2312" w:eastAsia="仿宋_GB2312" w:cs="仿宋_GB2312"/>
          <w:color w:val="auto"/>
          <w:sz w:val="32"/>
          <w:szCs w:val="32"/>
          <w:highlight w:val="none"/>
          <w:lang w:eastAsia="zh-CN"/>
        </w:rPr>
        <w:t>同比增长</w:t>
      </w:r>
      <w:r>
        <w:rPr>
          <w:rFonts w:hint="eastAsia" w:ascii="仿宋_GB2312" w:hAnsi="仿宋_GB2312" w:eastAsia="仿宋_GB2312" w:cs="仿宋_GB2312"/>
          <w:color w:val="auto"/>
          <w:sz w:val="32"/>
          <w:szCs w:val="32"/>
          <w:highlight w:val="none"/>
          <w:lang w:val="en-US" w:eastAsia="zh-CN"/>
        </w:rPr>
        <w:t>52.17%</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增支</w:t>
      </w:r>
      <w:r>
        <w:rPr>
          <w:rFonts w:hint="eastAsia" w:ascii="仿宋_GB2312" w:hAnsi="仿宋_GB2312" w:eastAsia="仿宋_GB2312" w:cs="仿宋_GB2312"/>
          <w:color w:val="auto"/>
          <w:sz w:val="32"/>
          <w:szCs w:val="32"/>
          <w:highlight w:val="none"/>
          <w:lang w:val="en-US" w:eastAsia="zh-CN"/>
        </w:rPr>
        <w:t>12万元，</w:t>
      </w:r>
      <w:r>
        <w:rPr>
          <w:rFonts w:hint="eastAsia" w:ascii="仿宋_GB2312" w:hAnsi="仿宋_GB2312" w:eastAsia="仿宋_GB2312" w:cs="仿宋_GB2312"/>
          <w:color w:val="auto"/>
          <w:sz w:val="32"/>
          <w:szCs w:val="32"/>
          <w:highlight w:val="none"/>
        </w:rPr>
        <w:t>主要是202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发行一般</w:t>
      </w:r>
      <w:r>
        <w:rPr>
          <w:rFonts w:hint="eastAsia" w:ascii="仿宋_GB2312" w:hAnsi="仿宋_GB2312" w:eastAsia="仿宋_GB2312" w:cs="仿宋_GB2312"/>
          <w:color w:val="auto"/>
          <w:sz w:val="32"/>
          <w:szCs w:val="32"/>
          <w:highlight w:val="none"/>
        </w:rPr>
        <w:t>债券</w:t>
      </w:r>
      <w:r>
        <w:rPr>
          <w:rFonts w:hint="eastAsia" w:ascii="仿宋_GB2312" w:hAnsi="仿宋_GB2312" w:eastAsia="仿宋_GB2312" w:cs="仿宋_GB2312"/>
          <w:color w:val="auto"/>
          <w:sz w:val="32"/>
          <w:szCs w:val="32"/>
          <w:highlight w:val="none"/>
          <w:lang w:eastAsia="zh-CN"/>
        </w:rPr>
        <w:t>项目</w:t>
      </w:r>
      <w:r>
        <w:rPr>
          <w:rFonts w:hint="eastAsia" w:ascii="仿宋_GB2312" w:hAnsi="仿宋_GB2312" w:eastAsia="仿宋_GB2312" w:cs="仿宋_GB2312"/>
          <w:color w:val="auto"/>
          <w:sz w:val="32"/>
          <w:szCs w:val="32"/>
          <w:highlight w:val="none"/>
        </w:rPr>
        <w:t>数</w:t>
      </w:r>
      <w:r>
        <w:rPr>
          <w:rFonts w:hint="eastAsia" w:ascii="仿宋_GB2312" w:hAnsi="仿宋_GB2312" w:eastAsia="仿宋_GB2312" w:cs="仿宋_GB2312"/>
          <w:color w:val="auto"/>
          <w:sz w:val="32"/>
          <w:szCs w:val="32"/>
          <w:highlight w:val="none"/>
          <w:lang w:eastAsia="zh-CN"/>
        </w:rPr>
        <w:t>增加</w:t>
      </w:r>
      <w:r>
        <w:rPr>
          <w:rFonts w:hint="eastAsia" w:ascii="仿宋_GB2312" w:hAnsi="仿宋_GB2312" w:eastAsia="仿宋_GB2312" w:cs="仿宋_GB2312"/>
          <w:color w:val="auto"/>
          <w:sz w:val="32"/>
          <w:szCs w:val="32"/>
          <w:highlight w:val="none"/>
        </w:rPr>
        <w:t>。</w:t>
      </w:r>
    </w:p>
    <w:p w14:paraId="373F81B5">
      <w:pPr>
        <w:keepNext w:val="0"/>
        <w:keepLines w:val="0"/>
        <w:pageBreakBefore w:val="0"/>
        <w:widowControl w:val="0"/>
        <w:kinsoku/>
        <w:wordWrap/>
        <w:overflowPunct/>
        <w:topLinePunct w:val="0"/>
        <w:autoSpaceDE/>
        <w:autoSpaceDN/>
        <w:bidi w:val="0"/>
        <w:adjustRightInd/>
        <w:snapToGrid w:val="0"/>
        <w:spacing w:line="560" w:lineRule="exact"/>
        <w:ind w:firstLine="640"/>
        <w:contextualSpacing/>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16.</w:t>
      </w:r>
      <w:r>
        <w:rPr>
          <w:rFonts w:hint="eastAsia" w:ascii="仿宋_GB2312" w:hAnsi="仿宋_GB2312" w:eastAsia="仿宋_GB2312" w:cs="仿宋_GB2312"/>
          <w:color w:val="auto"/>
          <w:sz w:val="32"/>
          <w:szCs w:val="32"/>
          <w:highlight w:val="none"/>
        </w:rPr>
        <w:t>调入资金</w:t>
      </w:r>
      <w:r>
        <w:rPr>
          <w:rFonts w:hint="eastAsia" w:ascii="仿宋_GB2312" w:hAnsi="仿宋_GB2312" w:eastAsia="仿宋_GB2312" w:cs="仿宋_GB2312"/>
          <w:color w:val="auto"/>
          <w:sz w:val="32"/>
          <w:szCs w:val="32"/>
          <w:highlight w:val="none"/>
          <w:lang w:val="en-US" w:eastAsia="zh-CN"/>
        </w:rPr>
        <w:t>1914</w:t>
      </w:r>
      <w:r>
        <w:rPr>
          <w:rFonts w:hint="eastAsia" w:ascii="仿宋_GB2312" w:hAnsi="仿宋_GB2312" w:eastAsia="仿宋_GB2312" w:cs="仿宋_GB2312"/>
          <w:color w:val="auto"/>
          <w:sz w:val="32"/>
          <w:szCs w:val="32"/>
          <w:highlight w:val="none"/>
        </w:rPr>
        <w:t>万元，一是根据政府性基金的年终结余金额，将</w:t>
      </w:r>
      <w:r>
        <w:rPr>
          <w:rFonts w:hint="eastAsia" w:ascii="仿宋_GB2312" w:hAnsi="仿宋_GB2312" w:eastAsia="仿宋_GB2312" w:cs="仿宋_GB2312"/>
          <w:color w:val="auto"/>
          <w:sz w:val="32"/>
          <w:szCs w:val="32"/>
          <w:highlight w:val="none"/>
          <w:lang w:val="en-US" w:eastAsia="zh-CN"/>
        </w:rPr>
        <w:t>1904</w:t>
      </w:r>
      <w:r>
        <w:rPr>
          <w:rFonts w:hint="eastAsia" w:ascii="仿宋_GB2312" w:hAnsi="仿宋_GB2312" w:eastAsia="仿宋_GB2312" w:cs="仿宋_GB2312"/>
          <w:color w:val="auto"/>
          <w:sz w:val="32"/>
          <w:szCs w:val="32"/>
          <w:highlight w:val="none"/>
        </w:rPr>
        <w:t>万元政府性基金调入一般公共预算使用。二是将国有资本经营预算上年结余收入10万元调入一般公共预算使用。</w:t>
      </w:r>
    </w:p>
    <w:p w14:paraId="11BCC9FC">
      <w:pPr>
        <w:keepNext w:val="0"/>
        <w:keepLines w:val="0"/>
        <w:pageBreakBefore w:val="0"/>
        <w:widowControl w:val="0"/>
        <w:kinsoku/>
        <w:wordWrap/>
        <w:overflowPunct/>
        <w:topLinePunct w:val="0"/>
        <w:autoSpaceDE/>
        <w:autoSpaceDN/>
        <w:bidi w:val="0"/>
        <w:adjustRightInd/>
        <w:snapToGrid w:val="0"/>
        <w:spacing w:line="560" w:lineRule="exact"/>
        <w:ind w:firstLine="640"/>
        <w:contextualSpacing/>
        <w:textAlignment w:val="auto"/>
        <w:rPr>
          <w:rFonts w:hint="eastAsia" w:ascii="黑体" w:hAnsi="黑体" w:eastAsia="黑体" w:cs="黑体"/>
          <w:b w:val="0"/>
          <w:bCs/>
          <w:color w:val="auto"/>
          <w:sz w:val="32"/>
          <w:szCs w:val="32"/>
          <w:lang w:val="en-US" w:eastAsia="zh-CN"/>
        </w:rPr>
      </w:pPr>
      <w:r>
        <w:rPr>
          <w:rFonts w:hint="eastAsia" w:ascii="仿宋_GB2312" w:hAnsi="仿宋_GB2312" w:eastAsia="仿宋_GB2312" w:cs="仿宋_GB2312"/>
          <w:color w:val="auto"/>
          <w:sz w:val="32"/>
          <w:szCs w:val="32"/>
          <w:highlight w:val="none"/>
          <w:lang w:val="en-US" w:eastAsia="zh-CN"/>
        </w:rPr>
        <w:t>17.</w:t>
      </w:r>
      <w:r>
        <w:rPr>
          <w:rFonts w:hint="eastAsia" w:ascii="仿宋_GB2312" w:hAnsi="仿宋_GB2312" w:eastAsia="仿宋_GB2312" w:cs="仿宋_GB2312"/>
          <w:color w:val="auto"/>
          <w:sz w:val="32"/>
          <w:szCs w:val="32"/>
          <w:highlight w:val="none"/>
        </w:rPr>
        <w:t>其他调出资金3556万元，主要是从一般公共预算调出资金至政府性基金，用于债务付息、发行费用及还本支出。</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lang w:val="en-US" w:eastAsia="zh-CN"/>
        </w:rPr>
        <w:t xml:space="preserve"> </w:t>
      </w:r>
    </w:p>
    <w:p w14:paraId="34A8683D">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二、</w:t>
      </w:r>
      <w:r>
        <w:rPr>
          <w:rFonts w:hint="eastAsia" w:ascii="黑体" w:hAnsi="黑体" w:eastAsia="黑体" w:cs="黑体"/>
          <w:b w:val="0"/>
          <w:bCs/>
          <w:color w:val="auto"/>
          <w:sz w:val="32"/>
          <w:szCs w:val="32"/>
        </w:rPr>
        <w:t>一般公共预算支出预算变动及结余、结转情况</w:t>
      </w:r>
      <w:r>
        <w:rPr>
          <w:rFonts w:hint="eastAsia" w:ascii="黑体" w:hAnsi="黑体" w:eastAsia="黑体" w:cs="黑体"/>
          <w:b w:val="0"/>
          <w:bCs/>
          <w:color w:val="auto"/>
          <w:sz w:val="32"/>
          <w:szCs w:val="32"/>
        </w:rPr>
        <w:tab/>
      </w:r>
    </w:p>
    <w:p w14:paraId="6DBEE0E8">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医疗救助一般性转移支付-166万元，系本县收到省财政厅关于下达 2025 年医疗救助补助资金预算的通知（琼财社〔2025〕363号）省财政厅收回中央财政医疗救助补助资金指标166万元,故以负数填列。</w:t>
      </w:r>
    </w:p>
    <w:p w14:paraId="7BF40700">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三、</w:t>
      </w:r>
      <w:r>
        <w:rPr>
          <w:rFonts w:hint="eastAsia" w:ascii="黑体" w:hAnsi="黑体" w:eastAsia="黑体" w:cs="黑体"/>
          <w:b w:val="0"/>
          <w:bCs/>
          <w:color w:val="auto"/>
          <w:sz w:val="32"/>
          <w:szCs w:val="32"/>
        </w:rPr>
        <w:t>一般公共预算收入决算明细</w:t>
      </w:r>
    </w:p>
    <w:p w14:paraId="6AAF66D9">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1.增值税留底退税2万元：主要受海南红宝园实业有限公司及海南省白沙黎族自治县建筑工程公司缴回历年不符合留抵退税政策资金的影响。</w:t>
      </w:r>
    </w:p>
    <w:p w14:paraId="53FFB99C">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2.股份制企业分支机构汇算清缴所得税-97万元，为年度汇算清缴时税务部门退还多缴纳的预缴税款所产生的负数。</w:t>
      </w:r>
    </w:p>
    <w:p w14:paraId="638E8DAE">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3.其他税收收入(款)28万元，主要为海南省国营龙江农场补缴历年营业税及滞纳金。</w:t>
      </w:r>
    </w:p>
    <w:p w14:paraId="5BD229D3">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eastAsia="zh-CN"/>
        </w:rPr>
        <w:t>四、政府性基金预算收支决算总表</w:t>
      </w:r>
      <w:r>
        <w:rPr>
          <w:rFonts w:hint="eastAsia" w:ascii="黑体" w:hAnsi="黑体" w:eastAsia="黑体" w:cs="黑体"/>
          <w:b w:val="0"/>
          <w:bCs/>
          <w:color w:val="auto"/>
          <w:sz w:val="32"/>
          <w:szCs w:val="32"/>
          <w:highlight w:val="none"/>
          <w:lang w:eastAsia="zh-CN"/>
        </w:rPr>
        <w:tab/>
      </w:r>
    </w:p>
    <w:p w14:paraId="32FA9852">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1.城乡社区支出5987万元，较上年增加2665万元，涨幅80.22%，系（琼财农〔2024〕1566号）文件水利发展资金在本年度落实。</w:t>
      </w:r>
    </w:p>
    <w:p w14:paraId="7710CC54">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2.农林水支出960万元，较上年减少440万元，降幅31.43%，主要原因为2024年支付白沙县细水乡福马二村美丽家园项目款（琼财农〔2022〕1163号），本年度无此项支出。</w:t>
      </w:r>
    </w:p>
    <w:p w14:paraId="0BE9E696">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3.其他支出46112万元，较上年增加11118万元，增幅31.77%，系本年度清偿拖欠企业账款。</w:t>
      </w:r>
    </w:p>
    <w:p w14:paraId="5D7FBCA2">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债务付息支出3023万元，较上年增加1700万元，增幅128.50%，其中，其他地方自行试点项目收益专项债券付息支出增长1093万元，其他政府性基金债务付息支出增长607万元。系2024、2025年新增其他地方自行试点项目收益专项债券及其他政府性基金债务。</w:t>
      </w:r>
    </w:p>
    <w:p w14:paraId="5CFD4B11">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5.债务发行费用支出32万元，较上年减少39万元，降幅54.93%，主要是2025年发行专项债券项目数减少。</w:t>
      </w:r>
    </w:p>
    <w:p w14:paraId="6F0AB7EE">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val="en-US" w:eastAsia="zh-CN"/>
        </w:rPr>
        <w:t>五、</w:t>
      </w:r>
      <w:r>
        <w:rPr>
          <w:rFonts w:hint="eastAsia" w:ascii="黑体" w:hAnsi="黑体" w:eastAsia="黑体" w:cs="黑体"/>
          <w:b w:val="0"/>
          <w:bCs/>
          <w:color w:val="auto"/>
          <w:sz w:val="32"/>
          <w:szCs w:val="32"/>
          <w:highlight w:val="none"/>
          <w:lang w:eastAsia="zh-CN"/>
        </w:rPr>
        <w:t>政府性基金预算支出预算变动情况</w:t>
      </w:r>
    </w:p>
    <w:p w14:paraId="3FB5FF92">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1.变动项目中“其他”项目资金-4294万元，为收回和调出资金。</w:t>
      </w:r>
    </w:p>
    <w:p w14:paraId="3C0F8000">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2.债务付息支出其他变动-3265万元，原因为自行试点专项债当年度无收益，通过一般公共预算调入安排付息支出；债务发行费用支出其他变动-80万元，系通过一般公共预算调入安排发行费用。</w:t>
      </w:r>
    </w:p>
    <w:p w14:paraId="6017F976">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3.耕地保护考核奖惩基金支出预算309万元，</w:t>
      </w:r>
      <w:r>
        <w:rPr>
          <w:rFonts w:hint="eastAsia" w:ascii="仿宋_GB2312" w:hAnsi="仿宋_GB2312" w:eastAsia="仿宋_GB2312" w:cs="仿宋_GB2312"/>
          <w:color w:val="auto"/>
          <w:sz w:val="32"/>
          <w:szCs w:val="32"/>
          <w:highlight w:val="none"/>
          <w:lang w:eastAsia="zh-CN"/>
        </w:rPr>
        <w:t>为</w:t>
      </w:r>
      <w:r>
        <w:rPr>
          <w:rFonts w:hint="eastAsia" w:ascii="仿宋_GB2312" w:hAnsi="仿宋_GB2312" w:eastAsia="仿宋_GB2312" w:cs="仿宋_GB2312"/>
          <w:color w:val="auto"/>
          <w:sz w:val="32"/>
          <w:szCs w:val="32"/>
          <w:highlight w:val="none"/>
        </w:rPr>
        <w:t>根据琼财资环〔2024〕1338号提前下达的指标文编列预算，执行中根据更正的文件调整支出科目。</w:t>
      </w:r>
    </w:p>
    <w:p w14:paraId="79E23D25">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黑体" w:hAnsi="黑体" w:eastAsia="黑体" w:cs="黑体"/>
          <w:b w:val="0"/>
          <w:bCs/>
          <w:color w:val="auto"/>
          <w:sz w:val="32"/>
          <w:szCs w:val="32"/>
          <w:lang w:val="en-US" w:eastAsia="zh-CN"/>
        </w:rPr>
      </w:pPr>
    </w:p>
    <w:p w14:paraId="5D7BF623">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六、</w:t>
      </w:r>
      <w:r>
        <w:rPr>
          <w:rFonts w:hint="eastAsia" w:ascii="黑体" w:hAnsi="黑体" w:eastAsia="黑体" w:cs="黑体"/>
          <w:b w:val="0"/>
          <w:bCs/>
          <w:color w:val="auto"/>
          <w:sz w:val="32"/>
          <w:szCs w:val="32"/>
        </w:rPr>
        <w:t>政府性基金预算收支及结余情况</w:t>
      </w:r>
    </w:p>
    <w:p w14:paraId="4F9ED633">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1.专项债务转贷结余1899万元，结转到第二年使用。其中,待偿债再融资专项债券结余597万元,为本年度运用地方结存限额发行的特殊再融资专项债券，未支出部分结转到第二年使用。</w:t>
      </w:r>
    </w:p>
    <w:p w14:paraId="32A1C9B5">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2.大中型水库移民后期扶持基金相关调出资金415万元，为将结转两年以上中央专项资金调出到一般公共预算补充预算稳定调节基金。</w:t>
      </w:r>
    </w:p>
    <w:p w14:paraId="6E308E14">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3.其他政府性基金相关收入55558万元，一是上年结余收入15575万元，为2024年其他地方自行试点项目收益专项债券转贷收入结余，二是调入资金</w:t>
      </w:r>
      <w:r>
        <w:rPr>
          <w:rFonts w:hint="eastAsia" w:ascii="仿宋_GB2312" w:hAnsi="仿宋_GB2312" w:eastAsia="仿宋_GB2312" w:cs="仿宋_GB2312"/>
          <w:color w:val="auto"/>
          <w:sz w:val="32"/>
          <w:szCs w:val="32"/>
          <w:lang w:val="en-US" w:eastAsia="zh-CN"/>
        </w:rPr>
        <w:t>2983</w:t>
      </w:r>
      <w:r>
        <w:rPr>
          <w:rFonts w:hint="eastAsia" w:ascii="仿宋_GB2312" w:hAnsi="仿宋_GB2312" w:eastAsia="仿宋_GB2312" w:cs="仿宋_GB2312"/>
          <w:color w:val="auto"/>
          <w:sz w:val="32"/>
          <w:szCs w:val="32"/>
        </w:rPr>
        <w:t>万元，为从一般公共预算调出资金至政府性基金，用于债务付息、发行费用及还本支出，三是债务转贷收入37000万元，为其他地方自行试点项目收益专项债券及其他政府性基金债务转贷收入。</w:t>
      </w:r>
    </w:p>
    <w:p w14:paraId="19EB5589">
      <w:pPr>
        <w:keepNext w:val="0"/>
        <w:keepLines w:val="0"/>
        <w:pageBreakBefore w:val="0"/>
        <w:widowControl w:val="0"/>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val="en-US" w:eastAsia="zh-CN"/>
        </w:rPr>
        <w:t>七、</w:t>
      </w:r>
      <w:r>
        <w:rPr>
          <w:rFonts w:hint="eastAsia" w:ascii="黑体" w:hAnsi="黑体" w:eastAsia="黑体" w:cs="黑体"/>
          <w:b w:val="0"/>
          <w:bCs/>
          <w:color w:val="auto"/>
          <w:sz w:val="32"/>
          <w:szCs w:val="32"/>
          <w:highlight w:val="none"/>
          <w:lang w:eastAsia="zh-CN"/>
        </w:rPr>
        <w:t>国有资本经营预算收支决算总表</w:t>
      </w:r>
    </w:p>
    <w:p w14:paraId="188CA2D6">
      <w:pPr>
        <w:keepNext w:val="0"/>
        <w:keepLines w:val="0"/>
        <w:pageBreakBefore w:val="0"/>
        <w:widowControl w:val="0"/>
        <w:numPr>
          <w:ilvl w:val="0"/>
          <w:numId w:val="0"/>
        </w:numPr>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黑体" w:hAnsi="黑体" w:eastAsia="黑体" w:cs="黑体"/>
          <w:b w:val="0"/>
          <w:bCs/>
          <w:color w:val="auto"/>
          <w:sz w:val="32"/>
          <w:szCs w:val="32"/>
          <w:lang w:val="en-US" w:eastAsia="zh-CN"/>
        </w:rPr>
      </w:pPr>
      <w:r>
        <w:rPr>
          <w:rFonts w:hint="eastAsia" w:ascii="仿宋_GB2312" w:hAnsi="仿宋_GB2312" w:eastAsia="仿宋_GB2312" w:cs="仿宋_GB2312"/>
          <w:color w:val="auto"/>
          <w:sz w:val="32"/>
          <w:szCs w:val="32"/>
        </w:rPr>
        <w:t>我县未编制国有资本经营收入预算，国有资本经营预算收入调整预算数和决算数均为0。</w:t>
      </w:r>
      <w:bookmarkStart w:id="0" w:name="_GoBack"/>
      <w:bookmarkEnd w:id="0"/>
    </w:p>
    <w:p w14:paraId="60F7BF6F">
      <w:pPr>
        <w:keepNext w:val="0"/>
        <w:keepLines w:val="0"/>
        <w:pageBreakBefore w:val="0"/>
        <w:widowControl w:val="0"/>
        <w:numPr>
          <w:ilvl w:val="0"/>
          <w:numId w:val="0"/>
        </w:numPr>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val="en-US" w:eastAsia="zh-CN"/>
        </w:rPr>
        <w:t>八、</w:t>
      </w:r>
      <w:r>
        <w:rPr>
          <w:rFonts w:hint="eastAsia" w:ascii="黑体" w:hAnsi="黑体" w:eastAsia="黑体" w:cs="黑体"/>
          <w:b w:val="0"/>
          <w:bCs/>
          <w:color w:val="auto"/>
          <w:sz w:val="32"/>
          <w:szCs w:val="32"/>
          <w:lang w:eastAsia="zh-CN"/>
        </w:rPr>
        <w:t>地方政府债务余额情况</w:t>
      </w:r>
    </w:p>
    <w:p w14:paraId="09A91B84">
      <w:pPr>
        <w:keepNext w:val="0"/>
        <w:keepLines w:val="0"/>
        <w:pageBreakBefore w:val="0"/>
        <w:widowControl w:val="0"/>
        <w:numPr>
          <w:ilvl w:val="0"/>
          <w:numId w:val="0"/>
        </w:numPr>
        <w:pBdr>
          <w:bottom w:val="single" w:color="FFFFFF" w:sz="4" w:space="15"/>
        </w:pBdr>
        <w:kinsoku/>
        <w:wordWrap/>
        <w:overflowPunct/>
        <w:topLinePunct w:val="0"/>
        <w:autoSpaceDE/>
        <w:autoSpaceDN/>
        <w:bidi w:val="0"/>
        <w:adjustRightInd/>
        <w:snapToGrid w:val="0"/>
        <w:spacing w:line="560" w:lineRule="exact"/>
        <w:ind w:firstLine="640" w:firstLineChars="200"/>
        <w:contextualSpacing/>
        <w:textAlignment w:val="auto"/>
        <w:outlineLvl w:val="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本年末地方政府债务一般债券余额214549万元，与实际数存在1万元差额，系2024年末决算余额与实际余额存在1万元差异影响。</w:t>
      </w:r>
    </w:p>
    <w:sectPr>
      <w:headerReference r:id="rId3" w:type="default"/>
      <w:footerReference r:id="rId4" w:type="default"/>
      <w:pgSz w:w="20639" w:h="14572" w:orient="landscape"/>
      <w:pgMar w:top="1800" w:right="1440" w:bottom="1800" w:left="1440" w:header="851" w:footer="992" w:gutter="0"/>
      <w:pgBorders>
        <w:top w:val="none" w:sz="0" w:space="0"/>
        <w:left w:val="none" w:sz="0" w:space="0"/>
        <w:bottom w:val="none" w:sz="0" w:space="0"/>
        <w:right w:val="none" w:sz="0" w:space="0"/>
      </w:pgBorders>
      <w:pgNumType w:fmt="numberInDash"/>
      <w:cols w:equalWidth="0" w:num="2">
        <w:col w:w="8638" w:space="425"/>
        <w:col w:w="8638"/>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E0411">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DAA171">
                          <w:pPr>
                            <w:snapToGrid w:val="0"/>
                            <w:rPr>
                              <w:rFonts w:hint="eastAsia"/>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- 1 -</w:t>
                          </w:r>
                          <w:r>
                            <w:rPr>
                              <w:rFonts w:hint="eastAsia"/>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5DAA171">
                    <w:pPr>
                      <w:snapToGrid w:val="0"/>
                      <w:rPr>
                        <w:rFonts w:hint="eastAsia"/>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- 1 -</w:t>
                    </w:r>
                    <w:r>
                      <w:rPr>
                        <w:rFonts w:hint="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7AA5F">
    <w:pPr>
      <w:pStyle w:val="3"/>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5BB9"/>
    <w:rsid w:val="0002225A"/>
    <w:rsid w:val="00024B8C"/>
    <w:rsid w:val="00026725"/>
    <w:rsid w:val="00031BA7"/>
    <w:rsid w:val="00043571"/>
    <w:rsid w:val="00043998"/>
    <w:rsid w:val="00043A38"/>
    <w:rsid w:val="00043DB5"/>
    <w:rsid w:val="000542C5"/>
    <w:rsid w:val="00060AF1"/>
    <w:rsid w:val="00064E0F"/>
    <w:rsid w:val="0006541A"/>
    <w:rsid w:val="00070E02"/>
    <w:rsid w:val="000722CC"/>
    <w:rsid w:val="00075EE5"/>
    <w:rsid w:val="00083167"/>
    <w:rsid w:val="00084D6D"/>
    <w:rsid w:val="00090889"/>
    <w:rsid w:val="000919FB"/>
    <w:rsid w:val="00092F13"/>
    <w:rsid w:val="000931CD"/>
    <w:rsid w:val="00096BB4"/>
    <w:rsid w:val="000A218B"/>
    <w:rsid w:val="000A319C"/>
    <w:rsid w:val="000B1942"/>
    <w:rsid w:val="000B55E9"/>
    <w:rsid w:val="000B7A20"/>
    <w:rsid w:val="000C4764"/>
    <w:rsid w:val="000D2C34"/>
    <w:rsid w:val="000D4FA6"/>
    <w:rsid w:val="000E3B69"/>
    <w:rsid w:val="000E490E"/>
    <w:rsid w:val="000E5C1F"/>
    <w:rsid w:val="000E783D"/>
    <w:rsid w:val="000F011F"/>
    <w:rsid w:val="000F0DF7"/>
    <w:rsid w:val="00102E19"/>
    <w:rsid w:val="001044D4"/>
    <w:rsid w:val="0010507A"/>
    <w:rsid w:val="001107BA"/>
    <w:rsid w:val="00111861"/>
    <w:rsid w:val="00114B5F"/>
    <w:rsid w:val="001275B9"/>
    <w:rsid w:val="00135C7E"/>
    <w:rsid w:val="001508E6"/>
    <w:rsid w:val="0015644C"/>
    <w:rsid w:val="001615EA"/>
    <w:rsid w:val="0016383C"/>
    <w:rsid w:val="0017408F"/>
    <w:rsid w:val="0017520E"/>
    <w:rsid w:val="001827E7"/>
    <w:rsid w:val="00191711"/>
    <w:rsid w:val="001A10A3"/>
    <w:rsid w:val="001A16BB"/>
    <w:rsid w:val="001A2432"/>
    <w:rsid w:val="001A4C90"/>
    <w:rsid w:val="001A53FE"/>
    <w:rsid w:val="001A7342"/>
    <w:rsid w:val="001B23AA"/>
    <w:rsid w:val="001C13E3"/>
    <w:rsid w:val="001C1981"/>
    <w:rsid w:val="001C486B"/>
    <w:rsid w:val="001D34A1"/>
    <w:rsid w:val="001D65A9"/>
    <w:rsid w:val="001F1FA4"/>
    <w:rsid w:val="001F3038"/>
    <w:rsid w:val="001F4F36"/>
    <w:rsid w:val="001F4FC9"/>
    <w:rsid w:val="001F70B5"/>
    <w:rsid w:val="00205168"/>
    <w:rsid w:val="002065FC"/>
    <w:rsid w:val="00221B5C"/>
    <w:rsid w:val="002352E9"/>
    <w:rsid w:val="00236AE4"/>
    <w:rsid w:val="00242DE0"/>
    <w:rsid w:val="002568BE"/>
    <w:rsid w:val="00262C4E"/>
    <w:rsid w:val="002645AF"/>
    <w:rsid w:val="0027502C"/>
    <w:rsid w:val="00281365"/>
    <w:rsid w:val="00281B29"/>
    <w:rsid w:val="00282E88"/>
    <w:rsid w:val="002932DF"/>
    <w:rsid w:val="0029350E"/>
    <w:rsid w:val="00294CCA"/>
    <w:rsid w:val="00296F72"/>
    <w:rsid w:val="002A0936"/>
    <w:rsid w:val="002A115C"/>
    <w:rsid w:val="002C1607"/>
    <w:rsid w:val="002C2D2C"/>
    <w:rsid w:val="002C3DB3"/>
    <w:rsid w:val="002C6307"/>
    <w:rsid w:val="002D04BA"/>
    <w:rsid w:val="002D13FE"/>
    <w:rsid w:val="002D3613"/>
    <w:rsid w:val="002D45ED"/>
    <w:rsid w:val="002E2531"/>
    <w:rsid w:val="002E63DE"/>
    <w:rsid w:val="002F09EF"/>
    <w:rsid w:val="002F2639"/>
    <w:rsid w:val="002F43B1"/>
    <w:rsid w:val="0031120A"/>
    <w:rsid w:val="00314680"/>
    <w:rsid w:val="00314BF7"/>
    <w:rsid w:val="00314C46"/>
    <w:rsid w:val="003202D6"/>
    <w:rsid w:val="00320716"/>
    <w:rsid w:val="003309CE"/>
    <w:rsid w:val="003317A3"/>
    <w:rsid w:val="00331EC3"/>
    <w:rsid w:val="00332B75"/>
    <w:rsid w:val="003332B8"/>
    <w:rsid w:val="003361D7"/>
    <w:rsid w:val="00356904"/>
    <w:rsid w:val="00357300"/>
    <w:rsid w:val="003641E8"/>
    <w:rsid w:val="003645C2"/>
    <w:rsid w:val="00365B39"/>
    <w:rsid w:val="00371AFE"/>
    <w:rsid w:val="00374BB1"/>
    <w:rsid w:val="003770F7"/>
    <w:rsid w:val="00377751"/>
    <w:rsid w:val="00377865"/>
    <w:rsid w:val="003827DB"/>
    <w:rsid w:val="003927D7"/>
    <w:rsid w:val="003942E0"/>
    <w:rsid w:val="003A6143"/>
    <w:rsid w:val="003B5EAB"/>
    <w:rsid w:val="003B6509"/>
    <w:rsid w:val="003D4204"/>
    <w:rsid w:val="003D4C31"/>
    <w:rsid w:val="003E2138"/>
    <w:rsid w:val="00405B4C"/>
    <w:rsid w:val="0041139F"/>
    <w:rsid w:val="00426308"/>
    <w:rsid w:val="00432244"/>
    <w:rsid w:val="00440156"/>
    <w:rsid w:val="004409C6"/>
    <w:rsid w:val="00443F60"/>
    <w:rsid w:val="004440ED"/>
    <w:rsid w:val="004536C0"/>
    <w:rsid w:val="00467DD0"/>
    <w:rsid w:val="004711A1"/>
    <w:rsid w:val="00474355"/>
    <w:rsid w:val="00476106"/>
    <w:rsid w:val="00476DA8"/>
    <w:rsid w:val="004817F3"/>
    <w:rsid w:val="00481D1D"/>
    <w:rsid w:val="00483DA2"/>
    <w:rsid w:val="00490A72"/>
    <w:rsid w:val="00491C13"/>
    <w:rsid w:val="00494194"/>
    <w:rsid w:val="00494A7C"/>
    <w:rsid w:val="004B32A8"/>
    <w:rsid w:val="004C0212"/>
    <w:rsid w:val="004C2E74"/>
    <w:rsid w:val="004D233B"/>
    <w:rsid w:val="004D4FC9"/>
    <w:rsid w:val="004D52E0"/>
    <w:rsid w:val="004D6952"/>
    <w:rsid w:val="004F3CF0"/>
    <w:rsid w:val="00502069"/>
    <w:rsid w:val="00511B13"/>
    <w:rsid w:val="00511E87"/>
    <w:rsid w:val="00512852"/>
    <w:rsid w:val="00513182"/>
    <w:rsid w:val="00513B38"/>
    <w:rsid w:val="00517F95"/>
    <w:rsid w:val="00521D79"/>
    <w:rsid w:val="00534CC5"/>
    <w:rsid w:val="005366A3"/>
    <w:rsid w:val="00542888"/>
    <w:rsid w:val="0054476F"/>
    <w:rsid w:val="00544F81"/>
    <w:rsid w:val="00547D88"/>
    <w:rsid w:val="0055730E"/>
    <w:rsid w:val="005659B5"/>
    <w:rsid w:val="005678C7"/>
    <w:rsid w:val="005743F1"/>
    <w:rsid w:val="00574C2B"/>
    <w:rsid w:val="00576670"/>
    <w:rsid w:val="00580EA4"/>
    <w:rsid w:val="0058203E"/>
    <w:rsid w:val="005837BA"/>
    <w:rsid w:val="00586BC6"/>
    <w:rsid w:val="0059485F"/>
    <w:rsid w:val="0059513E"/>
    <w:rsid w:val="00596C1C"/>
    <w:rsid w:val="005A2ECF"/>
    <w:rsid w:val="005A6622"/>
    <w:rsid w:val="005C2069"/>
    <w:rsid w:val="005C56B8"/>
    <w:rsid w:val="005C5A10"/>
    <w:rsid w:val="005C5E2C"/>
    <w:rsid w:val="005D50D4"/>
    <w:rsid w:val="005D61CD"/>
    <w:rsid w:val="005D7BA4"/>
    <w:rsid w:val="005E2C4E"/>
    <w:rsid w:val="005E3A16"/>
    <w:rsid w:val="005E40ED"/>
    <w:rsid w:val="005E60F0"/>
    <w:rsid w:val="005E67CE"/>
    <w:rsid w:val="005F25D2"/>
    <w:rsid w:val="005F4F32"/>
    <w:rsid w:val="005F568F"/>
    <w:rsid w:val="00600569"/>
    <w:rsid w:val="00600BB3"/>
    <w:rsid w:val="00602F19"/>
    <w:rsid w:val="00625E20"/>
    <w:rsid w:val="00627D39"/>
    <w:rsid w:val="0063465B"/>
    <w:rsid w:val="006363AB"/>
    <w:rsid w:val="006414F0"/>
    <w:rsid w:val="006417DC"/>
    <w:rsid w:val="00641AD9"/>
    <w:rsid w:val="006436F9"/>
    <w:rsid w:val="00654187"/>
    <w:rsid w:val="00655279"/>
    <w:rsid w:val="0066517A"/>
    <w:rsid w:val="00671AAE"/>
    <w:rsid w:val="00673198"/>
    <w:rsid w:val="00676D40"/>
    <w:rsid w:val="00677435"/>
    <w:rsid w:val="00680326"/>
    <w:rsid w:val="00683765"/>
    <w:rsid w:val="00684733"/>
    <w:rsid w:val="00691FBE"/>
    <w:rsid w:val="006942C5"/>
    <w:rsid w:val="006A14B8"/>
    <w:rsid w:val="006A6E8E"/>
    <w:rsid w:val="006B202D"/>
    <w:rsid w:val="006B24D2"/>
    <w:rsid w:val="006B3A00"/>
    <w:rsid w:val="006B7EF1"/>
    <w:rsid w:val="006D23BB"/>
    <w:rsid w:val="006D28C4"/>
    <w:rsid w:val="006D491A"/>
    <w:rsid w:val="006E0EE6"/>
    <w:rsid w:val="006E34F1"/>
    <w:rsid w:val="006E4570"/>
    <w:rsid w:val="006F001A"/>
    <w:rsid w:val="006F6FCB"/>
    <w:rsid w:val="00705E21"/>
    <w:rsid w:val="007120A7"/>
    <w:rsid w:val="00712FDF"/>
    <w:rsid w:val="00716A65"/>
    <w:rsid w:val="00720A33"/>
    <w:rsid w:val="0072718B"/>
    <w:rsid w:val="007365DF"/>
    <w:rsid w:val="0074151D"/>
    <w:rsid w:val="00762F64"/>
    <w:rsid w:val="00766D37"/>
    <w:rsid w:val="00771304"/>
    <w:rsid w:val="00773841"/>
    <w:rsid w:val="00774886"/>
    <w:rsid w:val="0077708D"/>
    <w:rsid w:val="00777A11"/>
    <w:rsid w:val="00780D37"/>
    <w:rsid w:val="007855B7"/>
    <w:rsid w:val="00793C7A"/>
    <w:rsid w:val="00795BC1"/>
    <w:rsid w:val="00795C6F"/>
    <w:rsid w:val="007A6930"/>
    <w:rsid w:val="007B038C"/>
    <w:rsid w:val="007B6D15"/>
    <w:rsid w:val="007C7CC1"/>
    <w:rsid w:val="007D1B01"/>
    <w:rsid w:val="007D57FA"/>
    <w:rsid w:val="007E437A"/>
    <w:rsid w:val="007E473C"/>
    <w:rsid w:val="007E7ED3"/>
    <w:rsid w:val="007F21D6"/>
    <w:rsid w:val="007F4B17"/>
    <w:rsid w:val="007F4E22"/>
    <w:rsid w:val="007F7358"/>
    <w:rsid w:val="00800448"/>
    <w:rsid w:val="008047A0"/>
    <w:rsid w:val="00804DC4"/>
    <w:rsid w:val="0080589B"/>
    <w:rsid w:val="00805995"/>
    <w:rsid w:val="00811C75"/>
    <w:rsid w:val="00815095"/>
    <w:rsid w:val="0083506F"/>
    <w:rsid w:val="00837B2F"/>
    <w:rsid w:val="00844128"/>
    <w:rsid w:val="00844AA2"/>
    <w:rsid w:val="00846171"/>
    <w:rsid w:val="00846279"/>
    <w:rsid w:val="00847628"/>
    <w:rsid w:val="008476BB"/>
    <w:rsid w:val="00867CDE"/>
    <w:rsid w:val="00870AC0"/>
    <w:rsid w:val="00870EA6"/>
    <w:rsid w:val="00875D75"/>
    <w:rsid w:val="00882632"/>
    <w:rsid w:val="00884AA3"/>
    <w:rsid w:val="00893D3B"/>
    <w:rsid w:val="008A539B"/>
    <w:rsid w:val="008A6E68"/>
    <w:rsid w:val="008B5C9E"/>
    <w:rsid w:val="008C04CF"/>
    <w:rsid w:val="008C31AC"/>
    <w:rsid w:val="008C4938"/>
    <w:rsid w:val="008D0F48"/>
    <w:rsid w:val="008E671F"/>
    <w:rsid w:val="008F112F"/>
    <w:rsid w:val="008F12EF"/>
    <w:rsid w:val="008F4ABA"/>
    <w:rsid w:val="00903309"/>
    <w:rsid w:val="00905638"/>
    <w:rsid w:val="00905764"/>
    <w:rsid w:val="009059C8"/>
    <w:rsid w:val="0091206B"/>
    <w:rsid w:val="00915E14"/>
    <w:rsid w:val="00920271"/>
    <w:rsid w:val="0092542F"/>
    <w:rsid w:val="009271AB"/>
    <w:rsid w:val="00933C7B"/>
    <w:rsid w:val="009368F6"/>
    <w:rsid w:val="00937A10"/>
    <w:rsid w:val="00942D6A"/>
    <w:rsid w:val="00955E6C"/>
    <w:rsid w:val="009632C0"/>
    <w:rsid w:val="009667CF"/>
    <w:rsid w:val="00967855"/>
    <w:rsid w:val="00970AEF"/>
    <w:rsid w:val="0097274B"/>
    <w:rsid w:val="00976B09"/>
    <w:rsid w:val="00977172"/>
    <w:rsid w:val="00982846"/>
    <w:rsid w:val="00987974"/>
    <w:rsid w:val="00987F2B"/>
    <w:rsid w:val="009B0C51"/>
    <w:rsid w:val="009C0E78"/>
    <w:rsid w:val="009C109A"/>
    <w:rsid w:val="009C16F9"/>
    <w:rsid w:val="009C472C"/>
    <w:rsid w:val="009D0F3A"/>
    <w:rsid w:val="009E70A3"/>
    <w:rsid w:val="00A007A5"/>
    <w:rsid w:val="00A01718"/>
    <w:rsid w:val="00A03072"/>
    <w:rsid w:val="00A11249"/>
    <w:rsid w:val="00A15510"/>
    <w:rsid w:val="00A20365"/>
    <w:rsid w:val="00A26886"/>
    <w:rsid w:val="00A2766C"/>
    <w:rsid w:val="00A30095"/>
    <w:rsid w:val="00A31447"/>
    <w:rsid w:val="00A347AD"/>
    <w:rsid w:val="00A422A7"/>
    <w:rsid w:val="00A55EC0"/>
    <w:rsid w:val="00A647F6"/>
    <w:rsid w:val="00A67F2C"/>
    <w:rsid w:val="00A72656"/>
    <w:rsid w:val="00A74914"/>
    <w:rsid w:val="00A76124"/>
    <w:rsid w:val="00A84366"/>
    <w:rsid w:val="00A86BBF"/>
    <w:rsid w:val="00AA4E31"/>
    <w:rsid w:val="00AA6825"/>
    <w:rsid w:val="00AB359E"/>
    <w:rsid w:val="00AC1C7F"/>
    <w:rsid w:val="00AD1B2C"/>
    <w:rsid w:val="00AD39F7"/>
    <w:rsid w:val="00AD67B0"/>
    <w:rsid w:val="00AE0B4C"/>
    <w:rsid w:val="00AF2311"/>
    <w:rsid w:val="00AF27FE"/>
    <w:rsid w:val="00AF68AC"/>
    <w:rsid w:val="00B006FD"/>
    <w:rsid w:val="00B104DB"/>
    <w:rsid w:val="00B11409"/>
    <w:rsid w:val="00B169EB"/>
    <w:rsid w:val="00B17DDF"/>
    <w:rsid w:val="00B21357"/>
    <w:rsid w:val="00B30EA1"/>
    <w:rsid w:val="00B361FB"/>
    <w:rsid w:val="00B36945"/>
    <w:rsid w:val="00B36BD4"/>
    <w:rsid w:val="00B461A9"/>
    <w:rsid w:val="00B4650F"/>
    <w:rsid w:val="00B46843"/>
    <w:rsid w:val="00B51188"/>
    <w:rsid w:val="00B52107"/>
    <w:rsid w:val="00B5281C"/>
    <w:rsid w:val="00B536F3"/>
    <w:rsid w:val="00B64313"/>
    <w:rsid w:val="00B74C80"/>
    <w:rsid w:val="00B75391"/>
    <w:rsid w:val="00B93C3A"/>
    <w:rsid w:val="00B97C52"/>
    <w:rsid w:val="00BA193C"/>
    <w:rsid w:val="00BA4769"/>
    <w:rsid w:val="00BA5632"/>
    <w:rsid w:val="00BB19E1"/>
    <w:rsid w:val="00BB2A60"/>
    <w:rsid w:val="00BC28B4"/>
    <w:rsid w:val="00BD19A2"/>
    <w:rsid w:val="00BD469E"/>
    <w:rsid w:val="00BE4C25"/>
    <w:rsid w:val="00BF49C2"/>
    <w:rsid w:val="00BF5AB8"/>
    <w:rsid w:val="00C036D9"/>
    <w:rsid w:val="00C0389C"/>
    <w:rsid w:val="00C04CF1"/>
    <w:rsid w:val="00C20988"/>
    <w:rsid w:val="00C2472E"/>
    <w:rsid w:val="00C2492D"/>
    <w:rsid w:val="00C260CF"/>
    <w:rsid w:val="00C27D70"/>
    <w:rsid w:val="00C34FC8"/>
    <w:rsid w:val="00C4087A"/>
    <w:rsid w:val="00C44003"/>
    <w:rsid w:val="00C44FDD"/>
    <w:rsid w:val="00C475E3"/>
    <w:rsid w:val="00C524EC"/>
    <w:rsid w:val="00C52EBF"/>
    <w:rsid w:val="00C57E71"/>
    <w:rsid w:val="00C7222F"/>
    <w:rsid w:val="00C84A7C"/>
    <w:rsid w:val="00C9660E"/>
    <w:rsid w:val="00CA1864"/>
    <w:rsid w:val="00CA2928"/>
    <w:rsid w:val="00CA4034"/>
    <w:rsid w:val="00CB4F7F"/>
    <w:rsid w:val="00CB5FC4"/>
    <w:rsid w:val="00CC6393"/>
    <w:rsid w:val="00CC6BE7"/>
    <w:rsid w:val="00CD143E"/>
    <w:rsid w:val="00CD1AC9"/>
    <w:rsid w:val="00CD37BA"/>
    <w:rsid w:val="00CE129D"/>
    <w:rsid w:val="00CE1552"/>
    <w:rsid w:val="00CF1243"/>
    <w:rsid w:val="00CF5079"/>
    <w:rsid w:val="00D033E2"/>
    <w:rsid w:val="00D05123"/>
    <w:rsid w:val="00D2013E"/>
    <w:rsid w:val="00D25499"/>
    <w:rsid w:val="00D30DC7"/>
    <w:rsid w:val="00D43388"/>
    <w:rsid w:val="00D4757B"/>
    <w:rsid w:val="00D53BD9"/>
    <w:rsid w:val="00D54064"/>
    <w:rsid w:val="00D54CA4"/>
    <w:rsid w:val="00D57A63"/>
    <w:rsid w:val="00D629EC"/>
    <w:rsid w:val="00D70077"/>
    <w:rsid w:val="00D72DFE"/>
    <w:rsid w:val="00D81C20"/>
    <w:rsid w:val="00DB006B"/>
    <w:rsid w:val="00DB171D"/>
    <w:rsid w:val="00DB37C2"/>
    <w:rsid w:val="00DB3EFB"/>
    <w:rsid w:val="00DC1640"/>
    <w:rsid w:val="00DC4311"/>
    <w:rsid w:val="00DC7627"/>
    <w:rsid w:val="00DD1487"/>
    <w:rsid w:val="00DE2DC2"/>
    <w:rsid w:val="00DE32A0"/>
    <w:rsid w:val="00DF447D"/>
    <w:rsid w:val="00E00E34"/>
    <w:rsid w:val="00E0306F"/>
    <w:rsid w:val="00E037C9"/>
    <w:rsid w:val="00E0422D"/>
    <w:rsid w:val="00E05E6D"/>
    <w:rsid w:val="00E05FE5"/>
    <w:rsid w:val="00E06449"/>
    <w:rsid w:val="00E10303"/>
    <w:rsid w:val="00E10649"/>
    <w:rsid w:val="00E1380A"/>
    <w:rsid w:val="00E24C0E"/>
    <w:rsid w:val="00E2602E"/>
    <w:rsid w:val="00E314D7"/>
    <w:rsid w:val="00E41EF4"/>
    <w:rsid w:val="00E4319E"/>
    <w:rsid w:val="00E43303"/>
    <w:rsid w:val="00E46947"/>
    <w:rsid w:val="00E5195E"/>
    <w:rsid w:val="00E65076"/>
    <w:rsid w:val="00E67311"/>
    <w:rsid w:val="00E719CF"/>
    <w:rsid w:val="00E7636E"/>
    <w:rsid w:val="00E83477"/>
    <w:rsid w:val="00E84CA4"/>
    <w:rsid w:val="00E87657"/>
    <w:rsid w:val="00E879F9"/>
    <w:rsid w:val="00EA1D1C"/>
    <w:rsid w:val="00EB2C13"/>
    <w:rsid w:val="00ED6C6B"/>
    <w:rsid w:val="00EE0CCB"/>
    <w:rsid w:val="00EE243E"/>
    <w:rsid w:val="00EE39F5"/>
    <w:rsid w:val="00EE4847"/>
    <w:rsid w:val="00EF1F7E"/>
    <w:rsid w:val="00F05C62"/>
    <w:rsid w:val="00F07AC3"/>
    <w:rsid w:val="00F14279"/>
    <w:rsid w:val="00F16C5C"/>
    <w:rsid w:val="00F214A9"/>
    <w:rsid w:val="00F23A43"/>
    <w:rsid w:val="00F25D89"/>
    <w:rsid w:val="00F27D0E"/>
    <w:rsid w:val="00F30B64"/>
    <w:rsid w:val="00F43012"/>
    <w:rsid w:val="00F50AB3"/>
    <w:rsid w:val="00F50B81"/>
    <w:rsid w:val="00F6116A"/>
    <w:rsid w:val="00F65A3B"/>
    <w:rsid w:val="00F73C8D"/>
    <w:rsid w:val="00F749DF"/>
    <w:rsid w:val="00F7532D"/>
    <w:rsid w:val="00F80623"/>
    <w:rsid w:val="00F91AFA"/>
    <w:rsid w:val="00F9508C"/>
    <w:rsid w:val="00FA13DE"/>
    <w:rsid w:val="00FA3AB9"/>
    <w:rsid w:val="00FB29D0"/>
    <w:rsid w:val="00FB2B04"/>
    <w:rsid w:val="00FB3D93"/>
    <w:rsid w:val="00FB72EB"/>
    <w:rsid w:val="00FC1FAF"/>
    <w:rsid w:val="00FC6A2B"/>
    <w:rsid w:val="00FD7821"/>
    <w:rsid w:val="00FE67E9"/>
    <w:rsid w:val="00FF4308"/>
    <w:rsid w:val="013E018E"/>
    <w:rsid w:val="019E5433"/>
    <w:rsid w:val="01B82DA2"/>
    <w:rsid w:val="020F1021"/>
    <w:rsid w:val="02154763"/>
    <w:rsid w:val="021A624B"/>
    <w:rsid w:val="021E1077"/>
    <w:rsid w:val="027A4F16"/>
    <w:rsid w:val="02D64748"/>
    <w:rsid w:val="03AC1B29"/>
    <w:rsid w:val="041045FF"/>
    <w:rsid w:val="04932617"/>
    <w:rsid w:val="04EA6091"/>
    <w:rsid w:val="05173FEC"/>
    <w:rsid w:val="05383AD2"/>
    <w:rsid w:val="053946DD"/>
    <w:rsid w:val="054115F6"/>
    <w:rsid w:val="05637DBE"/>
    <w:rsid w:val="05D078F2"/>
    <w:rsid w:val="06307CA0"/>
    <w:rsid w:val="06322ECD"/>
    <w:rsid w:val="0671214F"/>
    <w:rsid w:val="06A87DDB"/>
    <w:rsid w:val="071A13BB"/>
    <w:rsid w:val="071F6454"/>
    <w:rsid w:val="07546345"/>
    <w:rsid w:val="07EB332B"/>
    <w:rsid w:val="08492745"/>
    <w:rsid w:val="086E60C4"/>
    <w:rsid w:val="08BF000D"/>
    <w:rsid w:val="09A67E95"/>
    <w:rsid w:val="09FD1C33"/>
    <w:rsid w:val="0A0624A7"/>
    <w:rsid w:val="0A4C0F77"/>
    <w:rsid w:val="0AA10EFE"/>
    <w:rsid w:val="0AE9116A"/>
    <w:rsid w:val="0B03009B"/>
    <w:rsid w:val="0B3043D8"/>
    <w:rsid w:val="0B6C5379"/>
    <w:rsid w:val="0BA25484"/>
    <w:rsid w:val="0BFC7068"/>
    <w:rsid w:val="0C4F2EC6"/>
    <w:rsid w:val="0C84248D"/>
    <w:rsid w:val="0CCB558D"/>
    <w:rsid w:val="0CDB287C"/>
    <w:rsid w:val="0D0A10CE"/>
    <w:rsid w:val="0D0E7C36"/>
    <w:rsid w:val="0D1E19D1"/>
    <w:rsid w:val="0D307639"/>
    <w:rsid w:val="0D5E46DD"/>
    <w:rsid w:val="0D6571FA"/>
    <w:rsid w:val="0D6C613D"/>
    <w:rsid w:val="0DDD412D"/>
    <w:rsid w:val="0DE67DA7"/>
    <w:rsid w:val="0DF47A05"/>
    <w:rsid w:val="0E49470A"/>
    <w:rsid w:val="0F205EA2"/>
    <w:rsid w:val="0F2B63A6"/>
    <w:rsid w:val="0F44726B"/>
    <w:rsid w:val="0F5E3D39"/>
    <w:rsid w:val="0FBF3BA1"/>
    <w:rsid w:val="0FDF2A36"/>
    <w:rsid w:val="0FF67DD9"/>
    <w:rsid w:val="104F76F0"/>
    <w:rsid w:val="10662054"/>
    <w:rsid w:val="107B371A"/>
    <w:rsid w:val="108C6BBA"/>
    <w:rsid w:val="109B1709"/>
    <w:rsid w:val="10CC3D17"/>
    <w:rsid w:val="11A8087D"/>
    <w:rsid w:val="11C35179"/>
    <w:rsid w:val="11F85718"/>
    <w:rsid w:val="122D7D2C"/>
    <w:rsid w:val="1259764D"/>
    <w:rsid w:val="12817F56"/>
    <w:rsid w:val="12AC2F97"/>
    <w:rsid w:val="12B40CE3"/>
    <w:rsid w:val="12B4309F"/>
    <w:rsid w:val="12C51985"/>
    <w:rsid w:val="132B2A93"/>
    <w:rsid w:val="133169B1"/>
    <w:rsid w:val="13AF5E82"/>
    <w:rsid w:val="13CF2BB5"/>
    <w:rsid w:val="14207F25"/>
    <w:rsid w:val="1479111F"/>
    <w:rsid w:val="14C82AA2"/>
    <w:rsid w:val="1507543D"/>
    <w:rsid w:val="15203318"/>
    <w:rsid w:val="15D209D1"/>
    <w:rsid w:val="160A6580"/>
    <w:rsid w:val="165C63E9"/>
    <w:rsid w:val="168D4DE5"/>
    <w:rsid w:val="16CC4515"/>
    <w:rsid w:val="173E0702"/>
    <w:rsid w:val="17455AB9"/>
    <w:rsid w:val="1758115C"/>
    <w:rsid w:val="176E14C5"/>
    <w:rsid w:val="179C7C7A"/>
    <w:rsid w:val="17A976D5"/>
    <w:rsid w:val="17F11CDA"/>
    <w:rsid w:val="180660E0"/>
    <w:rsid w:val="18294183"/>
    <w:rsid w:val="183C55BD"/>
    <w:rsid w:val="188B57F6"/>
    <w:rsid w:val="18A6176E"/>
    <w:rsid w:val="18B01072"/>
    <w:rsid w:val="18BB76D5"/>
    <w:rsid w:val="19686F31"/>
    <w:rsid w:val="19B8422A"/>
    <w:rsid w:val="19D11E91"/>
    <w:rsid w:val="19FC43F9"/>
    <w:rsid w:val="1A1733B5"/>
    <w:rsid w:val="1A65791E"/>
    <w:rsid w:val="1A7732BC"/>
    <w:rsid w:val="1AB33B02"/>
    <w:rsid w:val="1ABB4C92"/>
    <w:rsid w:val="1AD845E9"/>
    <w:rsid w:val="1AE35E18"/>
    <w:rsid w:val="1AFD62AA"/>
    <w:rsid w:val="1B15783F"/>
    <w:rsid w:val="1B1E5B03"/>
    <w:rsid w:val="1B37232C"/>
    <w:rsid w:val="1B4460A9"/>
    <w:rsid w:val="1B566087"/>
    <w:rsid w:val="1B742B77"/>
    <w:rsid w:val="1BA75C77"/>
    <w:rsid w:val="1C485EED"/>
    <w:rsid w:val="1C8B7CD5"/>
    <w:rsid w:val="1C8C4CDD"/>
    <w:rsid w:val="1CEA4AEF"/>
    <w:rsid w:val="1D1D7842"/>
    <w:rsid w:val="1D6F5F1F"/>
    <w:rsid w:val="1DB43E21"/>
    <w:rsid w:val="1DE14703"/>
    <w:rsid w:val="1E1F5338"/>
    <w:rsid w:val="1ED91778"/>
    <w:rsid w:val="1F0C0085"/>
    <w:rsid w:val="1F783FE5"/>
    <w:rsid w:val="1FC33222"/>
    <w:rsid w:val="1FFF16AF"/>
    <w:rsid w:val="203A77AD"/>
    <w:rsid w:val="20AA5C28"/>
    <w:rsid w:val="20AB252D"/>
    <w:rsid w:val="20F85CA2"/>
    <w:rsid w:val="2110487E"/>
    <w:rsid w:val="214E7D48"/>
    <w:rsid w:val="215A2B17"/>
    <w:rsid w:val="2197244F"/>
    <w:rsid w:val="21E5657F"/>
    <w:rsid w:val="224E3FF6"/>
    <w:rsid w:val="228B61EE"/>
    <w:rsid w:val="22C92DEA"/>
    <w:rsid w:val="230253B4"/>
    <w:rsid w:val="23507572"/>
    <w:rsid w:val="23716C93"/>
    <w:rsid w:val="23A414A5"/>
    <w:rsid w:val="23EE04A3"/>
    <w:rsid w:val="23F21F33"/>
    <w:rsid w:val="244D40C3"/>
    <w:rsid w:val="24D83D03"/>
    <w:rsid w:val="25255666"/>
    <w:rsid w:val="257F7DA8"/>
    <w:rsid w:val="25A45102"/>
    <w:rsid w:val="260A5AB2"/>
    <w:rsid w:val="26745042"/>
    <w:rsid w:val="27001D98"/>
    <w:rsid w:val="27391A6E"/>
    <w:rsid w:val="276B5757"/>
    <w:rsid w:val="27B21896"/>
    <w:rsid w:val="285A00D0"/>
    <w:rsid w:val="287E3335"/>
    <w:rsid w:val="28831647"/>
    <w:rsid w:val="289A27D5"/>
    <w:rsid w:val="28D4777A"/>
    <w:rsid w:val="28EA4A1E"/>
    <w:rsid w:val="29293A96"/>
    <w:rsid w:val="299B6AE3"/>
    <w:rsid w:val="29A143B4"/>
    <w:rsid w:val="29D95C5B"/>
    <w:rsid w:val="2A0C0DAC"/>
    <w:rsid w:val="2A0D1DCF"/>
    <w:rsid w:val="2A251F92"/>
    <w:rsid w:val="2A5D0F5F"/>
    <w:rsid w:val="2AB2180B"/>
    <w:rsid w:val="2B330103"/>
    <w:rsid w:val="2B6E0A8A"/>
    <w:rsid w:val="2C041539"/>
    <w:rsid w:val="2C3D3FC9"/>
    <w:rsid w:val="2C8209D4"/>
    <w:rsid w:val="2C980525"/>
    <w:rsid w:val="2CAE7571"/>
    <w:rsid w:val="2CC07097"/>
    <w:rsid w:val="2D6551C7"/>
    <w:rsid w:val="2DBE1A9A"/>
    <w:rsid w:val="2E8D1289"/>
    <w:rsid w:val="2EBC6067"/>
    <w:rsid w:val="2F232D15"/>
    <w:rsid w:val="2F7821C2"/>
    <w:rsid w:val="2FBF1650"/>
    <w:rsid w:val="2FD179D8"/>
    <w:rsid w:val="30910915"/>
    <w:rsid w:val="30912A55"/>
    <w:rsid w:val="30A87B9F"/>
    <w:rsid w:val="30CB1C61"/>
    <w:rsid w:val="30E52A9E"/>
    <w:rsid w:val="310E56FB"/>
    <w:rsid w:val="31562038"/>
    <w:rsid w:val="31967968"/>
    <w:rsid w:val="320171D5"/>
    <w:rsid w:val="32064F3C"/>
    <w:rsid w:val="321D7245"/>
    <w:rsid w:val="3261497B"/>
    <w:rsid w:val="328054D4"/>
    <w:rsid w:val="3299644A"/>
    <w:rsid w:val="32F42995"/>
    <w:rsid w:val="333C5A28"/>
    <w:rsid w:val="33AA468C"/>
    <w:rsid w:val="33B809FD"/>
    <w:rsid w:val="34893DC3"/>
    <w:rsid w:val="348E0838"/>
    <w:rsid w:val="348F2613"/>
    <w:rsid w:val="34B04A90"/>
    <w:rsid w:val="350E2725"/>
    <w:rsid w:val="3536799C"/>
    <w:rsid w:val="354C6EE2"/>
    <w:rsid w:val="357F589B"/>
    <w:rsid w:val="35854F26"/>
    <w:rsid w:val="35AE5A5C"/>
    <w:rsid w:val="35B85586"/>
    <w:rsid w:val="360E0B32"/>
    <w:rsid w:val="364441E4"/>
    <w:rsid w:val="368D3414"/>
    <w:rsid w:val="36ED584C"/>
    <w:rsid w:val="36F6059C"/>
    <w:rsid w:val="36F7169E"/>
    <w:rsid w:val="37256302"/>
    <w:rsid w:val="373636A6"/>
    <w:rsid w:val="37406C32"/>
    <w:rsid w:val="3784385D"/>
    <w:rsid w:val="378D2FA2"/>
    <w:rsid w:val="37EC6DBA"/>
    <w:rsid w:val="38305BF9"/>
    <w:rsid w:val="3943795E"/>
    <w:rsid w:val="3966749D"/>
    <w:rsid w:val="3982005F"/>
    <w:rsid w:val="3A253A83"/>
    <w:rsid w:val="3A477A80"/>
    <w:rsid w:val="3A632A5E"/>
    <w:rsid w:val="3A7175F4"/>
    <w:rsid w:val="3ADD77A1"/>
    <w:rsid w:val="3AE944A9"/>
    <w:rsid w:val="3B2A4642"/>
    <w:rsid w:val="3B3169AD"/>
    <w:rsid w:val="3B370F1A"/>
    <w:rsid w:val="3B4424D0"/>
    <w:rsid w:val="3BFB235D"/>
    <w:rsid w:val="3C20617D"/>
    <w:rsid w:val="3C5F312F"/>
    <w:rsid w:val="3C6903EC"/>
    <w:rsid w:val="3C9B13CD"/>
    <w:rsid w:val="3D263393"/>
    <w:rsid w:val="3DCA5CB8"/>
    <w:rsid w:val="3DE44605"/>
    <w:rsid w:val="3DEA11F2"/>
    <w:rsid w:val="3E26406F"/>
    <w:rsid w:val="3E4A16A6"/>
    <w:rsid w:val="3E6566FA"/>
    <w:rsid w:val="3E821AC6"/>
    <w:rsid w:val="3EA24A38"/>
    <w:rsid w:val="3EB93312"/>
    <w:rsid w:val="3F522DEF"/>
    <w:rsid w:val="3F626378"/>
    <w:rsid w:val="40277741"/>
    <w:rsid w:val="403C6629"/>
    <w:rsid w:val="4046784D"/>
    <w:rsid w:val="40730210"/>
    <w:rsid w:val="409C055B"/>
    <w:rsid w:val="40C84881"/>
    <w:rsid w:val="41060940"/>
    <w:rsid w:val="412E6454"/>
    <w:rsid w:val="417C66F6"/>
    <w:rsid w:val="4185358A"/>
    <w:rsid w:val="41A30DAA"/>
    <w:rsid w:val="41B7751E"/>
    <w:rsid w:val="41D74ACC"/>
    <w:rsid w:val="41E34925"/>
    <w:rsid w:val="422D1AE0"/>
    <w:rsid w:val="423C14B9"/>
    <w:rsid w:val="42584AB3"/>
    <w:rsid w:val="42BC194A"/>
    <w:rsid w:val="43124612"/>
    <w:rsid w:val="43347BAC"/>
    <w:rsid w:val="43CF36E8"/>
    <w:rsid w:val="441B7B3A"/>
    <w:rsid w:val="44741B53"/>
    <w:rsid w:val="447A7FED"/>
    <w:rsid w:val="44A52CAC"/>
    <w:rsid w:val="44AE1FBF"/>
    <w:rsid w:val="44BB78F6"/>
    <w:rsid w:val="44DC1326"/>
    <w:rsid w:val="454028A0"/>
    <w:rsid w:val="45570A16"/>
    <w:rsid w:val="457F24ED"/>
    <w:rsid w:val="461A6623"/>
    <w:rsid w:val="46392C33"/>
    <w:rsid w:val="46755502"/>
    <w:rsid w:val="4678790B"/>
    <w:rsid w:val="46D24E20"/>
    <w:rsid w:val="46F24389"/>
    <w:rsid w:val="46FD0A2B"/>
    <w:rsid w:val="470E3DC4"/>
    <w:rsid w:val="476E1B47"/>
    <w:rsid w:val="477D0FE1"/>
    <w:rsid w:val="479E410E"/>
    <w:rsid w:val="47A81D99"/>
    <w:rsid w:val="48231B8E"/>
    <w:rsid w:val="48DF24C2"/>
    <w:rsid w:val="49016C11"/>
    <w:rsid w:val="491B161C"/>
    <w:rsid w:val="49636964"/>
    <w:rsid w:val="49E447AB"/>
    <w:rsid w:val="4A5F64DC"/>
    <w:rsid w:val="4AC55329"/>
    <w:rsid w:val="4AC841EC"/>
    <w:rsid w:val="4AEB14CE"/>
    <w:rsid w:val="4B0D647C"/>
    <w:rsid w:val="4B506C6C"/>
    <w:rsid w:val="4BEF25EE"/>
    <w:rsid w:val="4C252DB5"/>
    <w:rsid w:val="4C853243"/>
    <w:rsid w:val="4CF32BAD"/>
    <w:rsid w:val="4DF202AA"/>
    <w:rsid w:val="4EA27E32"/>
    <w:rsid w:val="4EB152BC"/>
    <w:rsid w:val="4EB15E7B"/>
    <w:rsid w:val="4F3479E4"/>
    <w:rsid w:val="4F3F3588"/>
    <w:rsid w:val="4F454A54"/>
    <w:rsid w:val="4F611081"/>
    <w:rsid w:val="4F925BA1"/>
    <w:rsid w:val="4FBD73BB"/>
    <w:rsid w:val="4FF43599"/>
    <w:rsid w:val="50242ABD"/>
    <w:rsid w:val="50387512"/>
    <w:rsid w:val="50CE7CA7"/>
    <w:rsid w:val="5122500E"/>
    <w:rsid w:val="51390109"/>
    <w:rsid w:val="515F6FB4"/>
    <w:rsid w:val="51D63BAC"/>
    <w:rsid w:val="51DE4BDE"/>
    <w:rsid w:val="526508F8"/>
    <w:rsid w:val="52E76472"/>
    <w:rsid w:val="5350513B"/>
    <w:rsid w:val="53A10FB8"/>
    <w:rsid w:val="53A475E5"/>
    <w:rsid w:val="53B6139B"/>
    <w:rsid w:val="54175E4A"/>
    <w:rsid w:val="5422587C"/>
    <w:rsid w:val="5427534D"/>
    <w:rsid w:val="54331207"/>
    <w:rsid w:val="54976521"/>
    <w:rsid w:val="549A0963"/>
    <w:rsid w:val="54B5772F"/>
    <w:rsid w:val="54C83131"/>
    <w:rsid w:val="54C87E0A"/>
    <w:rsid w:val="54E11232"/>
    <w:rsid w:val="55C31A49"/>
    <w:rsid w:val="569C22CE"/>
    <w:rsid w:val="56AB02DF"/>
    <w:rsid w:val="56D34629"/>
    <w:rsid w:val="57BA01D4"/>
    <w:rsid w:val="57C72800"/>
    <w:rsid w:val="58396BF4"/>
    <w:rsid w:val="585553EE"/>
    <w:rsid w:val="58E415A7"/>
    <w:rsid w:val="58E80569"/>
    <w:rsid w:val="58EC42A4"/>
    <w:rsid w:val="594859F0"/>
    <w:rsid w:val="59651BE9"/>
    <w:rsid w:val="59F52458"/>
    <w:rsid w:val="5A6336A4"/>
    <w:rsid w:val="5A9E4CAE"/>
    <w:rsid w:val="5BC46E82"/>
    <w:rsid w:val="5BDC1F73"/>
    <w:rsid w:val="5C77218C"/>
    <w:rsid w:val="5C837F6A"/>
    <w:rsid w:val="5C960629"/>
    <w:rsid w:val="5CB456DD"/>
    <w:rsid w:val="5CD54991"/>
    <w:rsid w:val="5D19320A"/>
    <w:rsid w:val="5D9463A9"/>
    <w:rsid w:val="5DB64221"/>
    <w:rsid w:val="5DF1459F"/>
    <w:rsid w:val="5E6576FE"/>
    <w:rsid w:val="5E69071C"/>
    <w:rsid w:val="5E9E5086"/>
    <w:rsid w:val="5EE231BC"/>
    <w:rsid w:val="5F104135"/>
    <w:rsid w:val="5F3C03E8"/>
    <w:rsid w:val="5F5A4DB8"/>
    <w:rsid w:val="5F9636F9"/>
    <w:rsid w:val="5FAC300B"/>
    <w:rsid w:val="602C4EBF"/>
    <w:rsid w:val="606614FD"/>
    <w:rsid w:val="609C48B6"/>
    <w:rsid w:val="61307450"/>
    <w:rsid w:val="613E49FA"/>
    <w:rsid w:val="61745497"/>
    <w:rsid w:val="61865317"/>
    <w:rsid w:val="61923A34"/>
    <w:rsid w:val="61A80622"/>
    <w:rsid w:val="61C41375"/>
    <w:rsid w:val="628C2E27"/>
    <w:rsid w:val="62B72636"/>
    <w:rsid w:val="62D22008"/>
    <w:rsid w:val="63547EF1"/>
    <w:rsid w:val="635721E9"/>
    <w:rsid w:val="648B77F2"/>
    <w:rsid w:val="64AC605A"/>
    <w:rsid w:val="65065538"/>
    <w:rsid w:val="652815EA"/>
    <w:rsid w:val="65365B08"/>
    <w:rsid w:val="6549688A"/>
    <w:rsid w:val="656067E0"/>
    <w:rsid w:val="65D75334"/>
    <w:rsid w:val="66012384"/>
    <w:rsid w:val="66593825"/>
    <w:rsid w:val="6666314E"/>
    <w:rsid w:val="66A665A9"/>
    <w:rsid w:val="67335C2C"/>
    <w:rsid w:val="673763A9"/>
    <w:rsid w:val="673C77FA"/>
    <w:rsid w:val="6758184C"/>
    <w:rsid w:val="679E36D4"/>
    <w:rsid w:val="67A71109"/>
    <w:rsid w:val="67C07364"/>
    <w:rsid w:val="67C16691"/>
    <w:rsid w:val="67CD05CE"/>
    <w:rsid w:val="67D10DB8"/>
    <w:rsid w:val="67D22335"/>
    <w:rsid w:val="67ED1C6E"/>
    <w:rsid w:val="6808188A"/>
    <w:rsid w:val="68425E62"/>
    <w:rsid w:val="688E4399"/>
    <w:rsid w:val="68E051B5"/>
    <w:rsid w:val="69AF2B82"/>
    <w:rsid w:val="69C52478"/>
    <w:rsid w:val="69E77F4E"/>
    <w:rsid w:val="69EA7D47"/>
    <w:rsid w:val="69FC4B9F"/>
    <w:rsid w:val="6A0D4FD1"/>
    <w:rsid w:val="6A5174EC"/>
    <w:rsid w:val="6AC3336F"/>
    <w:rsid w:val="6AC85B83"/>
    <w:rsid w:val="6B6E0F6B"/>
    <w:rsid w:val="6B80755F"/>
    <w:rsid w:val="6BA00AA7"/>
    <w:rsid w:val="6BC509DD"/>
    <w:rsid w:val="6BCD227D"/>
    <w:rsid w:val="6BFF4481"/>
    <w:rsid w:val="6C802492"/>
    <w:rsid w:val="6CEF76B8"/>
    <w:rsid w:val="6D226DCB"/>
    <w:rsid w:val="6D75597B"/>
    <w:rsid w:val="6DDE0CF0"/>
    <w:rsid w:val="6E127A62"/>
    <w:rsid w:val="6E144052"/>
    <w:rsid w:val="6EAC37D7"/>
    <w:rsid w:val="6ED978A6"/>
    <w:rsid w:val="6F5A2F79"/>
    <w:rsid w:val="6F773054"/>
    <w:rsid w:val="6F935E38"/>
    <w:rsid w:val="6F952BFD"/>
    <w:rsid w:val="700D26B5"/>
    <w:rsid w:val="70132320"/>
    <w:rsid w:val="70850393"/>
    <w:rsid w:val="70E45A22"/>
    <w:rsid w:val="71092AC9"/>
    <w:rsid w:val="7195792D"/>
    <w:rsid w:val="71C52DB7"/>
    <w:rsid w:val="71F2013A"/>
    <w:rsid w:val="721B50BA"/>
    <w:rsid w:val="723246EC"/>
    <w:rsid w:val="725715C4"/>
    <w:rsid w:val="72812829"/>
    <w:rsid w:val="72952FDB"/>
    <w:rsid w:val="72A64B33"/>
    <w:rsid w:val="731F6158"/>
    <w:rsid w:val="732940FA"/>
    <w:rsid w:val="732F24CE"/>
    <w:rsid w:val="73613FCE"/>
    <w:rsid w:val="736C7F13"/>
    <w:rsid w:val="73F606A1"/>
    <w:rsid w:val="742403EB"/>
    <w:rsid w:val="747A7D2B"/>
    <w:rsid w:val="75551C29"/>
    <w:rsid w:val="75BA29B3"/>
    <w:rsid w:val="75BA4015"/>
    <w:rsid w:val="75E854AC"/>
    <w:rsid w:val="76085864"/>
    <w:rsid w:val="760A4875"/>
    <w:rsid w:val="7655534E"/>
    <w:rsid w:val="767C633A"/>
    <w:rsid w:val="76A463CE"/>
    <w:rsid w:val="76DB75F8"/>
    <w:rsid w:val="770C2F34"/>
    <w:rsid w:val="775B13FF"/>
    <w:rsid w:val="776309D1"/>
    <w:rsid w:val="77653302"/>
    <w:rsid w:val="776F426D"/>
    <w:rsid w:val="77F7665F"/>
    <w:rsid w:val="787B1103"/>
    <w:rsid w:val="79165F8D"/>
    <w:rsid w:val="792D55E8"/>
    <w:rsid w:val="795420B7"/>
    <w:rsid w:val="796D0BBA"/>
    <w:rsid w:val="79873049"/>
    <w:rsid w:val="798C1FB4"/>
    <w:rsid w:val="79A203E3"/>
    <w:rsid w:val="7A5D45A8"/>
    <w:rsid w:val="7AAC2CE2"/>
    <w:rsid w:val="7AE10BE2"/>
    <w:rsid w:val="7AF55B60"/>
    <w:rsid w:val="7B322AEE"/>
    <w:rsid w:val="7BA22668"/>
    <w:rsid w:val="7BAA7F8D"/>
    <w:rsid w:val="7C0275C3"/>
    <w:rsid w:val="7C25486D"/>
    <w:rsid w:val="7C5E5108"/>
    <w:rsid w:val="7C616ACC"/>
    <w:rsid w:val="7CC62820"/>
    <w:rsid w:val="7CD339D3"/>
    <w:rsid w:val="7CDD22BA"/>
    <w:rsid w:val="7CE00521"/>
    <w:rsid w:val="7D397E03"/>
    <w:rsid w:val="7D72482C"/>
    <w:rsid w:val="7DC52BFD"/>
    <w:rsid w:val="7E0602F1"/>
    <w:rsid w:val="7E5A1636"/>
    <w:rsid w:val="7E745168"/>
    <w:rsid w:val="7E7E017E"/>
    <w:rsid w:val="7E8F4CF6"/>
    <w:rsid w:val="7EB06C9E"/>
    <w:rsid w:val="7EB2642A"/>
    <w:rsid w:val="7ED617F0"/>
    <w:rsid w:val="7F1441F2"/>
    <w:rsid w:val="7F284AFF"/>
    <w:rsid w:val="7F412053"/>
    <w:rsid w:val="7F531ACF"/>
    <w:rsid w:val="7FA008A6"/>
    <w:rsid w:val="7FCC7AB8"/>
    <w:rsid w:val="7FE120D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9"/>
    <w:qFormat/>
    <w:uiPriority w:val="0"/>
    <w:pPr>
      <w:spacing w:before="240" w:after="60"/>
      <w:jc w:val="center"/>
      <w:outlineLvl w:val="0"/>
    </w:pPr>
    <w:rPr>
      <w:rFonts w:ascii="Cambria" w:hAnsi="Cambria"/>
      <w:b/>
      <w:bCs/>
      <w:sz w:val="32"/>
      <w:szCs w:val="32"/>
    </w:rPr>
  </w:style>
  <w:style w:type="character" w:customStyle="1" w:styleId="7">
    <w:name w:val="页脚 Char"/>
    <w:link w:val="2"/>
    <w:qFormat/>
    <w:uiPriority w:val="0"/>
    <w:rPr>
      <w:rFonts w:ascii="Times New Roman" w:hAnsi="Times New Roman" w:cs="Times New Roman"/>
      <w:kern w:val="2"/>
      <w:sz w:val="18"/>
      <w:szCs w:val="18"/>
    </w:rPr>
  </w:style>
  <w:style w:type="character" w:customStyle="1" w:styleId="8">
    <w:name w:val="页眉 Char"/>
    <w:link w:val="3"/>
    <w:qFormat/>
    <w:uiPriority w:val="0"/>
    <w:rPr>
      <w:rFonts w:ascii="Times New Roman" w:hAnsi="Times New Roman" w:cs="Times New Roman"/>
      <w:kern w:val="2"/>
      <w:sz w:val="18"/>
      <w:szCs w:val="18"/>
    </w:rPr>
  </w:style>
  <w:style w:type="character" w:customStyle="1" w:styleId="9">
    <w:name w:val="标题 Char"/>
    <w:link w:val="4"/>
    <w:qFormat/>
    <w:uiPriority w:val="0"/>
    <w:rPr>
      <w:rFonts w:ascii="Cambria" w:hAnsi="Cambria" w:cs="Times New Roman"/>
      <w:b/>
      <w:bCs/>
      <w:kern w:val="2"/>
      <w:sz w:val="32"/>
      <w:szCs w:val="32"/>
    </w:rPr>
  </w:style>
  <w:style w:type="paragraph" w:customStyle="1" w:styleId="10">
    <w:name w:val="10"/>
    <w:basedOn w:val="11"/>
    <w:qFormat/>
    <w:uiPriority w:val="0"/>
    <w:pPr>
      <w:ind w:firstLine="600"/>
    </w:pPr>
    <w:rPr>
      <w:sz w:val="30"/>
      <w:szCs w:val="30"/>
    </w:rPr>
  </w:style>
  <w:style w:type="paragraph" w:customStyle="1" w:styleId="11">
    <w:name w:val="11"/>
    <w:basedOn w:val="1"/>
    <w:qFormat/>
    <w:uiPriority w:val="0"/>
    <w:pPr>
      <w:spacing w:line="576" w:lineRule="exact"/>
      <w:ind w:firstLine="640" w:firstLineChars="200"/>
    </w:pPr>
    <w:rPr>
      <w:rFonts w:ascii="仿宋_GB2312" w:eastAsia="仿宋_GB2312"/>
      <w:sz w:val="32"/>
      <w:szCs w:val="32"/>
    </w:rPr>
  </w:style>
  <w:style w:type="paragraph" w:customStyle="1" w:styleId="12">
    <w:name w:val=" Char Char Char Char"/>
    <w:basedOn w:val="1"/>
    <w:qFormat/>
    <w:uiPriority w:val="0"/>
    <w:rPr>
      <w:rFonts w:ascii="Calibri" w:hAnsi="Calibri"/>
    </w:rPr>
  </w:style>
  <w:style w:type="paragraph" w:customStyle="1" w:styleId="13">
    <w:name w:val="Plain Text"/>
    <w:basedOn w:val="1"/>
    <w:qFormat/>
    <w:uiPriority w:val="0"/>
    <w:rPr>
      <w:rFonts w:ascii="宋体" w:hAnsi="Courier Ne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4</Pages>
  <Words>440</Words>
  <Characters>2509</Characters>
  <Lines>20</Lines>
  <Paragraphs>5</Paragraphs>
  <TotalTime>60</TotalTime>
  <ScaleCrop>false</ScaleCrop>
  <LinksUpToDate>false</LinksUpToDate>
  <CharactersWithSpaces>2944</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2016-03-03T03:44:00Z</dcterms:created>
  <dc:creator>Microsoft</dc:creator>
  <cp:lastModifiedBy>Administrator</cp:lastModifiedBy>
  <cp:lastPrinted>2016-05-18T01:45:00Z</cp:lastPrinted>
  <dcterms:modified xsi:type="dcterms:W3CDTF">2026-05-08T03:12:31Z</dcterms:modified>
  <dc:title>崖州区2018年度财政总决算报表附注</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B78FC099FAAE4E00B61193DC1B80D6D9_13</vt:lpwstr>
  </property>
</Properties>
</file>