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白沙黎族自治县不动产登记中心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b/>
          <w:bCs/>
          <w:sz w:val="44"/>
          <w:szCs w:val="44"/>
          <w:lang w:val="en-US" w:eastAsia="zh-Hans"/>
        </w:rPr>
        <w:t>年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综合事务经费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项目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绩效自评报告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  <w:u w:val="none"/>
        </w:rPr>
      </w:pPr>
    </w:p>
    <w:p>
      <w:pPr>
        <w:rPr>
          <w:rFonts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 xml:space="preserve">    </w:t>
      </w:r>
      <w:r>
        <w:rPr>
          <w:rFonts w:hint="eastAsia" w:hAnsi="宋体"/>
          <w:sz w:val="28"/>
          <w:szCs w:val="28"/>
          <w:u w:val="none"/>
        </w:rPr>
        <w:t xml:space="preserve"> 评价类型：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实施过程评价 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完成结果评价</w:t>
      </w:r>
    </w:p>
    <w:p>
      <w:pPr>
        <w:ind w:left="1400" w:hanging="1400" w:hangingChars="5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项目名称：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综合事务经费              </w:t>
      </w:r>
    </w:p>
    <w:p>
      <w:pPr>
        <w:ind w:left="2240" w:hanging="2240" w:hangingChars="8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项目单位：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白沙黎族自治县不动产登记中心   </w:t>
      </w:r>
    </w:p>
    <w:p>
      <w:pPr>
        <w:ind w:left="1400" w:hanging="1400" w:hangingChars="5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主管部门：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白沙黎族自治县自然资源和规划局 </w:t>
      </w:r>
      <w:r>
        <w:rPr>
          <w:rFonts w:hint="eastAsia" w:hAnsi="宋体"/>
          <w:sz w:val="28"/>
          <w:szCs w:val="28"/>
        </w:rPr>
        <w:t xml:space="preserve"> </w:t>
      </w:r>
    </w:p>
    <w:p>
      <w:pPr>
        <w:ind w:left="1400" w:hanging="1400" w:hangingChars="500"/>
        <w:rPr>
          <w:rFonts w:hAnsi="宋体"/>
          <w:color w:val="FF0000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评价时间：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日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  <w:u w:val="none"/>
        </w:rPr>
        <w:t>组织方式：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财政部门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主管部门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项目单位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  <w:u w:val="none"/>
        </w:rPr>
        <w:t xml:space="preserve">     评价机构：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中介机构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专家组     </w:t>
      </w:r>
      <w:r>
        <w:rPr>
          <w:rFonts w:hint="eastAsia" w:hAnsi="宋体"/>
          <w:spacing w:val="-20"/>
          <w:sz w:val="36"/>
          <w:u w:val="none"/>
          <w:lang w:eastAsia="zh-CN"/>
        </w:rPr>
        <w:t>☑</w:t>
      </w:r>
      <w:r>
        <w:rPr>
          <w:rFonts w:hint="eastAsia" w:hAnsi="宋体"/>
          <w:sz w:val="28"/>
          <w:szCs w:val="28"/>
          <w:u w:val="none"/>
        </w:rPr>
        <w:t>项目单位评价组</w:t>
      </w:r>
    </w:p>
    <w:p>
      <w:pPr>
        <w:ind w:left="1400" w:hanging="1400" w:hangingChars="500"/>
        <w:rPr>
          <w:rFonts w:hAnsi="宋体"/>
          <w:sz w:val="28"/>
          <w:szCs w:val="28"/>
        </w:rPr>
      </w:pPr>
    </w:p>
    <w:p>
      <w:pPr>
        <w:rPr>
          <w:rFonts w:hAnsi="仿宋_GB2312"/>
          <w:szCs w:val="28"/>
        </w:rPr>
      </w:pPr>
    </w:p>
    <w:p>
      <w:pPr>
        <w:ind w:left="1050" w:hanging="1050" w:hangingChars="500"/>
        <w:rPr>
          <w:rFonts w:hAnsi="宋体"/>
          <w:szCs w:val="28"/>
        </w:rPr>
      </w:pPr>
      <w:r>
        <w:rPr>
          <w:rFonts w:hint="eastAsia" w:hAnsi="仿宋_GB2312"/>
          <w:szCs w:val="28"/>
        </w:rPr>
        <w:t xml:space="preserve">           </w:t>
      </w:r>
    </w:p>
    <w:p>
      <w:pPr>
        <w:ind w:left="1400" w:hanging="1400" w:hangingChars="500"/>
        <w:jc w:val="center"/>
        <w:rPr>
          <w:rFonts w:hint="eastAsia"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  <w:u w:val="none"/>
        </w:rPr>
        <w:t>评价单位（盖章）：</w:t>
      </w:r>
      <w:r>
        <w:rPr>
          <w:rFonts w:hint="eastAsia" w:hAnsi="宋体"/>
          <w:sz w:val="28"/>
          <w:szCs w:val="28"/>
          <w:u w:val="none"/>
          <w:lang w:val="en-US" w:eastAsia="zh-CN"/>
        </w:rPr>
        <w:t xml:space="preserve">白沙黎族自治县不动产登记中心 </w:t>
      </w:r>
    </w:p>
    <w:p>
      <w:pPr>
        <w:ind w:left="1400" w:hanging="1400" w:hangingChars="500"/>
        <w:jc w:val="center"/>
        <w:rPr>
          <w:rFonts w:hAnsi="宋体"/>
          <w:szCs w:val="28"/>
        </w:rPr>
      </w:pPr>
      <w:r>
        <w:rPr>
          <w:rFonts w:hint="eastAsia" w:hAnsi="宋体"/>
          <w:sz w:val="28"/>
          <w:szCs w:val="28"/>
        </w:rPr>
        <w:t>上报时间：202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</w:rPr>
        <w:t>月</w:t>
      </w:r>
    </w:p>
    <w:p>
      <w:pPr>
        <w:pageBreakBefore/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13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96"/>
        <w:gridCol w:w="396"/>
        <w:gridCol w:w="62"/>
        <w:gridCol w:w="540"/>
        <w:gridCol w:w="797"/>
        <w:gridCol w:w="837"/>
        <w:gridCol w:w="508"/>
        <w:gridCol w:w="332"/>
        <w:gridCol w:w="235"/>
        <w:gridCol w:w="1049"/>
        <w:gridCol w:w="66"/>
        <w:gridCol w:w="423"/>
        <w:gridCol w:w="458"/>
        <w:gridCol w:w="940"/>
        <w:gridCol w:w="6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项目实施单位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白沙黎族自治县不动产登记中心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项目负责人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周海菊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27715856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白沙县牙叉镇方溪路8号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项目类型</w:t>
            </w:r>
          </w:p>
        </w:tc>
        <w:tc>
          <w:tcPr>
            <w:tcW w:w="762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经常性项目（</w:t>
            </w:r>
            <w:r>
              <w:rPr>
                <w:rFonts w:hint="default" w:ascii="Arial" w:hAnsi="Arial" w:eastAsia="仿宋" w:cs="Arial"/>
                <w:szCs w:val="21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）       一次性项目（ </w:t>
            </w:r>
            <w:r>
              <w:rPr>
                <w:rFonts w:hint="eastAsia" w:ascii="Arial" w:hAnsi="Arial" w:eastAsia="仿宋" w:cs="Arial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年初预算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10.00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实际到位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27.45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实际使用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79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79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79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10.00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27.45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79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二、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二级指标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三级指标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项目目标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目标内容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决策过程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决策依据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决策程序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资金分配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分配办法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分配结果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资金到位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资金管理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资金使用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财务管理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组织实施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组织机构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管理制度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项目产出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产出数量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产出质量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产出成本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项目效益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经济效益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环境效益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可持续影响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496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评价等次</w:t>
            </w:r>
          </w:p>
        </w:tc>
        <w:tc>
          <w:tcPr>
            <w:tcW w:w="46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职务/职称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吴清波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中心主任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吉乐亮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副主任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周海菊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报账员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陈丹湖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九级管理员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罗宇晨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九级管理员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王豪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技术工人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白沙黎族自治县不产登记中心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  <w:jc w:val="center"/>
        </w:trPr>
        <w:tc>
          <w:tcPr>
            <w:tcW w:w="958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3"/>
              <w:rPr>
                <w:rFonts w:ascii="仿宋" w:hAnsi="仿宋" w:eastAsia="仿宋" w:cs="仿宋"/>
                <w:szCs w:val="21"/>
              </w:rPr>
            </w:pPr>
          </w:p>
          <w:p/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项目单位负责人（签字并盖章）：</w:t>
            </w: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0" w:firstLineChars="300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二〇二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</w:tbl>
    <w:p>
      <w:pPr>
        <w:spacing w:line="530" w:lineRule="exact"/>
        <w:ind w:firstLine="221" w:firstLineChars="50"/>
        <w:jc w:val="center"/>
        <w:rPr>
          <w:rFonts w:ascii="宋体" w:hAnsi="宋体"/>
          <w:b/>
          <w:sz w:val="44"/>
          <w:szCs w:val="44"/>
        </w:rPr>
      </w:pPr>
    </w:p>
    <w:p>
      <w:pPr>
        <w:pageBreakBefore/>
        <w:spacing w:line="530" w:lineRule="exact"/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  录</w:t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TOC \o "1-2" \h \u 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"_Toc23770"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一、基本情况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_Toc23770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"_Toc28343"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（一）项目概况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_Toc28343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"_Toc24517"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_Toc24517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"_Toc20503"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二、项目组织实施情况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"_Toc20064"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（一）项目组织情况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"_Toc22710"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_Toc22710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"_Toc4435"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三、项目决策及资金使用管理情况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_Toc4435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"_Toc27405"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（一）项目决策情况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_Toc27405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"_Toc29663"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（二）项目资金安排情况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_Toc29663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"_Toc30045"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（三）项目资金使用情况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"_Toc17207"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（四）项目资金管理情况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"_Toc12313"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四、项目绩效情况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"_Toc15821"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（一）项目绩效目标完成情况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"_Toc20630"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（二）项目绩效目标未完成情况及原因分析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"_Toc31169"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五、综合评价结论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"_Toc23070"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六、其他需要说明的问题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"_Toc25624"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（一）后续工作计划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"_Toc18665"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（二）主要经验及做法、存在问题和改进措施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"_Toc18025"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附件：财政支出绩效评价指标体系表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spacing w:line="360" w:lineRule="auto"/>
        <w:ind w:firstLine="140" w:firstLineChars="50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ageBreakBefore/>
        <w:jc w:val="center"/>
        <w:outlineLvl w:val="0"/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16603"/>
      <w:bookmarkStart w:id="1" w:name="_Toc6084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2023年度综合事务经费项目        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绩效自评报告</w:t>
      </w:r>
      <w:bookmarkEnd w:id="0"/>
      <w:bookmarkEnd w:id="1"/>
    </w:p>
    <w:p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7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根据白沙黎族自治县财政局《关于开展2023年度项目支出绩效自评工作的通知》（白财〔2024〕22号）要求，为推进预算绩效管理工作，提高财政资金使用效益，对本单位2023年度“综合事务经费”项目开展绩效自评工作。现就评价情况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2" w:name="_Toc23770"/>
      <w:r>
        <w:rPr>
          <w:rFonts w:hint="eastAsia" w:ascii="黑体" w:hAnsi="黑体" w:eastAsia="黑体" w:cs="黑体"/>
          <w:b/>
          <w:bCs/>
          <w:sz w:val="30"/>
          <w:szCs w:val="30"/>
        </w:rPr>
        <w:t>基本情况</w:t>
      </w:r>
      <w:bookmarkEnd w:id="2"/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3" w:name="_Toc28343"/>
      <w:r>
        <w:rPr>
          <w:rFonts w:hint="eastAsia" w:ascii="仿宋" w:hAnsi="仿宋" w:eastAsia="仿宋" w:cs="仿宋"/>
          <w:b/>
          <w:bCs/>
          <w:sz w:val="30"/>
          <w:szCs w:val="30"/>
        </w:rPr>
        <w:t>项目概况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outlineLvl w:val="1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我中心人员共8人，其中在编人员6人，聘用人员2人。主要负责全县土地、房屋、林权、承包经营权登记工作的登记，受理，发证，薄册档案管理等事务性、工作性。满足人民群众对不动产登记的需求 。综合事务经费项目属于经常性项目，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系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白沙黎族自治县不动产登记中心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实施的202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年预算项目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年初预算10万元，年中追加预算17.45万元，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实际到位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27.45万元,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支出27.27万元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主要用于其他商品和</w:t>
      </w:r>
      <w:bookmarkStart w:id="21" w:name="_GoBack"/>
      <w:bookmarkEnd w:id="21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服务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、长聘人员工资福利、维修（护）费支出。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4" w:name="_Toc24517"/>
      <w:r>
        <w:rPr>
          <w:rFonts w:hint="eastAsia" w:ascii="仿宋" w:hAnsi="仿宋" w:eastAsia="仿宋" w:cs="仿宋"/>
          <w:b/>
          <w:bCs/>
          <w:sz w:val="30"/>
          <w:szCs w:val="30"/>
        </w:rPr>
        <w:t>项目年度预算绩效目标和绩效指标设定情况</w:t>
      </w:r>
      <w:bookmarkEnd w:id="4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5"/>
        <w:textAlignment w:val="auto"/>
      </w:pPr>
      <w:r>
        <w:rPr>
          <w:rFonts w:ascii="仿宋" w:hAnsi="仿宋" w:eastAsia="仿宋" w:cs="仿宋"/>
          <w:b/>
          <w:bCs/>
          <w:sz w:val="31"/>
          <w:szCs w:val="31"/>
          <w:shd w:val="clear" w:fill="FFFFFF"/>
        </w:rPr>
        <w:t>总体目标：</w:t>
      </w:r>
      <w:r>
        <w:rPr>
          <w:rFonts w:ascii="仿宋" w:hAnsi="仿宋" w:eastAsia="仿宋" w:cs="仿宋"/>
          <w:sz w:val="31"/>
          <w:szCs w:val="31"/>
          <w:shd w:val="clear" w:fill="FFFFFF"/>
        </w:rPr>
        <w:t>利用综合工作经费，开支用于</w:t>
      </w:r>
      <w:r>
        <w:rPr>
          <w:rFonts w:ascii="仿宋_GB2312" w:hAnsi="微软雅黑" w:eastAsia="仿宋_GB2312" w:cs="仿宋_GB2312"/>
          <w:sz w:val="32"/>
          <w:szCs w:val="32"/>
          <w:shd w:val="clear" w:fill="FFFFFF"/>
        </w:rPr>
        <w:t>发放聘用人员工资</w:t>
      </w:r>
      <w:r>
        <w:rPr>
          <w:rFonts w:ascii="仿宋" w:hAnsi="仿宋" w:eastAsia="仿宋" w:cs="仿宋"/>
          <w:sz w:val="31"/>
          <w:szCs w:val="31"/>
          <w:shd w:val="clear" w:fill="FFFFFF"/>
        </w:rPr>
        <w:t>、</w:t>
      </w:r>
      <w:r>
        <w:rPr>
          <w:rFonts w:ascii="仿宋_GB2312" w:hAnsi="微软雅黑" w:eastAsia="仿宋_GB2312" w:cs="仿宋_GB2312"/>
          <w:sz w:val="32"/>
          <w:szCs w:val="32"/>
          <w:shd w:val="clear" w:fill="FFFFFF"/>
        </w:rPr>
        <w:t>维护单位日常运转</w:t>
      </w:r>
      <w:r>
        <w:rPr>
          <w:rFonts w:ascii="仿宋" w:hAnsi="仿宋" w:eastAsia="仿宋" w:cs="仿宋"/>
          <w:sz w:val="31"/>
          <w:szCs w:val="31"/>
          <w:shd w:val="clear" w:fill="FFFFFF"/>
        </w:rPr>
        <w:t>等方面，对日常办公提供经费保障，有利于各项工作顺利开展。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2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shd w:val="clear" w:fill="FFFFFF"/>
          <w:lang w:val="en-US" w:eastAsia="zh-CN" w:bidi="ar"/>
        </w:rPr>
        <w:t>当年年度目标完成情况：已完成各项工作任务。</w:t>
      </w:r>
    </w:p>
    <w:tbl>
      <w:tblPr>
        <w:tblStyle w:val="1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219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8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  <w:lang w:eastAsia="zh-CN"/>
              </w:rPr>
              <w:t>一级</w:t>
            </w: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  <w:t>指标名称</w:t>
            </w:r>
          </w:p>
        </w:tc>
        <w:tc>
          <w:tcPr>
            <w:tcW w:w="22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  <w:lang w:eastAsia="zh-CN"/>
              </w:rPr>
              <w:t>二级</w:t>
            </w: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  <w:t>指标名称</w:t>
            </w:r>
          </w:p>
        </w:tc>
        <w:tc>
          <w:tcPr>
            <w:tcW w:w="513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16"/>
                <w:szCs w:val="16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@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@仿宋_GB2312"/>
                <w:b/>
                <w:bCs/>
                <w:color w:val="auto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时效指标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1"/>
              <w:rPr>
                <w:rFonts w:hint="default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及时完成其他商品和服务、长聘人员工资福利、维修（护）费支出，为保障不动产登记中心业务工作高效有序的开展，提速增效。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@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@仿宋_GB2312"/>
                <w:b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数量指标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购买办公材料用品等，保障单位正常运行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bookmarkStart w:id="5" w:name="_Toc20503"/>
            <w:r>
              <w:rPr>
                <w:rFonts w:hint="eastAsia" w:ascii="宋体" w:hAnsi="宋体" w:eastAsia="宋体" w:cs="@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  <w:t>效益指标</w:t>
            </w:r>
          </w:p>
        </w:tc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b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经济效益指标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  <w:t>高质量完成全县不动产日常业务工作，为群众及时办证，服务好群众。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@仿宋_GB2312"/>
                <w:b/>
                <w:color w:val="auto"/>
                <w:kern w:val="0"/>
                <w:sz w:val="20"/>
                <w:szCs w:val="20"/>
                <w:lang w:val="en-US" w:eastAsia="zh-CN"/>
              </w:rPr>
              <w:t>满意度指标</w:t>
            </w:r>
          </w:p>
        </w:tc>
        <w:tc>
          <w:tcPr>
            <w:tcW w:w="2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@仿宋_GB2312"/>
                <w:color w:val="auto"/>
                <w:kern w:val="0"/>
                <w:sz w:val="16"/>
                <w:szCs w:val="1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项目组织实施情况</w:t>
      </w:r>
      <w:bookmarkEnd w:id="5"/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6" w:name="_Toc20064"/>
      <w:r>
        <w:rPr>
          <w:rFonts w:hint="eastAsia" w:ascii="仿宋" w:hAnsi="仿宋" w:eastAsia="仿宋" w:cs="仿宋"/>
          <w:b/>
          <w:bCs/>
          <w:sz w:val="30"/>
          <w:szCs w:val="30"/>
        </w:rPr>
        <w:t>项目组织情况</w:t>
      </w:r>
      <w:bookmarkEnd w:id="6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严把项目制定关。根据本单位的职责、业务特点，谋划单位年度工作计划，避免预算安排的随意性，提高部门预算的科学化和精细化。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及时做好经费拨款。严格按照资金拨付流程和审批程序，核查项目资金拨付材料，积极与会计核算站沟通，及时拨付项目资金。</w:t>
      </w:r>
      <w:bookmarkStart w:id="7" w:name="_Toc2271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项目管理情况</w:t>
      </w:r>
      <w:bookmarkEnd w:id="7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8" w:name="_Toc4435"/>
      <w:r>
        <w:rPr>
          <w:rFonts w:hint="eastAsia" w:ascii="仿宋" w:hAnsi="仿宋" w:eastAsia="仿宋" w:cs="仿宋"/>
          <w:sz w:val="30"/>
          <w:szCs w:val="30"/>
          <w:lang w:eastAsia="zh-CN"/>
        </w:rPr>
        <w:t>本单位项目管理严格执行省县有关项目管理和经费管理规定，在县财政局下发的县本级部门预算的基础上，严格执行项目实施计划、考核指标等。采取会议讨论决策形式，对项目谋划、项目实施及结算支付全流程予以会议审定，确保程序公正公开与各环节的监督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outlineLvl w:val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项目支出严格按照相关财经法律法规进行会计核算，付款申请及落实审批支付，确保程序合法合规。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项目决策及资金使用管理情况</w:t>
      </w:r>
      <w:bookmarkEnd w:id="8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9" w:name="_Toc27405"/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项目决策情况</w:t>
      </w:r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综合事务经费项目为经常性项目，项目决策依据符合不动产登记中心年度工作计划，并根据实际情况需要制定了年度实施规划。使综合事务经费项目资金得到合理使用，发挥最大作用。对于综合事务经费项目资金的监管及使用，通过内部会议讨论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10" w:name="_Toc29663"/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项目资金安排情况</w:t>
      </w:r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outlineLvl w:val="1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/>
        </w:rPr>
      </w:pPr>
      <w:bookmarkStart w:id="11" w:name="_Toc30045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项目资金共计27.45万元，年初分配预算10万元，年中追加预算17.45万元。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项目资金使用情况</w:t>
      </w:r>
      <w:bookmarkEnd w:id="1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20" w:firstLineChars="200"/>
        <w:textAlignment w:val="auto"/>
        <w:outlineLvl w:val="1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</w:pPr>
      <w:bookmarkStart w:id="12" w:name="_Toc17207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该项目下达资金共计27.45万元，支出27.27万元，严格按照各项规定，确保单位各项工作顺利开展，累计支出占预算执行率99.34%。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项目资金管理情况</w:t>
      </w:r>
      <w:bookmarkEnd w:id="12"/>
      <w:bookmarkStart w:id="13" w:name="_Toc12313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20" w:firstLineChars="200"/>
        <w:textAlignment w:val="auto"/>
        <w:outlineLvl w:val="1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  <w:t>不动产登记中心严格遵守财务审批制度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，在开展过程中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  <w:t>项目资金严格按预算批复用途支付，支出符合财务管理制度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和资金使用制度，做到项目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eastAsia="zh-CN"/>
        </w:rPr>
        <w:t>资金拨付程序规范，并定期对资金使用情况进行检查，不断提高资金使用率。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项目绩效情况</w:t>
      </w:r>
      <w:bookmarkEnd w:id="13"/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14" w:name="_Toc15821"/>
      <w:r>
        <w:rPr>
          <w:rFonts w:hint="eastAsia" w:ascii="仿宋" w:hAnsi="仿宋" w:eastAsia="仿宋" w:cs="仿宋"/>
          <w:b/>
          <w:bCs/>
          <w:sz w:val="30"/>
          <w:szCs w:val="30"/>
        </w:rPr>
        <w:t>项目绩效目标完成情况</w:t>
      </w:r>
      <w:bookmarkEnd w:id="1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项目的经济性分析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u w:val="none"/>
          <w:shd w:val="clear" w:fill="FFFFFF"/>
          <w:lang w:val="en-US" w:eastAsia="zh-CN"/>
        </w:rPr>
        <w:t>本项目总预算为27.45万元，实际下达27.45万元，支出27.27万元，执行率99.34%，支出内容符合预算编制范围。本项目坚持以下达指标为依据，坚持预算资金管理的基本原，厉行节约、量入为出，严格控制成本，保障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项目的效率性分析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根据本单位2023年的工作布署和预算资金计划，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综合事务经费项目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于2023年底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支出27.27万元，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预算资金支付比例为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99.34%，项目已基本按照年初工作计划完成。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项目的有效性分析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该项目有计划、有步骤稳妥实施，已按全部要求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时间完成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综合经费使用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工作任务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，达到预期目的。项目预设的各项目标均已完成。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19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项目实施对经济和社会的影响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该项目的实施，使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综合事务经费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项目资金得到合理使用，发挥最大作用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保障了单位正常运行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项目的可持续性分析</w:t>
      </w:r>
      <w:bookmarkStart w:id="15" w:name="_Toc2063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ascii="仿宋_GB2312" w:hAnsi="微软雅黑" w:eastAsia="仿宋_GB2312" w:cs="仿宋_GB2312"/>
          <w:sz w:val="32"/>
          <w:szCs w:val="32"/>
          <w:shd w:val="clear" w:fill="FFFFFF"/>
        </w:rPr>
        <w:t>此项目是经常类运转项目，财政每年实施全过程监督，具备可持续性。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项目绩效目标未完成情况及原因分析</w:t>
      </w:r>
      <w:bookmarkEnd w:id="15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outlineLvl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6" w:name="_Toc3116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综合评价结论</w:t>
      </w:r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通过本次绩效自评，2023 年度保证单位运转支出工作成效较为明显，完成各项目标任务，自评得分为 88 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项目绩效评价得分汇总表</w:t>
      </w:r>
    </w:p>
    <w:tbl>
      <w:tblPr>
        <w:tblStyle w:val="14"/>
        <w:tblW w:w="8332" w:type="dxa"/>
        <w:tblInd w:w="118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59"/>
        <w:gridCol w:w="959"/>
        <w:gridCol w:w="1232"/>
        <w:gridCol w:w="380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tblHeader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评价指标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分值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得分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绩效等级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绩效等级标准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项目决策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78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优秀（18-20）、良好（16-17）、                一般（14-15）、较差（13分以下）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项目管理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优秀（22-25）、良好（20-21）、             一般（17-19）、较差（16分以下）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优秀（49-55）、良好（44-48）、              一般（38-43）、较差（37以下）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100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88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优秀（90-100）、良好（80-89）、                   一般（60-79）、较差（59以下）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17" w:name="_Toc23070"/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其他需要说明的问题</w:t>
      </w:r>
      <w:bookmarkEnd w:id="17"/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bookmarkStart w:id="18" w:name="_Toc25624"/>
      <w:r>
        <w:rPr>
          <w:rFonts w:hint="eastAsia" w:ascii="仿宋" w:hAnsi="仿宋" w:eastAsia="仿宋" w:cs="仿宋"/>
          <w:b/>
          <w:bCs/>
          <w:sz w:val="30"/>
          <w:szCs w:val="30"/>
        </w:rPr>
        <w:t>后续工作计划</w:t>
      </w:r>
      <w:bookmarkEnd w:id="18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5"/>
        <w:textAlignment w:val="auto"/>
      </w:pPr>
      <w:bookmarkStart w:id="19" w:name="_Toc18665"/>
      <w:r>
        <w:rPr>
          <w:rFonts w:ascii="仿宋" w:hAnsi="仿宋" w:eastAsia="仿宋" w:cs="仿宋"/>
          <w:sz w:val="31"/>
          <w:szCs w:val="31"/>
          <w:shd w:val="clear" w:fill="FFFFFF"/>
        </w:rPr>
        <w:t>继续完善相关制度，强化项目实施过程的管理和监督。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02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主要经验及做法、存在问题和改进措施</w:t>
      </w:r>
      <w:bookmarkEnd w:id="19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19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经验做法：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一是要完善相关制度，强化项目实施过程的管理和监督，才能使项目顺利进行和保证质量。二是加强资金管理，确保资金使用规范、合法。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19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预算执行存在的问题主要体现预算编制不够精细，绩效管理基础薄弱，缺乏预算绩效管理专业人员等。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19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加强预算管理专业知识，使项目顺利进行和保证质量。严格按照预算编制的相关制度和要求进行预算编制；加强预算收支管理，绩效评价制度和流程的建设，完善财务管理制度，规范财务核算，提高财政资金使用效率。</w:t>
      </w:r>
    </w:p>
    <w:p>
      <w:pPr>
        <w:spacing w:line="560" w:lineRule="exact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spacing w:line="560" w:lineRule="exact"/>
        <w:outlineLvl w:val="0"/>
        <w:rPr>
          <w:rFonts w:ascii="黑体" w:hAnsi="黑体" w:eastAsia="黑体" w:cs="黑体"/>
          <w:b/>
          <w:bCs/>
          <w:sz w:val="30"/>
          <w:szCs w:val="30"/>
        </w:rPr>
      </w:pPr>
      <w:bookmarkStart w:id="20" w:name="_Toc18025"/>
      <w:r>
        <w:rPr>
          <w:rFonts w:hint="eastAsia" w:ascii="黑体" w:hAnsi="黑体" w:eastAsia="黑体" w:cs="黑体"/>
          <w:b/>
          <w:bCs/>
          <w:sz w:val="30"/>
          <w:szCs w:val="30"/>
        </w:rPr>
        <w:t>附件：</w:t>
      </w:r>
      <w:bookmarkEnd w:id="20"/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白沙县不动产登记中心2023年度综合事务经费项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目绩效评价指标体系表</w:t>
      </w:r>
    </w:p>
    <w:p>
      <w:pPr>
        <w:pStyle w:val="2"/>
      </w:pPr>
    </w:p>
    <w:p>
      <w:pPr>
        <w:pStyle w:val="3"/>
        <w:rPr>
          <w:rFonts w:hint="eastAsia" w:ascii="仿宋" w:hAnsi="仿宋" w:eastAsia="仿宋" w:cs="仿宋"/>
          <w:b w:val="0"/>
          <w:bCs w:val="0"/>
          <w:color w:val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</w:rPr>
        <w:t>单位：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白沙黎族自治县不动产登记中心</w:t>
      </w:r>
      <w:r>
        <w:rPr>
          <w:rFonts w:hint="eastAsia" w:ascii="仿宋" w:hAnsi="仿宋" w:eastAsia="仿宋" w:cs="仿宋"/>
          <w:b w:val="0"/>
          <w:bCs w:val="0"/>
          <w:color w:val="FF0000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</w:rPr>
        <w:t>绩效等级：</w:t>
      </w:r>
      <w:r>
        <w:rPr>
          <w:rFonts w:hint="eastAsia" w:ascii="仿宋" w:hAnsi="仿宋" w:eastAsia="仿宋" w:cs="仿宋"/>
          <w:b/>
          <w:bCs/>
          <w:color w:val="auto"/>
          <w:lang w:val="en-US" w:eastAsia="zh-CN"/>
        </w:rPr>
        <w:t xml:space="preserve"> 优</w:t>
      </w:r>
    </w:p>
    <w:tbl>
      <w:tblPr>
        <w:tblStyle w:val="13"/>
        <w:tblW w:w="138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79"/>
        <w:gridCol w:w="572"/>
        <w:gridCol w:w="788"/>
        <w:gridCol w:w="539"/>
        <w:gridCol w:w="2646"/>
        <w:gridCol w:w="3794"/>
        <w:gridCol w:w="2880"/>
        <w:gridCol w:w="470"/>
        <w:gridCol w:w="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指标解释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评价标准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bidi="ar"/>
              </w:rPr>
              <w:t>评价依据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项目决策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项目目标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目标内容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目标是否明确、细化、量化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目标明确（1分），目标细化（1分），目标量化（2分）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目标明确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，未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细化、量化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决策过程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决策依据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项目符合法律法规、相关政策、发展规划以及部门职责。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决策程序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项目符合申报条件；申报、批复程序符合相关管理办法；项目调整履行相应手续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分配办法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办法健全、规范（1分），因素选择全面、合理（3分）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制定相关资金管理办法，并在管理办法中明确资金分配办法；资金分配因素全面、合理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分配结果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资金分配是否符合相关管理办法；分配结果是否合理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项目符合相关分配办法（1分），资金分配合理（3分）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资金分配符合相关管理办法；分配结果合理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资金到位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实际到位/计划到位×100%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根据项目实际到位资金占计划的比重计算得分（3分）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资金到位率100%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到位时效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资金是否及时到位；若未及时到位，是否影响项目进度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2023年预算资金及时到位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资金使用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不存在支出依据不合规、虚列项目支出的情况；不存在截留、挤占、挪用项目资金情况；不存在超标准开支情况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资金管理、费用支出等制度是否健全，是否严格执行；会计核算是否规范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财务制度健全（1分），严格执行制度（1分），会计核算规范（1分）。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资金管理、费用支出等制度健全，严格执行；会计核算规范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组织实施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机构是否健全、分工是否明确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机构健全、分工明确（1分）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机构健全、分工明确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管理制度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是否建立健全项目管理制度；是否严格执行相关项目管理制度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建立健全项目管理制度（2分）；严格执行相关项目管理制度（7分）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建立健全项目管理制度；严格执行相关项目管理制度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项目绩效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产出数量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项目产出数量是否达到绩效目标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对照年初或调整后的绩效目标评价产出数量（每个子项目1分，子项目得分=各子项完成率*对应分数，完成率超过100%的按100%计算。本指标总分等于各子项目得分之和，满分11分）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项目产出数量达到绩效目标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产出质量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项目产出质量是否达到绩效目标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对照年初或调整后的绩效目标评价产出质量（按优6分、良4分、中2分、差1分进行评分）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项目产出质量达到绩效目标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产出时效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项目产出时效是否达到绩效目标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对照年初或调整后的绩效目标评价产出时效（按优4分、良2分、中1分、差0分进行评分）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项目产出时效达到绩效目标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产出成本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项目产出成本是否按绩效目标控制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对照年初或调整后的绩效目标评价产出成本（按优4分、良2分、中1分、差0分进行评分）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项目产出成本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已按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绩效目标控制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项目效果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项目实施是否产生直接或间接经济效益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对照年初或调整后的绩效目标评价经济效益（6分）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项目实施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未产生经济指标，此项指标不考核，按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项目实施是否产生社会综合效益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对照年初或调整后申报的绩效目标评价社会效益（6分）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项目实施产生社会综合效益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环境效益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项目实施是否对环境产生积极或消极影响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对照年初或调整后申报的绩效目标评价环境效益（6分）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项目实施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未产生环境指标，此项指标不考核，按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可持续影响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项目实施对人、自然、资源是否带来可持续影响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对照年初或调整后申报的绩效目标评价可持续影响（6分）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项目实施对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群众的财产安全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带来可持续影响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服务对象满意度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项目预期服务对象对项目实施的满意程度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22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对照年初或调整后申报的绩效目标评价服务对象满意度（6分）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项目服务对象满意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88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701" w:right="1304" w:bottom="1701" w:left="1304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36CBD"/>
    <w:multiLevelType w:val="singleLevel"/>
    <w:tmpl w:val="D6F36C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6B916C"/>
    <w:multiLevelType w:val="singleLevel"/>
    <w:tmpl w:val="0F6B91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01DA4B7"/>
    <w:multiLevelType w:val="singleLevel"/>
    <w:tmpl w:val="201DA4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8CCACEE"/>
    <w:multiLevelType w:val="singleLevel"/>
    <w:tmpl w:val="38CCAC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9DA3052"/>
    <w:multiLevelType w:val="singleLevel"/>
    <w:tmpl w:val="69DA305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B6BE433"/>
    <w:multiLevelType w:val="singleLevel"/>
    <w:tmpl w:val="6B6BE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kMzlhZmM2M2E2NTE0ZGU4OTg4MGQwM2IyOWNmZDEifQ=="/>
  </w:docVars>
  <w:rsids>
    <w:rsidRoot w:val="00C150FE"/>
    <w:rsid w:val="002E4590"/>
    <w:rsid w:val="004B0C38"/>
    <w:rsid w:val="007A52CF"/>
    <w:rsid w:val="00B43686"/>
    <w:rsid w:val="00C150FE"/>
    <w:rsid w:val="01747E56"/>
    <w:rsid w:val="02CE4475"/>
    <w:rsid w:val="035E4919"/>
    <w:rsid w:val="04211BEC"/>
    <w:rsid w:val="07104A86"/>
    <w:rsid w:val="074B7ECB"/>
    <w:rsid w:val="07860FE4"/>
    <w:rsid w:val="08A848AD"/>
    <w:rsid w:val="093740BE"/>
    <w:rsid w:val="0BD339A2"/>
    <w:rsid w:val="0E625C06"/>
    <w:rsid w:val="12704669"/>
    <w:rsid w:val="12D27E1F"/>
    <w:rsid w:val="15331FD9"/>
    <w:rsid w:val="15CD7EDD"/>
    <w:rsid w:val="1656145B"/>
    <w:rsid w:val="17832749"/>
    <w:rsid w:val="18846779"/>
    <w:rsid w:val="1A696896"/>
    <w:rsid w:val="1C397485"/>
    <w:rsid w:val="1EC87BE9"/>
    <w:rsid w:val="1F2E38E2"/>
    <w:rsid w:val="1F3C3F2E"/>
    <w:rsid w:val="1F875CE6"/>
    <w:rsid w:val="22350AE4"/>
    <w:rsid w:val="223E7BC2"/>
    <w:rsid w:val="23D305B1"/>
    <w:rsid w:val="23F01C2D"/>
    <w:rsid w:val="270531D1"/>
    <w:rsid w:val="27460D92"/>
    <w:rsid w:val="2759331D"/>
    <w:rsid w:val="28520641"/>
    <w:rsid w:val="2924607C"/>
    <w:rsid w:val="2AB70C30"/>
    <w:rsid w:val="2C870BE6"/>
    <w:rsid w:val="2D655DF8"/>
    <w:rsid w:val="3085644A"/>
    <w:rsid w:val="33490493"/>
    <w:rsid w:val="340E2648"/>
    <w:rsid w:val="34C32532"/>
    <w:rsid w:val="355D23D3"/>
    <w:rsid w:val="359E7CCD"/>
    <w:rsid w:val="35ED2F28"/>
    <w:rsid w:val="38F4304F"/>
    <w:rsid w:val="3AA922CF"/>
    <w:rsid w:val="3B431481"/>
    <w:rsid w:val="3BAC4BF5"/>
    <w:rsid w:val="3C27466A"/>
    <w:rsid w:val="40FB7670"/>
    <w:rsid w:val="42363B9E"/>
    <w:rsid w:val="468A212D"/>
    <w:rsid w:val="46EE37D3"/>
    <w:rsid w:val="49171F5C"/>
    <w:rsid w:val="4A427DA8"/>
    <w:rsid w:val="4A8F2006"/>
    <w:rsid w:val="4BCB5E91"/>
    <w:rsid w:val="4C1930A0"/>
    <w:rsid w:val="4D471547"/>
    <w:rsid w:val="4D4D2D3E"/>
    <w:rsid w:val="50016325"/>
    <w:rsid w:val="507F755D"/>
    <w:rsid w:val="5391565B"/>
    <w:rsid w:val="55A77F90"/>
    <w:rsid w:val="56B47C60"/>
    <w:rsid w:val="585208FC"/>
    <w:rsid w:val="5B3F3BFC"/>
    <w:rsid w:val="5C0F497A"/>
    <w:rsid w:val="5E106D69"/>
    <w:rsid w:val="5E6C46A4"/>
    <w:rsid w:val="61F51865"/>
    <w:rsid w:val="62612C54"/>
    <w:rsid w:val="6312610F"/>
    <w:rsid w:val="634F128B"/>
    <w:rsid w:val="643B1CA8"/>
    <w:rsid w:val="65540E2B"/>
    <w:rsid w:val="667A42E4"/>
    <w:rsid w:val="675D0142"/>
    <w:rsid w:val="6854518C"/>
    <w:rsid w:val="686C6A26"/>
    <w:rsid w:val="6D677CC4"/>
    <w:rsid w:val="6E523B3F"/>
    <w:rsid w:val="6F9C5194"/>
    <w:rsid w:val="72C32AB2"/>
    <w:rsid w:val="74377329"/>
    <w:rsid w:val="747A4174"/>
    <w:rsid w:val="74A30F93"/>
    <w:rsid w:val="74EB739B"/>
    <w:rsid w:val="769413F2"/>
    <w:rsid w:val="78E21FA1"/>
    <w:rsid w:val="79F521A7"/>
    <w:rsid w:val="7ABB2F9E"/>
    <w:rsid w:val="7C915684"/>
    <w:rsid w:val="7E6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15">
    <w:name w:val="Default Paragraph Font"/>
    <w:link w:val="16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ody Text"/>
    <w:basedOn w:val="1"/>
    <w:unhideWhenUsed/>
    <w:qFormat/>
    <w:uiPriority w:val="0"/>
    <w:pPr>
      <w:widowControl/>
      <w:spacing w:before="150" w:beforeLines="0" w:after="150" w:afterLines="0" w:line="264" w:lineRule="auto"/>
      <w:ind w:firstLine="567"/>
    </w:pPr>
    <w:rPr>
      <w:rFonts w:hint="eastAsia" w:ascii="华文楷体" w:hAnsi="华文楷体" w:eastAsia="华文楷体" w:cs="黑体"/>
      <w:kern w:val="0"/>
      <w:sz w:val="24"/>
      <w:szCs w:val="20"/>
    </w:rPr>
  </w:style>
  <w:style w:type="paragraph" w:styleId="6">
    <w:name w:val="Body Text Indent"/>
    <w:basedOn w:val="1"/>
    <w:unhideWhenUsed/>
    <w:qFormat/>
    <w:uiPriority w:val="99"/>
    <w:pPr>
      <w:spacing w:beforeLines="0" w:afterLines="0"/>
      <w:ind w:left="105" w:hanging="105"/>
    </w:pPr>
    <w:rPr>
      <w:rFonts w:hint="default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5"/>
    <w:next w:val="12"/>
    <w:unhideWhenUsed/>
    <w:qFormat/>
    <w:uiPriority w:val="99"/>
    <w:pPr>
      <w:spacing w:before="0" w:beforeLines="0" w:after="120" w:afterLines="0" w:line="240" w:lineRule="auto"/>
      <w:ind w:firstLine="420" w:firstLineChars="100"/>
    </w:pPr>
    <w:rPr>
      <w:rFonts w:hint="default" w:ascii="Calibri" w:hAnsi="Calibri" w:eastAsia="宋体"/>
      <w:sz w:val="24"/>
      <w:szCs w:val="20"/>
    </w:rPr>
  </w:style>
  <w:style w:type="paragraph" w:styleId="12">
    <w:name w:val="Body Text First Indent 2"/>
    <w:basedOn w:val="6"/>
    <w:next w:val="11"/>
    <w:unhideWhenUsed/>
    <w:qFormat/>
    <w:uiPriority w:val="99"/>
    <w:pPr>
      <w:spacing w:beforeLines="0" w:afterLines="0"/>
      <w:ind w:firstLine="420" w:firstLineChars="200"/>
    </w:pPr>
    <w:rPr>
      <w:rFonts w:hint="default"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Char Char Char Char"/>
    <w:basedOn w:val="4"/>
    <w:link w:val="15"/>
    <w:qFormat/>
    <w:uiPriority w:val="0"/>
    <w:pPr>
      <w:adjustRightInd w:val="0"/>
      <w:snapToGrid w:val="0"/>
      <w:spacing w:line="360" w:lineRule="auto"/>
    </w:pPr>
  </w:style>
  <w:style w:type="character" w:styleId="17">
    <w:name w:val="Strong"/>
    <w:basedOn w:val="15"/>
    <w:qFormat/>
    <w:uiPriority w:val="0"/>
    <w:rPr>
      <w:b/>
    </w:rPr>
  </w:style>
  <w:style w:type="character" w:styleId="18">
    <w:name w:val="FollowedHyperlink"/>
    <w:basedOn w:val="15"/>
    <w:qFormat/>
    <w:uiPriority w:val="0"/>
    <w:rPr>
      <w:color w:val="434343"/>
      <w:u w:val="none"/>
    </w:rPr>
  </w:style>
  <w:style w:type="character" w:styleId="19">
    <w:name w:val="Emphasis"/>
    <w:basedOn w:val="15"/>
    <w:qFormat/>
    <w:uiPriority w:val="0"/>
  </w:style>
  <w:style w:type="character" w:styleId="20">
    <w:name w:val="Hyperlink"/>
    <w:basedOn w:val="15"/>
    <w:qFormat/>
    <w:uiPriority w:val="0"/>
    <w:rPr>
      <w:color w:val="434343"/>
      <w:u w:val="none"/>
    </w:rPr>
  </w:style>
  <w:style w:type="paragraph" w:customStyle="1" w:styleId="21">
    <w:name w:val="p14-2"/>
    <w:basedOn w:val="1"/>
    <w:qFormat/>
    <w:uiPriority w:val="0"/>
    <w:pPr>
      <w:spacing w:line="456" w:lineRule="auto"/>
      <w:jc w:val="left"/>
    </w:pPr>
    <w:rPr>
      <w:kern w:val="0"/>
      <w:szCs w:val="21"/>
    </w:rPr>
  </w:style>
  <w:style w:type="character" w:customStyle="1" w:styleId="22">
    <w:name w:val="font2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51"/>
    <w:basedOn w:val="1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4">
    <w:name w:val="hdjl-x-l-x-sp1"/>
    <w:basedOn w:val="15"/>
    <w:qFormat/>
    <w:uiPriority w:val="0"/>
    <w:rPr>
      <w:color w:val="BFBFBF"/>
      <w:sz w:val="24"/>
      <w:szCs w:val="24"/>
    </w:rPr>
  </w:style>
  <w:style w:type="character" w:customStyle="1" w:styleId="25">
    <w:name w:val="zx-span4"/>
    <w:basedOn w:val="15"/>
    <w:qFormat/>
    <w:uiPriority w:val="0"/>
  </w:style>
  <w:style w:type="character" w:customStyle="1" w:styleId="26">
    <w:name w:val="zx-span41"/>
    <w:basedOn w:val="15"/>
    <w:qFormat/>
    <w:uiPriority w:val="0"/>
    <w:rPr>
      <w:color w:val="FFFFFF"/>
    </w:rPr>
  </w:style>
  <w:style w:type="character" w:customStyle="1" w:styleId="27">
    <w:name w:val="zx-xuan9"/>
    <w:basedOn w:val="15"/>
    <w:qFormat/>
    <w:uiPriority w:val="0"/>
    <w:rPr>
      <w:shd w:val="clear" w:fill="347BD7"/>
    </w:rPr>
  </w:style>
  <w:style w:type="character" w:customStyle="1" w:styleId="28">
    <w:name w:val="zx-span3"/>
    <w:basedOn w:val="15"/>
    <w:qFormat/>
    <w:uiPriority w:val="0"/>
  </w:style>
  <w:style w:type="character" w:customStyle="1" w:styleId="29">
    <w:name w:val="zx-span31"/>
    <w:basedOn w:val="15"/>
    <w:qFormat/>
    <w:uiPriority w:val="0"/>
    <w:rPr>
      <w:color w:val="FFFFFF"/>
    </w:rPr>
  </w:style>
  <w:style w:type="character" w:customStyle="1" w:styleId="30">
    <w:name w:val="zx-span5"/>
    <w:basedOn w:val="15"/>
    <w:qFormat/>
    <w:uiPriority w:val="0"/>
  </w:style>
  <w:style w:type="character" w:customStyle="1" w:styleId="31">
    <w:name w:val="zx-span51"/>
    <w:basedOn w:val="15"/>
    <w:qFormat/>
    <w:uiPriority w:val="0"/>
    <w:rPr>
      <w:color w:val="FFFFFF"/>
    </w:rPr>
  </w:style>
  <w:style w:type="character" w:customStyle="1" w:styleId="32">
    <w:name w:val="bsfw-sp1"/>
    <w:basedOn w:val="15"/>
    <w:qFormat/>
    <w:uiPriority w:val="0"/>
  </w:style>
  <w:style w:type="character" w:customStyle="1" w:styleId="33">
    <w:name w:val="bsfw-sp11"/>
    <w:basedOn w:val="15"/>
    <w:qFormat/>
    <w:uiPriority w:val="0"/>
    <w:rPr>
      <w:color w:val="FFFFFF"/>
      <w:shd w:val="clear" w:fill="347BD7"/>
    </w:rPr>
  </w:style>
  <w:style w:type="character" w:customStyle="1" w:styleId="34">
    <w:name w:val="zx-span2"/>
    <w:basedOn w:val="15"/>
    <w:qFormat/>
    <w:uiPriority w:val="0"/>
  </w:style>
  <w:style w:type="character" w:customStyle="1" w:styleId="35">
    <w:name w:val="zx-span21"/>
    <w:basedOn w:val="15"/>
    <w:qFormat/>
    <w:uiPriority w:val="0"/>
    <w:rPr>
      <w:color w:val="FFFFFF"/>
    </w:rPr>
  </w:style>
  <w:style w:type="character" w:customStyle="1" w:styleId="36">
    <w:name w:val="bsfw-sp2"/>
    <w:basedOn w:val="15"/>
    <w:qFormat/>
    <w:uiPriority w:val="0"/>
  </w:style>
  <w:style w:type="character" w:customStyle="1" w:styleId="37">
    <w:name w:val="zx-span1"/>
    <w:basedOn w:val="15"/>
    <w:qFormat/>
    <w:uiPriority w:val="0"/>
  </w:style>
  <w:style w:type="character" w:customStyle="1" w:styleId="38">
    <w:name w:val="zx-span11"/>
    <w:basedOn w:val="15"/>
    <w:qFormat/>
    <w:uiPriority w:val="0"/>
    <w:rPr>
      <w:color w:val="FFFFFF"/>
    </w:rPr>
  </w:style>
  <w:style w:type="character" w:customStyle="1" w:styleId="39">
    <w:name w:val="r-5-l-sp3"/>
    <w:basedOn w:val="15"/>
    <w:qFormat/>
    <w:uiPriority w:val="0"/>
  </w:style>
  <w:style w:type="character" w:customStyle="1" w:styleId="40">
    <w:name w:val="hdjl-x-l-m-sp3"/>
    <w:basedOn w:val="15"/>
    <w:qFormat/>
    <w:uiPriority w:val="0"/>
  </w:style>
  <w:style w:type="character" w:customStyle="1" w:styleId="41">
    <w:name w:val="hdjl-x-l-m-sp1"/>
    <w:basedOn w:val="15"/>
    <w:qFormat/>
    <w:uiPriority w:val="0"/>
  </w:style>
  <w:style w:type="character" w:customStyle="1" w:styleId="42">
    <w:name w:val="ndata"/>
    <w:basedOn w:val="15"/>
    <w:qFormat/>
    <w:uiPriority w:val="0"/>
    <w:rPr>
      <w:color w:val="888888"/>
      <w:sz w:val="21"/>
      <w:szCs w:val="21"/>
    </w:rPr>
  </w:style>
  <w:style w:type="character" w:customStyle="1" w:styleId="43">
    <w:name w:val="hdxdata"/>
    <w:basedOn w:val="15"/>
    <w:qFormat/>
    <w:uiPriority w:val="0"/>
  </w:style>
  <w:style w:type="character" w:customStyle="1" w:styleId="44">
    <w:name w:val="hdxdata1"/>
    <w:basedOn w:val="15"/>
    <w:qFormat/>
    <w:uiPriority w:val="0"/>
  </w:style>
  <w:style w:type="character" w:customStyle="1" w:styleId="45">
    <w:name w:val="hover80"/>
    <w:basedOn w:val="15"/>
    <w:qFormat/>
    <w:uiPriority w:val="0"/>
    <w:rPr>
      <w:shd w:val="clear" w:fill="347BD7"/>
    </w:rPr>
  </w:style>
  <w:style w:type="character" w:customStyle="1" w:styleId="46">
    <w:name w:val="hdjl-x-l-m-sp2"/>
    <w:basedOn w:val="15"/>
    <w:qFormat/>
    <w:uiPriority w:val="0"/>
  </w:style>
  <w:style w:type="character" w:customStyle="1" w:styleId="47">
    <w:name w:val="hdjl-x-l-m-sp4"/>
    <w:basedOn w:val="15"/>
    <w:qFormat/>
    <w:uiPriority w:val="0"/>
  </w:style>
  <w:style w:type="character" w:customStyle="1" w:styleId="48">
    <w:name w:val="zx-xuan15"/>
    <w:basedOn w:val="15"/>
    <w:qFormat/>
    <w:uiPriority w:val="0"/>
    <w:rPr>
      <w:color w:val="FFFFFF"/>
    </w:rPr>
  </w:style>
  <w:style w:type="character" w:customStyle="1" w:styleId="49">
    <w:name w:val="zx-xuan4"/>
    <w:basedOn w:val="15"/>
    <w:qFormat/>
    <w:uiPriority w:val="0"/>
    <w:rPr>
      <w:shd w:val="clear" w:fill="FFFFFF"/>
    </w:rPr>
  </w:style>
  <w:style w:type="character" w:customStyle="1" w:styleId="50">
    <w:name w:val="bsfw-sp3"/>
    <w:basedOn w:val="15"/>
    <w:qFormat/>
    <w:uiPriority w:val="0"/>
  </w:style>
  <w:style w:type="character" w:customStyle="1" w:styleId="51">
    <w:name w:val="bsfw-sp31"/>
    <w:basedOn w:val="15"/>
    <w:qFormat/>
    <w:uiPriority w:val="0"/>
    <w:rPr>
      <w:color w:val="FFFFFF"/>
      <w:shd w:val="clear" w:fill="347BD7"/>
    </w:rPr>
  </w:style>
  <w:style w:type="character" w:customStyle="1" w:styleId="52">
    <w:name w:val="r-5-l-sp1"/>
    <w:basedOn w:val="15"/>
    <w:qFormat/>
    <w:uiPriority w:val="0"/>
  </w:style>
  <w:style w:type="character" w:customStyle="1" w:styleId="53">
    <w:name w:val="r-5-l-sp2"/>
    <w:basedOn w:val="15"/>
    <w:qFormat/>
    <w:uiPriority w:val="0"/>
  </w:style>
  <w:style w:type="character" w:customStyle="1" w:styleId="54">
    <w:name w:val="zwfw-sp2"/>
    <w:basedOn w:val="15"/>
    <w:qFormat/>
    <w:uiPriority w:val="0"/>
  </w:style>
  <w:style w:type="character" w:customStyle="1" w:styleId="55">
    <w:name w:val="time2"/>
    <w:basedOn w:val="15"/>
    <w:qFormat/>
    <w:uiPriority w:val="0"/>
    <w:rPr>
      <w:color w:val="AAAAAA"/>
    </w:rPr>
  </w:style>
  <w:style w:type="character" w:customStyle="1" w:styleId="56">
    <w:name w:val="time3"/>
    <w:basedOn w:val="15"/>
    <w:qFormat/>
    <w:uiPriority w:val="0"/>
    <w:rPr>
      <w:color w:val="AAAAAA"/>
    </w:rPr>
  </w:style>
  <w:style w:type="character" w:customStyle="1" w:styleId="57">
    <w:name w:val="hdjl-x-l-x-sp3"/>
    <w:basedOn w:val="15"/>
    <w:qFormat/>
    <w:uiPriority w:val="0"/>
    <w:rPr>
      <w:color w:val="BFBFBF"/>
      <w:sz w:val="18"/>
      <w:szCs w:val="18"/>
    </w:rPr>
  </w:style>
  <w:style w:type="character" w:customStyle="1" w:styleId="58">
    <w:name w:val="data"/>
    <w:basedOn w:val="15"/>
    <w:qFormat/>
    <w:uiPriority w:val="0"/>
    <w:rPr>
      <w:color w:val="B6B6B6"/>
      <w:sz w:val="21"/>
      <w:szCs w:val="21"/>
    </w:rPr>
  </w:style>
  <w:style w:type="character" w:customStyle="1" w:styleId="59">
    <w:name w:val="first-child"/>
    <w:basedOn w:val="15"/>
    <w:qFormat/>
    <w:uiPriority w:val="0"/>
  </w:style>
  <w:style w:type="character" w:customStyle="1" w:styleId="60">
    <w:name w:val="layui-this"/>
    <w:basedOn w:val="15"/>
    <w:qFormat/>
    <w:uiPriority w:val="0"/>
    <w:rPr>
      <w:bdr w:val="single" w:color="EEEEEE" w:sz="6" w:space="0"/>
      <w:shd w:val="clear" w:fill="FFFFFF"/>
    </w:rPr>
  </w:style>
  <w:style w:type="character" w:customStyle="1" w:styleId="61">
    <w:name w:val="xtb-fr-14"/>
    <w:basedOn w:val="15"/>
    <w:qFormat/>
    <w:uiPriority w:val="0"/>
  </w:style>
  <w:style w:type="character" w:customStyle="1" w:styleId="62">
    <w:name w:val="xtb-fr-13"/>
    <w:basedOn w:val="15"/>
    <w:qFormat/>
    <w:uiPriority w:val="0"/>
  </w:style>
  <w:style w:type="character" w:customStyle="1" w:styleId="63">
    <w:name w:val="xtb-fr-23"/>
    <w:basedOn w:val="15"/>
    <w:qFormat/>
    <w:uiPriority w:val="0"/>
  </w:style>
  <w:style w:type="character" w:customStyle="1" w:styleId="64">
    <w:name w:val="xtb-gr-21"/>
    <w:basedOn w:val="15"/>
    <w:qFormat/>
    <w:uiPriority w:val="0"/>
  </w:style>
  <w:style w:type="character" w:customStyle="1" w:styleId="65">
    <w:name w:val="zy-fr-bj3"/>
    <w:basedOn w:val="15"/>
    <w:qFormat/>
    <w:uiPriority w:val="0"/>
  </w:style>
  <w:style w:type="character" w:customStyle="1" w:styleId="66">
    <w:name w:val="xtb-gr-14"/>
    <w:basedOn w:val="15"/>
    <w:qFormat/>
    <w:uiPriority w:val="0"/>
  </w:style>
  <w:style w:type="character" w:customStyle="1" w:styleId="67">
    <w:name w:val="bsfw-sp21"/>
    <w:basedOn w:val="15"/>
    <w:qFormat/>
    <w:uiPriority w:val="0"/>
    <w:rPr>
      <w:color w:val="FFFFFF"/>
    </w:rPr>
  </w:style>
  <w:style w:type="character" w:customStyle="1" w:styleId="68">
    <w:name w:val="bsfw-sp4"/>
    <w:basedOn w:val="15"/>
    <w:qFormat/>
    <w:uiPriority w:val="0"/>
    <w:rPr>
      <w:shd w:val="clear" w:fill="EEEEEE"/>
    </w:rPr>
  </w:style>
  <w:style w:type="character" w:customStyle="1" w:styleId="69">
    <w:name w:val="bsfw-sp41"/>
    <w:basedOn w:val="15"/>
    <w:qFormat/>
    <w:uiPriority w:val="0"/>
    <w:rPr>
      <w:color w:val="FFFFFF"/>
    </w:rPr>
  </w:style>
  <w:style w:type="character" w:customStyle="1" w:styleId="70">
    <w:name w:val="xtb-gr-17"/>
    <w:basedOn w:val="15"/>
    <w:qFormat/>
    <w:uiPriority w:val="0"/>
  </w:style>
  <w:style w:type="character" w:customStyle="1" w:styleId="71">
    <w:name w:val="xtb-gr-09"/>
    <w:basedOn w:val="15"/>
    <w:qFormat/>
    <w:uiPriority w:val="0"/>
  </w:style>
  <w:style w:type="character" w:customStyle="1" w:styleId="72">
    <w:name w:val="xtb-gr-05"/>
    <w:basedOn w:val="15"/>
    <w:qFormat/>
    <w:uiPriority w:val="0"/>
  </w:style>
  <w:style w:type="character" w:customStyle="1" w:styleId="73">
    <w:name w:val="zy-gr-bj15"/>
    <w:basedOn w:val="15"/>
    <w:qFormat/>
    <w:uiPriority w:val="0"/>
  </w:style>
  <w:style w:type="character" w:customStyle="1" w:styleId="74">
    <w:name w:val="lm5-l-x-t-sp1"/>
    <w:basedOn w:val="15"/>
    <w:qFormat/>
    <w:uiPriority w:val="0"/>
  </w:style>
  <w:style w:type="character" w:customStyle="1" w:styleId="75">
    <w:name w:val="zy-fr-bj8"/>
    <w:basedOn w:val="15"/>
    <w:qFormat/>
    <w:uiPriority w:val="0"/>
  </w:style>
  <w:style w:type="character" w:customStyle="1" w:styleId="76">
    <w:name w:val="xtb-fr-04"/>
    <w:basedOn w:val="15"/>
    <w:qFormat/>
    <w:uiPriority w:val="0"/>
  </w:style>
  <w:style w:type="character" w:customStyle="1" w:styleId="77">
    <w:name w:val="xtb-gr-12"/>
    <w:basedOn w:val="15"/>
    <w:qFormat/>
    <w:uiPriority w:val="0"/>
  </w:style>
  <w:style w:type="character" w:customStyle="1" w:styleId="78">
    <w:name w:val="hover86"/>
    <w:basedOn w:val="15"/>
    <w:qFormat/>
    <w:uiPriority w:val="0"/>
    <w:rPr>
      <w:shd w:val="clear" w:fill="00479D"/>
    </w:rPr>
  </w:style>
  <w:style w:type="character" w:customStyle="1" w:styleId="79">
    <w:name w:val="xtb-fr-20"/>
    <w:basedOn w:val="15"/>
    <w:qFormat/>
    <w:uiPriority w:val="0"/>
  </w:style>
  <w:style w:type="character" w:customStyle="1" w:styleId="80">
    <w:name w:val="xtb-gr-15"/>
    <w:basedOn w:val="15"/>
    <w:qFormat/>
    <w:uiPriority w:val="0"/>
  </w:style>
  <w:style w:type="character" w:customStyle="1" w:styleId="81">
    <w:name w:val="xtb-gr-16"/>
    <w:basedOn w:val="15"/>
    <w:qFormat/>
    <w:uiPriority w:val="0"/>
  </w:style>
  <w:style w:type="character" w:customStyle="1" w:styleId="82">
    <w:name w:val="xtb-gr-19"/>
    <w:basedOn w:val="15"/>
    <w:qFormat/>
    <w:uiPriority w:val="0"/>
  </w:style>
  <w:style w:type="character" w:customStyle="1" w:styleId="83">
    <w:name w:val="zy-gr-bj3"/>
    <w:basedOn w:val="15"/>
    <w:qFormat/>
    <w:uiPriority w:val="0"/>
  </w:style>
  <w:style w:type="character" w:customStyle="1" w:styleId="84">
    <w:name w:val="xtb-fr-03"/>
    <w:basedOn w:val="15"/>
    <w:qFormat/>
    <w:uiPriority w:val="0"/>
  </w:style>
  <w:style w:type="character" w:customStyle="1" w:styleId="85">
    <w:name w:val="xtb-gr-04"/>
    <w:basedOn w:val="15"/>
    <w:qFormat/>
    <w:uiPriority w:val="0"/>
  </w:style>
  <w:style w:type="character" w:customStyle="1" w:styleId="86">
    <w:name w:val="hover87"/>
    <w:basedOn w:val="15"/>
    <w:qFormat/>
    <w:uiPriority w:val="0"/>
  </w:style>
  <w:style w:type="character" w:customStyle="1" w:styleId="87">
    <w:name w:val="zy-fr-bj21"/>
    <w:basedOn w:val="15"/>
    <w:qFormat/>
    <w:uiPriority w:val="0"/>
  </w:style>
  <w:style w:type="character" w:customStyle="1" w:styleId="88">
    <w:name w:val="lm5-l-x-t-sp2"/>
    <w:basedOn w:val="15"/>
    <w:qFormat/>
    <w:uiPriority w:val="0"/>
  </w:style>
  <w:style w:type="character" w:customStyle="1" w:styleId="89">
    <w:name w:val="lm5-l-x-t-sp3"/>
    <w:basedOn w:val="15"/>
    <w:qFormat/>
    <w:uiPriority w:val="0"/>
  </w:style>
  <w:style w:type="character" w:customStyle="1" w:styleId="90">
    <w:name w:val="lm5-l-x-t-sp4"/>
    <w:basedOn w:val="15"/>
    <w:qFormat/>
    <w:uiPriority w:val="0"/>
  </w:style>
  <w:style w:type="character" w:customStyle="1" w:styleId="91">
    <w:name w:val="xtb-fr-11"/>
    <w:basedOn w:val="15"/>
    <w:qFormat/>
    <w:uiPriority w:val="0"/>
  </w:style>
  <w:style w:type="character" w:customStyle="1" w:styleId="92">
    <w:name w:val="xtb-gr-22"/>
    <w:basedOn w:val="15"/>
    <w:qFormat/>
    <w:uiPriority w:val="0"/>
  </w:style>
  <w:style w:type="character" w:customStyle="1" w:styleId="93">
    <w:name w:val="xtb-fr-12"/>
    <w:basedOn w:val="15"/>
    <w:qFormat/>
    <w:uiPriority w:val="0"/>
  </w:style>
  <w:style w:type="character" w:customStyle="1" w:styleId="94">
    <w:name w:val="xtb-gr-20"/>
    <w:basedOn w:val="15"/>
    <w:qFormat/>
    <w:uiPriority w:val="0"/>
  </w:style>
  <w:style w:type="character" w:customStyle="1" w:styleId="95">
    <w:name w:val="xtb-fr-05"/>
    <w:basedOn w:val="15"/>
    <w:qFormat/>
    <w:uiPriority w:val="0"/>
  </w:style>
  <w:style w:type="character" w:customStyle="1" w:styleId="96">
    <w:name w:val="xtb-fr-17"/>
    <w:basedOn w:val="15"/>
    <w:qFormat/>
    <w:uiPriority w:val="0"/>
  </w:style>
  <w:style w:type="character" w:customStyle="1" w:styleId="97">
    <w:name w:val="xtb-gr-13"/>
    <w:basedOn w:val="15"/>
    <w:qFormat/>
    <w:uiPriority w:val="0"/>
  </w:style>
  <w:style w:type="character" w:customStyle="1" w:styleId="98">
    <w:name w:val="zy-gr-bj5"/>
    <w:basedOn w:val="15"/>
    <w:qFormat/>
    <w:uiPriority w:val="0"/>
  </w:style>
  <w:style w:type="character" w:customStyle="1" w:styleId="99">
    <w:name w:val="zy-gr-bj7"/>
    <w:basedOn w:val="15"/>
    <w:qFormat/>
    <w:uiPriority w:val="0"/>
  </w:style>
  <w:style w:type="character" w:customStyle="1" w:styleId="100">
    <w:name w:val="zy-fr-bj20"/>
    <w:basedOn w:val="15"/>
    <w:qFormat/>
    <w:uiPriority w:val="0"/>
  </w:style>
  <w:style w:type="character" w:customStyle="1" w:styleId="101">
    <w:name w:val="xtb-fr-02"/>
    <w:basedOn w:val="15"/>
    <w:qFormat/>
    <w:uiPriority w:val="0"/>
  </w:style>
  <w:style w:type="character" w:customStyle="1" w:styleId="102">
    <w:name w:val="xtb-gr-11"/>
    <w:basedOn w:val="15"/>
    <w:qFormat/>
    <w:uiPriority w:val="0"/>
  </w:style>
  <w:style w:type="character" w:customStyle="1" w:styleId="103">
    <w:name w:val="xtb-fr-21"/>
    <w:basedOn w:val="15"/>
    <w:qFormat/>
    <w:uiPriority w:val="0"/>
  </w:style>
  <w:style w:type="character" w:customStyle="1" w:styleId="104">
    <w:name w:val="zy-gr-bj25"/>
    <w:basedOn w:val="15"/>
    <w:qFormat/>
    <w:uiPriority w:val="0"/>
  </w:style>
  <w:style w:type="character" w:customStyle="1" w:styleId="105">
    <w:name w:val="xtb-gr-08"/>
    <w:basedOn w:val="15"/>
    <w:qFormat/>
    <w:uiPriority w:val="0"/>
  </w:style>
  <w:style w:type="character" w:customStyle="1" w:styleId="106">
    <w:name w:val="after"/>
    <w:basedOn w:val="15"/>
    <w:qFormat/>
    <w:uiPriority w:val="0"/>
    <w:rPr>
      <w:color w:val="25478E"/>
      <w:shd w:val="clear" w:fill="25478E"/>
    </w:rPr>
  </w:style>
  <w:style w:type="character" w:customStyle="1" w:styleId="107">
    <w:name w:val="after1"/>
    <w:basedOn w:val="15"/>
    <w:qFormat/>
    <w:uiPriority w:val="0"/>
    <w:rPr>
      <w:color w:val="25478E"/>
      <w:shd w:val="clear" w:fill="25478E"/>
    </w:rPr>
  </w:style>
  <w:style w:type="character" w:customStyle="1" w:styleId="108">
    <w:name w:val="after2"/>
    <w:basedOn w:val="15"/>
    <w:qFormat/>
    <w:uiPriority w:val="0"/>
    <w:rPr>
      <w:color w:val="25478E"/>
      <w:shd w:val="clear" w:fill="25478E"/>
    </w:rPr>
  </w:style>
  <w:style w:type="character" w:customStyle="1" w:styleId="109">
    <w:name w:val="xtb-gr-01"/>
    <w:basedOn w:val="15"/>
    <w:qFormat/>
    <w:uiPriority w:val="0"/>
  </w:style>
  <w:style w:type="character" w:customStyle="1" w:styleId="110">
    <w:name w:val="xtb-gr-02"/>
    <w:basedOn w:val="15"/>
    <w:qFormat/>
    <w:uiPriority w:val="0"/>
  </w:style>
  <w:style w:type="character" w:customStyle="1" w:styleId="111">
    <w:name w:val="xtb-gr-03"/>
    <w:basedOn w:val="15"/>
    <w:qFormat/>
    <w:uiPriority w:val="0"/>
  </w:style>
  <w:style w:type="character" w:customStyle="1" w:styleId="112">
    <w:name w:val="xtb-gr-07"/>
    <w:basedOn w:val="15"/>
    <w:qFormat/>
    <w:uiPriority w:val="0"/>
  </w:style>
  <w:style w:type="character" w:customStyle="1" w:styleId="113">
    <w:name w:val="xtb-gr-06"/>
    <w:basedOn w:val="15"/>
    <w:qFormat/>
    <w:uiPriority w:val="0"/>
  </w:style>
  <w:style w:type="character" w:customStyle="1" w:styleId="114">
    <w:name w:val="xtb-fr-01"/>
    <w:basedOn w:val="15"/>
    <w:qFormat/>
    <w:uiPriority w:val="0"/>
  </w:style>
  <w:style w:type="character" w:customStyle="1" w:styleId="115">
    <w:name w:val="xtb-fr-18"/>
    <w:basedOn w:val="15"/>
    <w:qFormat/>
    <w:uiPriority w:val="0"/>
  </w:style>
  <w:style w:type="character" w:customStyle="1" w:styleId="116">
    <w:name w:val="xtb-fr-16"/>
    <w:basedOn w:val="15"/>
    <w:qFormat/>
    <w:uiPriority w:val="0"/>
  </w:style>
  <w:style w:type="character" w:customStyle="1" w:styleId="117">
    <w:name w:val="xtb-fr-10"/>
    <w:basedOn w:val="15"/>
    <w:qFormat/>
    <w:uiPriority w:val="0"/>
  </w:style>
  <w:style w:type="character" w:customStyle="1" w:styleId="118">
    <w:name w:val="xtb-gr-10"/>
    <w:basedOn w:val="15"/>
    <w:qFormat/>
    <w:uiPriority w:val="0"/>
  </w:style>
  <w:style w:type="character" w:customStyle="1" w:styleId="119">
    <w:name w:val="xtb-fr-06"/>
    <w:basedOn w:val="15"/>
    <w:qFormat/>
    <w:uiPriority w:val="0"/>
  </w:style>
  <w:style w:type="character" w:customStyle="1" w:styleId="120">
    <w:name w:val="xtb-gr-18"/>
    <w:basedOn w:val="15"/>
    <w:qFormat/>
    <w:uiPriority w:val="0"/>
  </w:style>
  <w:style w:type="character" w:customStyle="1" w:styleId="121">
    <w:name w:val="xtb-fr-07"/>
    <w:basedOn w:val="15"/>
    <w:qFormat/>
    <w:uiPriority w:val="0"/>
  </w:style>
  <w:style w:type="character" w:customStyle="1" w:styleId="122">
    <w:name w:val="xtb-fr-08"/>
    <w:basedOn w:val="15"/>
    <w:qFormat/>
    <w:uiPriority w:val="0"/>
  </w:style>
  <w:style w:type="character" w:customStyle="1" w:styleId="123">
    <w:name w:val="xtb-fr-09"/>
    <w:basedOn w:val="15"/>
    <w:qFormat/>
    <w:uiPriority w:val="0"/>
  </w:style>
  <w:style w:type="character" w:customStyle="1" w:styleId="124">
    <w:name w:val="xtb-fr-15"/>
    <w:basedOn w:val="15"/>
    <w:qFormat/>
    <w:uiPriority w:val="0"/>
  </w:style>
  <w:style w:type="character" w:customStyle="1" w:styleId="125">
    <w:name w:val="xtb-fr-19"/>
    <w:basedOn w:val="15"/>
    <w:qFormat/>
    <w:uiPriority w:val="0"/>
  </w:style>
  <w:style w:type="character" w:customStyle="1" w:styleId="126">
    <w:name w:val="xtb-fr-22"/>
    <w:basedOn w:val="15"/>
    <w:qFormat/>
    <w:uiPriority w:val="0"/>
  </w:style>
  <w:style w:type="character" w:customStyle="1" w:styleId="127">
    <w:name w:val="xtb-fr-24"/>
    <w:basedOn w:val="15"/>
    <w:qFormat/>
    <w:uiPriority w:val="0"/>
  </w:style>
  <w:style w:type="character" w:customStyle="1" w:styleId="128">
    <w:name w:val="zy-gr-bj21"/>
    <w:basedOn w:val="15"/>
    <w:qFormat/>
    <w:uiPriority w:val="0"/>
  </w:style>
  <w:style w:type="character" w:customStyle="1" w:styleId="129">
    <w:name w:val="zy-gr-bj27"/>
    <w:basedOn w:val="15"/>
    <w:qFormat/>
    <w:uiPriority w:val="0"/>
  </w:style>
  <w:style w:type="character" w:customStyle="1" w:styleId="130">
    <w:name w:val="zy-fr-bj16"/>
    <w:basedOn w:val="15"/>
    <w:qFormat/>
    <w:uiPriority w:val="0"/>
  </w:style>
  <w:style w:type="character" w:customStyle="1" w:styleId="131">
    <w:name w:val="zy-fr-bj17"/>
    <w:basedOn w:val="15"/>
    <w:qFormat/>
    <w:uiPriority w:val="0"/>
  </w:style>
  <w:style w:type="character" w:customStyle="1" w:styleId="132">
    <w:name w:val="zy-gr-bj26"/>
    <w:basedOn w:val="15"/>
    <w:qFormat/>
    <w:uiPriority w:val="0"/>
  </w:style>
  <w:style w:type="character" w:customStyle="1" w:styleId="133">
    <w:name w:val="zy-gr-bj1"/>
    <w:basedOn w:val="15"/>
    <w:qFormat/>
    <w:uiPriority w:val="0"/>
  </w:style>
  <w:style w:type="character" w:customStyle="1" w:styleId="134">
    <w:name w:val="zy-gr-bj6"/>
    <w:basedOn w:val="15"/>
    <w:qFormat/>
    <w:uiPriority w:val="0"/>
  </w:style>
  <w:style w:type="character" w:customStyle="1" w:styleId="135">
    <w:name w:val="zy-gr-bj2"/>
    <w:basedOn w:val="15"/>
    <w:qFormat/>
    <w:uiPriority w:val="0"/>
  </w:style>
  <w:style w:type="character" w:customStyle="1" w:styleId="136">
    <w:name w:val="zy-fr-bj23"/>
    <w:basedOn w:val="15"/>
    <w:qFormat/>
    <w:uiPriority w:val="0"/>
  </w:style>
  <w:style w:type="character" w:customStyle="1" w:styleId="137">
    <w:name w:val="zy-gr-bj4"/>
    <w:basedOn w:val="15"/>
    <w:qFormat/>
    <w:uiPriority w:val="0"/>
  </w:style>
  <w:style w:type="character" w:customStyle="1" w:styleId="138">
    <w:name w:val="zy-gr-bj8"/>
    <w:basedOn w:val="15"/>
    <w:qFormat/>
    <w:uiPriority w:val="0"/>
  </w:style>
  <w:style w:type="character" w:customStyle="1" w:styleId="139">
    <w:name w:val="zy-fr-bj1"/>
    <w:basedOn w:val="15"/>
    <w:qFormat/>
    <w:uiPriority w:val="0"/>
  </w:style>
  <w:style w:type="character" w:customStyle="1" w:styleId="140">
    <w:name w:val="zy-fr-bj28"/>
    <w:basedOn w:val="15"/>
    <w:qFormat/>
    <w:uiPriority w:val="0"/>
  </w:style>
  <w:style w:type="character" w:customStyle="1" w:styleId="141">
    <w:name w:val="zy-gr-bj9"/>
    <w:basedOn w:val="15"/>
    <w:qFormat/>
    <w:uiPriority w:val="0"/>
  </w:style>
  <w:style w:type="character" w:customStyle="1" w:styleId="142">
    <w:name w:val="zy-fr-bj30"/>
    <w:basedOn w:val="15"/>
    <w:qFormat/>
    <w:uiPriority w:val="0"/>
  </w:style>
  <w:style w:type="character" w:customStyle="1" w:styleId="143">
    <w:name w:val="zy-gr-bj10"/>
    <w:basedOn w:val="15"/>
    <w:qFormat/>
    <w:uiPriority w:val="0"/>
  </w:style>
  <w:style w:type="character" w:customStyle="1" w:styleId="144">
    <w:name w:val="zy-gr-bj11"/>
    <w:basedOn w:val="15"/>
    <w:qFormat/>
    <w:uiPriority w:val="0"/>
  </w:style>
  <w:style w:type="character" w:customStyle="1" w:styleId="145">
    <w:name w:val="zy-gr-bj18"/>
    <w:basedOn w:val="15"/>
    <w:qFormat/>
    <w:uiPriority w:val="0"/>
  </w:style>
  <w:style w:type="character" w:customStyle="1" w:styleId="146">
    <w:name w:val="zy-gr-bj12"/>
    <w:basedOn w:val="15"/>
    <w:qFormat/>
    <w:uiPriority w:val="0"/>
  </w:style>
  <w:style w:type="character" w:customStyle="1" w:styleId="147">
    <w:name w:val="zy-gr-bj13"/>
    <w:basedOn w:val="15"/>
    <w:qFormat/>
    <w:uiPriority w:val="0"/>
  </w:style>
  <w:style w:type="character" w:customStyle="1" w:styleId="148">
    <w:name w:val="zy-gr-bj20"/>
    <w:basedOn w:val="15"/>
    <w:qFormat/>
    <w:uiPriority w:val="0"/>
  </w:style>
  <w:style w:type="character" w:customStyle="1" w:styleId="149">
    <w:name w:val="zy-gr-bj14"/>
    <w:basedOn w:val="15"/>
    <w:qFormat/>
    <w:uiPriority w:val="0"/>
  </w:style>
  <w:style w:type="character" w:customStyle="1" w:styleId="150">
    <w:name w:val="zy-fr-bj11"/>
    <w:basedOn w:val="15"/>
    <w:qFormat/>
    <w:uiPriority w:val="0"/>
  </w:style>
  <w:style w:type="character" w:customStyle="1" w:styleId="151">
    <w:name w:val="zy-fr-bj27"/>
    <w:basedOn w:val="15"/>
    <w:qFormat/>
    <w:uiPriority w:val="0"/>
  </w:style>
  <w:style w:type="character" w:customStyle="1" w:styleId="152">
    <w:name w:val="zy-gr-bj16"/>
    <w:basedOn w:val="15"/>
    <w:qFormat/>
    <w:uiPriority w:val="0"/>
  </w:style>
  <w:style w:type="character" w:customStyle="1" w:styleId="153">
    <w:name w:val="zy-fr-bj26"/>
    <w:basedOn w:val="15"/>
    <w:qFormat/>
    <w:uiPriority w:val="0"/>
  </w:style>
  <w:style w:type="character" w:customStyle="1" w:styleId="154">
    <w:name w:val="zy-gr-bj17"/>
    <w:basedOn w:val="15"/>
    <w:qFormat/>
    <w:uiPriority w:val="0"/>
  </w:style>
  <w:style w:type="character" w:customStyle="1" w:styleId="155">
    <w:name w:val="zy-gr-bj22"/>
    <w:basedOn w:val="15"/>
    <w:qFormat/>
    <w:uiPriority w:val="0"/>
  </w:style>
  <w:style w:type="character" w:customStyle="1" w:styleId="156">
    <w:name w:val="zy-fr-bj7"/>
    <w:basedOn w:val="15"/>
    <w:qFormat/>
    <w:uiPriority w:val="0"/>
  </w:style>
  <w:style w:type="character" w:customStyle="1" w:styleId="157">
    <w:name w:val="zy-gr-bj19"/>
    <w:basedOn w:val="15"/>
    <w:qFormat/>
    <w:uiPriority w:val="0"/>
  </w:style>
  <w:style w:type="character" w:customStyle="1" w:styleId="158">
    <w:name w:val="zy-gr-bj23"/>
    <w:basedOn w:val="15"/>
    <w:qFormat/>
    <w:uiPriority w:val="0"/>
  </w:style>
  <w:style w:type="character" w:customStyle="1" w:styleId="159">
    <w:name w:val="zy-fr-bj9"/>
    <w:basedOn w:val="15"/>
    <w:qFormat/>
    <w:uiPriority w:val="0"/>
  </w:style>
  <w:style w:type="character" w:customStyle="1" w:styleId="160">
    <w:name w:val="zy-fr-bj19"/>
    <w:basedOn w:val="15"/>
    <w:qFormat/>
    <w:uiPriority w:val="0"/>
  </w:style>
  <w:style w:type="character" w:customStyle="1" w:styleId="161">
    <w:name w:val="zy-gr-bj24"/>
    <w:basedOn w:val="15"/>
    <w:qFormat/>
    <w:uiPriority w:val="0"/>
  </w:style>
  <w:style w:type="character" w:customStyle="1" w:styleId="162">
    <w:name w:val="zy-fr-bj15"/>
    <w:basedOn w:val="15"/>
    <w:qFormat/>
    <w:uiPriority w:val="0"/>
  </w:style>
  <w:style w:type="character" w:customStyle="1" w:styleId="163">
    <w:name w:val="zy-fr-bj25"/>
    <w:basedOn w:val="15"/>
    <w:qFormat/>
    <w:uiPriority w:val="0"/>
  </w:style>
  <w:style w:type="character" w:customStyle="1" w:styleId="164">
    <w:name w:val="zy-fr-bj2"/>
    <w:basedOn w:val="15"/>
    <w:qFormat/>
    <w:uiPriority w:val="0"/>
  </w:style>
  <w:style w:type="character" w:customStyle="1" w:styleId="165">
    <w:name w:val="zy-fr-bj4"/>
    <w:basedOn w:val="15"/>
    <w:qFormat/>
    <w:uiPriority w:val="0"/>
  </w:style>
  <w:style w:type="character" w:customStyle="1" w:styleId="166">
    <w:name w:val="zy-fr-bj5"/>
    <w:basedOn w:val="15"/>
    <w:qFormat/>
    <w:uiPriority w:val="0"/>
  </w:style>
  <w:style w:type="character" w:customStyle="1" w:styleId="167">
    <w:name w:val="zy-fr-bj6"/>
    <w:basedOn w:val="15"/>
    <w:qFormat/>
    <w:uiPriority w:val="0"/>
  </w:style>
  <w:style w:type="character" w:customStyle="1" w:styleId="168">
    <w:name w:val="zy-fr-bj10"/>
    <w:basedOn w:val="15"/>
    <w:qFormat/>
    <w:uiPriority w:val="0"/>
  </w:style>
  <w:style w:type="character" w:customStyle="1" w:styleId="169">
    <w:name w:val="zy-fr-bj12"/>
    <w:basedOn w:val="15"/>
    <w:qFormat/>
    <w:uiPriority w:val="0"/>
  </w:style>
  <w:style w:type="character" w:customStyle="1" w:styleId="170">
    <w:name w:val="zy-fr-bj13"/>
    <w:basedOn w:val="15"/>
    <w:qFormat/>
    <w:uiPriority w:val="0"/>
  </w:style>
  <w:style w:type="character" w:customStyle="1" w:styleId="171">
    <w:name w:val="zy-fr-bj14"/>
    <w:basedOn w:val="15"/>
    <w:qFormat/>
    <w:uiPriority w:val="0"/>
  </w:style>
  <w:style w:type="character" w:customStyle="1" w:styleId="172">
    <w:name w:val="zy-fr-bj18"/>
    <w:basedOn w:val="15"/>
    <w:qFormat/>
    <w:uiPriority w:val="0"/>
  </w:style>
  <w:style w:type="character" w:customStyle="1" w:styleId="173">
    <w:name w:val="zy-fr-bj22"/>
    <w:basedOn w:val="15"/>
    <w:qFormat/>
    <w:uiPriority w:val="0"/>
  </w:style>
  <w:style w:type="character" w:customStyle="1" w:styleId="174">
    <w:name w:val="zy-fr-bj24"/>
    <w:basedOn w:val="15"/>
    <w:qFormat/>
    <w:uiPriority w:val="0"/>
  </w:style>
  <w:style w:type="character" w:customStyle="1" w:styleId="175">
    <w:name w:val="zy-fr-bj29"/>
    <w:basedOn w:val="15"/>
    <w:qFormat/>
    <w:uiPriority w:val="0"/>
  </w:style>
  <w:style w:type="character" w:customStyle="1" w:styleId="176">
    <w:name w:val="hover88"/>
    <w:basedOn w:val="15"/>
    <w:qFormat/>
    <w:uiPriority w:val="0"/>
  </w:style>
  <w:style w:type="character" w:customStyle="1" w:styleId="177">
    <w:name w:val="hover9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7027</Words>
  <Characters>7308</Characters>
  <Lines>66</Lines>
  <Paragraphs>18</Paragraphs>
  <TotalTime>2</TotalTime>
  <ScaleCrop>false</ScaleCrop>
  <LinksUpToDate>false</LinksUpToDate>
  <CharactersWithSpaces>7621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2023-04-20T00:00:00Z</dcterms:created>
  <dc:creator>Lenovo1</dc:creator>
  <cp:lastModifiedBy>admin</cp:lastModifiedBy>
  <cp:lastPrinted>2024-03-18T09:32:00Z</cp:lastPrinted>
  <dcterms:modified xsi:type="dcterms:W3CDTF">2024-04-23T03:09:42Z</dcterms:modified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624C0DC9ADE84F20BAF18B8A6A8851F7_13</vt:lpwstr>
  </property>
</Properties>
</file>