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3"/>
        <w:ind w:right="249"/>
        <w:jc w:val="center"/>
        <w:rPr>
          <w:rFonts w:ascii="黑体" w:hAnsi="黑体" w:eastAsia="黑体" w:cs="黑体"/>
          <w:sz w:val="32"/>
          <w:szCs w:val="32"/>
          <w:lang w:eastAsia="zh-CN"/>
        </w:rPr>
      </w:pPr>
      <w:bookmarkStart w:id="0" w:name="_bookmark0"/>
      <w:bookmarkEnd w:id="0"/>
      <w:r>
        <w:rPr>
          <w:rFonts w:hint="eastAsia" w:ascii="黑体" w:hAnsi="黑体" w:eastAsia="黑体" w:cs="黑体"/>
          <w:sz w:val="32"/>
          <w:szCs w:val="32"/>
          <w:lang w:eastAsia="zh-CN"/>
        </w:rPr>
        <w:t>《</w:t>
      </w:r>
      <w:bookmarkStart w:id="1" w:name="_GoBack"/>
      <w:r>
        <w:rPr>
          <w:rFonts w:hint="eastAsia" w:ascii="黑体" w:hAnsi="黑体" w:eastAsia="黑体" w:cs="黑体"/>
          <w:sz w:val="32"/>
          <w:szCs w:val="32"/>
          <w:lang w:eastAsia="zh-CN"/>
        </w:rPr>
        <w:t>白沙黎族自治县七坊镇光雅社区控制性详细规划（修编）》公示方案</w:t>
      </w:r>
      <w:bookmarkEnd w:id="1"/>
    </w:p>
    <w:p>
      <w:pPr>
        <w:spacing w:before="4"/>
        <w:rPr>
          <w:rFonts w:ascii="黑体" w:hAnsi="黑体" w:eastAsia="黑体" w:cs="黑体"/>
          <w:sz w:val="41"/>
          <w:szCs w:val="41"/>
          <w:lang w:eastAsia="zh-CN"/>
        </w:rPr>
      </w:pPr>
    </w:p>
    <w:p>
      <w:pPr>
        <w:numPr>
          <w:ilvl w:val="0"/>
          <w:numId w:val="1"/>
        </w:numPr>
        <w:tabs>
          <w:tab w:val="left" w:pos="959"/>
        </w:tabs>
        <w:spacing w:line="360" w:lineRule="auto"/>
        <w:ind w:firstLine="283"/>
        <w:outlineLvl w:val="0"/>
        <w:rPr>
          <w:rFonts w:ascii="宋体" w:hAnsi="宋体" w:eastAsia="宋体" w:cs="宋体"/>
          <w:b/>
          <w:bCs/>
          <w:sz w:val="30"/>
          <w:szCs w:val="30"/>
          <w:lang w:eastAsia="zh-CN"/>
        </w:rPr>
      </w:pPr>
      <w:r>
        <w:rPr>
          <w:rFonts w:ascii="宋体" w:hAnsi="宋体" w:eastAsia="宋体" w:cs="宋体"/>
          <w:b/>
          <w:bCs/>
          <w:sz w:val="30"/>
          <w:szCs w:val="30"/>
          <w:lang w:eastAsia="zh-CN"/>
        </w:rPr>
        <w:t>规划范围</w:t>
      </w:r>
    </w:p>
    <w:p>
      <w:pPr>
        <w:tabs>
          <w:tab w:val="left" w:pos="959"/>
        </w:tabs>
        <w:spacing w:line="360" w:lineRule="auto"/>
        <w:ind w:firstLine="560" w:firstLineChars="200"/>
        <w:jc w:val="both"/>
        <w:rPr>
          <w:rFonts w:hint="eastAsia" w:ascii="Times New Roman" w:hAnsi="Times New Roman" w:eastAsia="宋体" w:cs="Times New Roman"/>
          <w:sz w:val="28"/>
          <w:szCs w:val="28"/>
          <w:lang w:eastAsia="zh-CN"/>
        </w:rPr>
      </w:pPr>
      <w:r>
        <w:rPr>
          <w:rFonts w:hint="default" w:ascii="Times New Roman" w:hAnsi="Times New Roman" w:eastAsia="宋体" w:cs="Times New Roman"/>
          <w:sz w:val="28"/>
          <w:szCs w:val="28"/>
          <w:lang w:val="en-US" w:eastAsia="zh-CN"/>
        </w:rPr>
        <w:t>《白沙黎族自治县国土空间总体规划（2021-2035年）》划定的光雅社区</w:t>
      </w:r>
      <w:r>
        <w:rPr>
          <w:rFonts w:hint="default" w:ascii="Times New Roman" w:hAnsi="Times New Roman" w:eastAsia="宋体" w:cs="Times New Roman"/>
          <w:color w:val="auto"/>
          <w:sz w:val="28"/>
          <w:szCs w:val="28"/>
          <w:lang w:val="en-US" w:eastAsia="zh-CN"/>
        </w:rPr>
        <w:t>城镇</w:t>
      </w:r>
      <w:r>
        <w:rPr>
          <w:rFonts w:hint="eastAsia" w:ascii="Times New Roman" w:hAnsi="Times New Roman" w:eastAsia="宋体" w:cs="Times New Roman"/>
          <w:color w:val="auto"/>
          <w:sz w:val="28"/>
          <w:szCs w:val="28"/>
          <w:lang w:val="en-US" w:eastAsia="zh-CN"/>
        </w:rPr>
        <w:t>开</w:t>
      </w:r>
      <w:r>
        <w:rPr>
          <w:rFonts w:hint="default" w:ascii="Times New Roman" w:hAnsi="Times New Roman" w:eastAsia="宋体" w:cs="Times New Roman"/>
          <w:color w:val="auto"/>
          <w:sz w:val="28"/>
          <w:szCs w:val="28"/>
          <w:lang w:val="en-US" w:eastAsia="zh-CN"/>
        </w:rPr>
        <w:t>发边界面积为</w:t>
      </w:r>
      <w:r>
        <w:rPr>
          <w:rFonts w:hint="default" w:ascii="Times New Roman" w:hAnsi="Times New Roman" w:eastAsia="宋体" w:cs="Times New Roman"/>
          <w:sz w:val="28"/>
          <w:szCs w:val="28"/>
          <w:lang w:val="en-US" w:eastAsia="zh-CN"/>
        </w:rPr>
        <w:t>16.37公顷，本次规划结合用地权属线，将卫生院、道班、给水厂和阜许温泉征地权属等一并纳入修编范围，规划范围约23.96公顷。</w:t>
      </w:r>
      <w:r>
        <w:rPr>
          <w:rFonts w:hint="eastAsia" w:ascii="Times New Roman" w:hAnsi="Times New Roman" w:eastAsia="宋体" w:cs="Times New Roman"/>
          <w:sz w:val="28"/>
          <w:szCs w:val="28"/>
          <w:lang w:val="en-US" w:eastAsia="zh-CN"/>
        </w:rPr>
        <w:t>其中：</w:t>
      </w:r>
      <w:r>
        <w:rPr>
          <w:rFonts w:hint="default" w:ascii="Times New Roman" w:hAnsi="Times New Roman" w:eastAsia="宋体" w:cs="Times New Roman"/>
          <w:sz w:val="28"/>
          <w:szCs w:val="28"/>
          <w:lang w:val="en-US" w:eastAsia="zh-CN"/>
        </w:rPr>
        <w:t>光雅社区东至幼儿园，南、西、北至现状建成区，紧靠橡胶园用地，范围为17.05公顷；温泉旅游度假区东至基本农田，西至阜许村，南、北至现状林地，范围为6.91公顷。</w:t>
      </w:r>
    </w:p>
    <w:p>
      <w:pPr>
        <w:numPr>
          <w:ilvl w:val="0"/>
          <w:numId w:val="1"/>
        </w:numPr>
        <w:tabs>
          <w:tab w:val="left" w:pos="959"/>
        </w:tabs>
        <w:spacing w:line="360" w:lineRule="auto"/>
        <w:ind w:firstLine="283"/>
        <w:outlineLvl w:val="0"/>
        <w:rPr>
          <w:rFonts w:ascii="宋体" w:hAnsi="宋体" w:eastAsia="宋体" w:cs="宋体"/>
          <w:b/>
          <w:bCs/>
          <w:sz w:val="30"/>
          <w:szCs w:val="30"/>
          <w:lang w:eastAsia="zh-CN"/>
        </w:rPr>
      </w:pPr>
      <w:r>
        <w:rPr>
          <w:rFonts w:hint="eastAsia" w:ascii="宋体" w:hAnsi="宋体" w:eastAsia="宋体" w:cs="宋体"/>
          <w:b/>
          <w:bCs/>
          <w:sz w:val="30"/>
          <w:szCs w:val="30"/>
          <w:lang w:eastAsia="zh-CN"/>
        </w:rPr>
        <w:t xml:space="preserve">编制目的 </w:t>
      </w:r>
    </w:p>
    <w:p>
      <w:pPr>
        <w:tabs>
          <w:tab w:val="left" w:pos="959"/>
        </w:tabs>
        <w:spacing w:line="360" w:lineRule="auto"/>
        <w:ind w:firstLine="560" w:firstLineChars="200"/>
        <w:jc w:val="both"/>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eastAsia="zh-CN"/>
        </w:rPr>
        <w:t>为有效控制和引导</w:t>
      </w:r>
      <w:r>
        <w:rPr>
          <w:rFonts w:hint="eastAsia" w:ascii="Times New Roman" w:hAnsi="Times New Roman" w:eastAsia="宋体" w:cs="Times New Roman"/>
          <w:sz w:val="28"/>
          <w:szCs w:val="28"/>
          <w:lang w:val="en-US" w:eastAsia="zh-CN"/>
        </w:rPr>
        <w:t>光雅社区</w:t>
      </w:r>
      <w:r>
        <w:rPr>
          <w:rFonts w:hint="eastAsia" w:ascii="Times New Roman" w:hAnsi="Times New Roman" w:eastAsia="宋体" w:cs="Times New Roman"/>
          <w:sz w:val="28"/>
          <w:szCs w:val="28"/>
          <w:lang w:eastAsia="zh-CN"/>
        </w:rPr>
        <w:t>的开发建设活动，深化和落实国土空间总体规划，提升城镇环</w:t>
      </w:r>
      <w:r>
        <w:rPr>
          <w:rFonts w:hint="eastAsia" w:ascii="Times New Roman" w:hAnsi="Times New Roman" w:eastAsia="宋体" w:cs="Times New Roman"/>
          <w:color w:val="auto"/>
          <w:sz w:val="28"/>
          <w:szCs w:val="28"/>
          <w:lang w:eastAsia="zh-CN"/>
        </w:rPr>
        <w:t>境</w:t>
      </w:r>
      <w:r>
        <w:rPr>
          <w:rFonts w:hint="eastAsia" w:ascii="Times New Roman" w:hAnsi="Times New Roman" w:eastAsia="宋体" w:cs="Times New Roman"/>
          <w:color w:val="auto"/>
          <w:sz w:val="28"/>
          <w:szCs w:val="28"/>
          <w:lang w:val="en-US" w:eastAsia="zh-CN"/>
        </w:rPr>
        <w:t>品质</w:t>
      </w:r>
      <w:r>
        <w:rPr>
          <w:rFonts w:hint="eastAsia" w:ascii="Times New Roman" w:hAnsi="Times New Roman" w:eastAsia="宋体" w:cs="Times New Roman"/>
          <w:color w:val="auto"/>
          <w:sz w:val="28"/>
          <w:szCs w:val="28"/>
          <w:lang w:eastAsia="zh-CN"/>
        </w:rPr>
        <w:t>，</w:t>
      </w:r>
      <w:r>
        <w:rPr>
          <w:rFonts w:hint="eastAsia" w:ascii="Times New Roman" w:hAnsi="Times New Roman" w:eastAsia="宋体" w:cs="Times New Roman"/>
          <w:sz w:val="28"/>
          <w:szCs w:val="28"/>
          <w:lang w:eastAsia="zh-CN"/>
        </w:rPr>
        <w:t>创造优质的人居环境，依据《白沙黎族自治县国土空间总体规划（2021-2035年）》确定的城镇开发边界及建设规模，制定《</w:t>
      </w:r>
      <w:r>
        <w:rPr>
          <w:rFonts w:hint="default" w:ascii="Times New Roman" w:hAnsi="Times New Roman" w:eastAsia="宋体" w:cs="Times New Roman"/>
          <w:sz w:val="28"/>
          <w:szCs w:val="28"/>
          <w:lang w:val="en-US" w:eastAsia="zh-CN"/>
        </w:rPr>
        <w:t>白沙黎族自治县七坊镇光雅社区控制性详细规划（修编）</w:t>
      </w:r>
      <w:r>
        <w:rPr>
          <w:rFonts w:hint="eastAsia" w:ascii="Times New Roman" w:hAnsi="Times New Roman" w:eastAsia="宋体" w:cs="Times New Roman"/>
          <w:sz w:val="28"/>
          <w:szCs w:val="28"/>
          <w:lang w:eastAsia="zh-CN"/>
        </w:rPr>
        <w:t xml:space="preserve">》。 </w:t>
      </w:r>
    </w:p>
    <w:p>
      <w:pPr>
        <w:numPr>
          <w:ilvl w:val="0"/>
          <w:numId w:val="1"/>
        </w:numPr>
        <w:tabs>
          <w:tab w:val="left" w:pos="959"/>
        </w:tabs>
        <w:spacing w:line="360" w:lineRule="auto"/>
        <w:ind w:firstLine="283"/>
        <w:outlineLvl w:val="0"/>
        <w:rPr>
          <w:rFonts w:ascii="宋体" w:hAnsi="宋体" w:eastAsia="宋体" w:cs="宋体"/>
          <w:b/>
          <w:bCs/>
          <w:sz w:val="30"/>
          <w:szCs w:val="30"/>
          <w:lang w:eastAsia="zh-CN"/>
        </w:rPr>
      </w:pPr>
      <w:r>
        <w:rPr>
          <w:rFonts w:hint="eastAsia" w:ascii="宋体" w:hAnsi="宋体" w:eastAsia="宋体" w:cs="宋体"/>
          <w:b/>
          <w:bCs/>
          <w:sz w:val="30"/>
          <w:szCs w:val="30"/>
          <w:lang w:eastAsia="zh-CN"/>
        </w:rPr>
        <w:t>建设用地规模</w:t>
      </w:r>
    </w:p>
    <w:p>
      <w:pPr>
        <w:tabs>
          <w:tab w:val="left" w:pos="959"/>
        </w:tabs>
        <w:spacing w:line="360" w:lineRule="auto"/>
        <w:ind w:firstLine="560" w:firstLineChars="200"/>
        <w:jc w:val="both"/>
        <w:rPr>
          <w:rFonts w:ascii="Times New Roman" w:hAnsi="Times New Roman" w:eastAsia="宋体" w:cs="Times New Roman"/>
          <w:sz w:val="28"/>
          <w:szCs w:val="28"/>
          <w:lang w:eastAsia="zh-CN"/>
        </w:rPr>
      </w:pPr>
      <w:r>
        <w:rPr>
          <w:rFonts w:hint="eastAsia" w:ascii="Times New Roman" w:hAnsi="Times New Roman" w:eastAsia="宋体" w:cs="Times New Roman"/>
          <w:sz w:val="28"/>
          <w:szCs w:val="28"/>
          <w:lang w:eastAsia="zh-CN"/>
        </w:rPr>
        <w:t>本次规划严格落实上位规划约束性指标要求,</w:t>
      </w:r>
      <w:r>
        <w:rPr>
          <w:rFonts w:hint="eastAsia" w:ascii="Times New Roman" w:hAnsi="Times New Roman" w:eastAsia="宋体" w:cs="Times New Roman"/>
          <w:sz w:val="28"/>
          <w:szCs w:val="28"/>
          <w:lang w:val="en-US" w:eastAsia="zh-CN"/>
        </w:rPr>
        <w:t>规划区</w:t>
      </w:r>
      <w:r>
        <w:rPr>
          <w:rFonts w:hint="eastAsia" w:ascii="Times New Roman" w:hAnsi="Times New Roman" w:eastAsia="宋体" w:cs="Times New Roman"/>
          <w:sz w:val="28"/>
          <w:szCs w:val="28"/>
          <w:lang w:eastAsia="zh-CN"/>
        </w:rPr>
        <w:t>的建设用地规模不突破</w:t>
      </w:r>
      <w:r>
        <w:rPr>
          <w:rFonts w:hint="eastAsia" w:ascii="Times New Roman" w:hAnsi="Times New Roman" w:eastAsia="宋体" w:cs="Times New Roman"/>
          <w:sz w:val="28"/>
          <w:szCs w:val="28"/>
          <w:lang w:val="en-US" w:eastAsia="zh-CN"/>
        </w:rPr>
        <w:t>23.92</w:t>
      </w:r>
      <w:r>
        <w:rPr>
          <w:rFonts w:hint="eastAsia" w:ascii="Times New Roman" w:hAnsi="Times New Roman" w:eastAsia="宋体" w:cs="Times New Roman"/>
          <w:sz w:val="28"/>
          <w:szCs w:val="28"/>
          <w:lang w:eastAsia="zh-CN"/>
        </w:rPr>
        <w:t xml:space="preserve">公顷。 </w:t>
      </w:r>
    </w:p>
    <w:p>
      <w:pPr>
        <w:numPr>
          <w:ilvl w:val="0"/>
          <w:numId w:val="1"/>
        </w:numPr>
        <w:tabs>
          <w:tab w:val="left" w:pos="959"/>
        </w:tabs>
        <w:spacing w:line="360" w:lineRule="auto"/>
        <w:ind w:firstLine="283"/>
        <w:outlineLvl w:val="0"/>
        <w:rPr>
          <w:rFonts w:ascii="宋体" w:hAnsi="宋体" w:eastAsia="宋体" w:cs="宋体"/>
          <w:b/>
          <w:bCs/>
          <w:sz w:val="30"/>
          <w:szCs w:val="30"/>
          <w:lang w:eastAsia="zh-CN"/>
        </w:rPr>
      </w:pPr>
      <w:r>
        <w:rPr>
          <w:rFonts w:hint="eastAsia" w:ascii="宋体" w:hAnsi="宋体" w:eastAsia="宋体" w:cs="宋体"/>
          <w:b/>
          <w:bCs/>
          <w:sz w:val="30"/>
          <w:szCs w:val="30"/>
          <w:lang w:eastAsia="zh-CN"/>
        </w:rPr>
        <w:t>空间布局</w:t>
      </w:r>
    </w:p>
    <w:p>
      <w:pPr>
        <w:tabs>
          <w:tab w:val="left" w:pos="959"/>
        </w:tabs>
        <w:spacing w:line="360" w:lineRule="auto"/>
        <w:ind w:firstLine="560" w:firstLineChars="200"/>
        <w:jc w:val="both"/>
        <w:rPr>
          <w:rFonts w:hint="eastAsia" w:ascii="宋体" w:hAnsi="宋体" w:eastAsia="宋体" w:cs="宋体"/>
          <w:bCs/>
          <w:sz w:val="28"/>
          <w:szCs w:val="28"/>
          <w:lang w:eastAsia="zh-CN"/>
        </w:rPr>
      </w:pPr>
      <w:r>
        <w:rPr>
          <w:rFonts w:hint="eastAsia" w:ascii="宋体" w:hAnsi="宋体" w:eastAsia="宋体" w:cs="宋体"/>
          <w:bCs/>
          <w:sz w:val="28"/>
          <w:szCs w:val="28"/>
          <w:lang w:eastAsia="zh-CN"/>
        </w:rPr>
        <w:t>规划确定</w:t>
      </w:r>
      <w:r>
        <w:rPr>
          <w:rFonts w:hint="eastAsia" w:ascii="宋体" w:hAnsi="宋体" w:eastAsia="宋体" w:cs="宋体"/>
          <w:bCs/>
          <w:sz w:val="28"/>
          <w:szCs w:val="28"/>
          <w:lang w:val="en-US" w:eastAsia="zh-CN"/>
        </w:rPr>
        <w:t>规划</w:t>
      </w:r>
      <w:r>
        <w:rPr>
          <w:rFonts w:hint="eastAsia" w:ascii="宋体" w:hAnsi="宋体" w:eastAsia="宋体" w:cs="宋体"/>
          <w:bCs/>
          <w:sz w:val="28"/>
          <w:szCs w:val="28"/>
          <w:lang w:eastAsia="zh-CN"/>
        </w:rPr>
        <w:t>区形成“</w:t>
      </w:r>
      <w:r>
        <w:rPr>
          <w:rFonts w:hint="eastAsia" w:ascii="宋体" w:hAnsi="宋体" w:eastAsia="宋体" w:cs="宋体"/>
          <w:bCs/>
          <w:sz w:val="28"/>
          <w:szCs w:val="28"/>
          <w:lang w:val="en-US" w:eastAsia="zh-CN"/>
        </w:rPr>
        <w:t>两心、两轴、两组团</w:t>
      </w:r>
      <w:r>
        <w:rPr>
          <w:rFonts w:hint="eastAsia" w:ascii="宋体" w:hAnsi="宋体" w:eastAsia="宋体" w:cs="宋体"/>
          <w:bCs/>
          <w:sz w:val="28"/>
          <w:szCs w:val="28"/>
          <w:lang w:eastAsia="zh-CN"/>
        </w:rPr>
        <w:t>”的空间结构形态。</w:t>
      </w:r>
    </w:p>
    <w:p>
      <w:pPr>
        <w:pStyle w:val="8"/>
        <w:spacing w:before="0" w:line="360" w:lineRule="auto"/>
        <w:ind w:left="0" w:firstLine="546" w:firstLineChars="200"/>
        <w:outlineLvl w:val="1"/>
        <w:rPr>
          <w:b/>
          <w:bCs/>
          <w:spacing w:val="-4"/>
          <w:sz w:val="28"/>
          <w:szCs w:val="28"/>
          <w:lang w:eastAsia="zh-CN"/>
        </w:rPr>
      </w:pPr>
      <w:r>
        <w:rPr>
          <w:rFonts w:hint="eastAsia"/>
          <w:b/>
          <w:bCs/>
          <w:spacing w:val="-4"/>
          <w:sz w:val="28"/>
          <w:szCs w:val="28"/>
          <w:lang w:eastAsia="zh-CN"/>
        </w:rPr>
        <w:t>1、</w:t>
      </w:r>
      <w:r>
        <w:rPr>
          <w:rFonts w:hint="eastAsia"/>
          <w:b/>
          <w:bCs/>
          <w:spacing w:val="-4"/>
          <w:sz w:val="28"/>
          <w:szCs w:val="28"/>
          <w:lang w:val="en-US" w:eastAsia="zh-CN"/>
        </w:rPr>
        <w:t>两</w:t>
      </w:r>
      <w:r>
        <w:rPr>
          <w:rFonts w:hint="eastAsia"/>
          <w:b/>
          <w:bCs/>
          <w:spacing w:val="-4"/>
          <w:sz w:val="28"/>
          <w:szCs w:val="28"/>
          <w:lang w:eastAsia="zh-CN"/>
        </w:rPr>
        <w:t>心</w:t>
      </w:r>
    </w:p>
    <w:p>
      <w:pPr>
        <w:tabs>
          <w:tab w:val="left" w:pos="959"/>
        </w:tabs>
        <w:spacing w:line="360" w:lineRule="auto"/>
        <w:ind w:firstLine="560" w:firstLineChars="200"/>
        <w:jc w:val="both"/>
        <w:rPr>
          <w:rFonts w:hint="eastAsia" w:ascii="宋体" w:hAnsi="宋体" w:eastAsia="宋体" w:cs="宋体"/>
          <w:bCs/>
          <w:sz w:val="28"/>
          <w:szCs w:val="28"/>
          <w:lang w:val="en-US" w:eastAsia="zh-CN"/>
        </w:rPr>
      </w:pPr>
      <w:r>
        <w:rPr>
          <w:rFonts w:hint="eastAsia" w:ascii="宋体" w:hAnsi="宋体" w:eastAsia="宋体" w:cs="宋体"/>
          <w:bCs/>
          <w:sz w:val="28"/>
          <w:szCs w:val="28"/>
          <w:lang w:val="en-US" w:eastAsia="zh-CN"/>
        </w:rPr>
        <w:t>以光雅社区为主的综合服务中心和以温泉度假区为主的旅游服务中心。</w:t>
      </w:r>
    </w:p>
    <w:p>
      <w:pPr>
        <w:pStyle w:val="8"/>
        <w:spacing w:before="0" w:line="360" w:lineRule="auto"/>
        <w:ind w:left="0" w:firstLine="546" w:firstLineChars="200"/>
        <w:outlineLvl w:val="1"/>
        <w:rPr>
          <w:rFonts w:hint="default"/>
          <w:b/>
          <w:bCs/>
          <w:spacing w:val="-4"/>
          <w:sz w:val="28"/>
          <w:szCs w:val="28"/>
          <w:lang w:val="en-US" w:eastAsia="zh-CN"/>
        </w:rPr>
      </w:pPr>
      <w:r>
        <w:rPr>
          <w:rFonts w:hint="eastAsia"/>
          <w:b/>
          <w:bCs/>
          <w:spacing w:val="-4"/>
          <w:sz w:val="28"/>
          <w:szCs w:val="28"/>
          <w:lang w:eastAsia="zh-CN"/>
        </w:rPr>
        <w:t>2、两</w:t>
      </w:r>
      <w:r>
        <w:rPr>
          <w:rFonts w:hint="eastAsia"/>
          <w:b/>
          <w:bCs/>
          <w:spacing w:val="-4"/>
          <w:sz w:val="28"/>
          <w:szCs w:val="28"/>
          <w:lang w:val="en-US" w:eastAsia="zh-CN"/>
        </w:rPr>
        <w:t>轴</w:t>
      </w:r>
    </w:p>
    <w:p>
      <w:pPr>
        <w:tabs>
          <w:tab w:val="left" w:pos="959"/>
        </w:tabs>
        <w:spacing w:line="360" w:lineRule="auto"/>
        <w:ind w:firstLine="560" w:firstLineChars="200"/>
        <w:jc w:val="both"/>
        <w:rPr>
          <w:rFonts w:hint="eastAsia" w:ascii="宋体" w:hAnsi="宋体" w:eastAsia="宋体" w:cs="宋体"/>
          <w:bCs/>
          <w:sz w:val="28"/>
          <w:szCs w:val="28"/>
          <w:lang w:val="en-US" w:eastAsia="zh-CN"/>
        </w:rPr>
      </w:pPr>
      <w:r>
        <w:rPr>
          <w:rFonts w:hint="eastAsia" w:ascii="宋体" w:hAnsi="宋体" w:eastAsia="宋体" w:cs="宋体"/>
          <w:bCs/>
          <w:sz w:val="28"/>
          <w:szCs w:val="28"/>
          <w:lang w:val="en-US" w:eastAsia="zh-CN"/>
        </w:rPr>
        <w:t>沿邦什公路（G361国道）形成的城镇发展轴和沿光青线（X549县道）形成的旅游发展轴。</w:t>
      </w:r>
    </w:p>
    <w:p>
      <w:pPr>
        <w:pStyle w:val="8"/>
        <w:spacing w:before="0" w:line="360" w:lineRule="auto"/>
        <w:ind w:left="0" w:firstLine="546" w:firstLineChars="200"/>
        <w:outlineLvl w:val="1"/>
        <w:rPr>
          <w:b/>
          <w:bCs/>
          <w:spacing w:val="-4"/>
          <w:sz w:val="28"/>
          <w:szCs w:val="28"/>
          <w:lang w:eastAsia="zh-CN"/>
        </w:rPr>
      </w:pPr>
      <w:r>
        <w:rPr>
          <w:rFonts w:hint="eastAsia"/>
          <w:b/>
          <w:bCs/>
          <w:spacing w:val="-4"/>
          <w:sz w:val="28"/>
          <w:szCs w:val="28"/>
          <w:lang w:eastAsia="zh-CN"/>
        </w:rPr>
        <w:t>3、两组团</w:t>
      </w:r>
    </w:p>
    <w:p>
      <w:pPr>
        <w:tabs>
          <w:tab w:val="left" w:pos="959"/>
        </w:tabs>
        <w:spacing w:line="360" w:lineRule="auto"/>
        <w:ind w:firstLine="560" w:firstLineChars="200"/>
        <w:jc w:val="both"/>
        <w:rPr>
          <w:rFonts w:hint="eastAsia" w:ascii="宋体" w:hAnsi="宋体" w:eastAsia="宋体" w:cs="宋体"/>
          <w:bCs/>
          <w:sz w:val="28"/>
          <w:szCs w:val="28"/>
          <w:lang w:val="en-US" w:eastAsia="zh-CN"/>
        </w:rPr>
      </w:pPr>
      <w:r>
        <w:rPr>
          <w:rFonts w:hint="eastAsia" w:ascii="宋体" w:hAnsi="宋体" w:eastAsia="宋体" w:cs="宋体"/>
          <w:bCs/>
          <w:sz w:val="28"/>
          <w:szCs w:val="28"/>
          <w:lang w:val="en-US" w:eastAsia="zh-CN"/>
        </w:rPr>
        <w:t>生活宜居组团和温泉度假组团。</w:t>
      </w:r>
    </w:p>
    <w:p>
      <w:pPr>
        <w:numPr>
          <w:ilvl w:val="0"/>
          <w:numId w:val="1"/>
        </w:numPr>
        <w:tabs>
          <w:tab w:val="left" w:pos="959"/>
        </w:tabs>
        <w:spacing w:line="360" w:lineRule="auto"/>
        <w:ind w:firstLine="283"/>
        <w:outlineLvl w:val="0"/>
        <w:rPr>
          <w:rFonts w:ascii="宋体" w:hAnsi="宋体" w:eastAsia="宋体" w:cs="宋体"/>
          <w:b/>
          <w:bCs/>
          <w:sz w:val="30"/>
          <w:szCs w:val="30"/>
          <w:lang w:eastAsia="zh-CN"/>
        </w:rPr>
      </w:pPr>
      <w:r>
        <w:rPr>
          <w:rFonts w:hint="eastAsia" w:ascii="宋体" w:hAnsi="宋体" w:eastAsia="宋体" w:cs="宋体"/>
          <w:b/>
          <w:bCs/>
          <w:sz w:val="30"/>
          <w:szCs w:val="30"/>
          <w:lang w:eastAsia="zh-CN"/>
        </w:rPr>
        <w:t>用地布局规划</w:t>
      </w:r>
    </w:p>
    <w:p>
      <w:pPr>
        <w:tabs>
          <w:tab w:val="left" w:pos="959"/>
        </w:tabs>
        <w:spacing w:line="360" w:lineRule="auto"/>
        <w:ind w:firstLine="560" w:firstLineChars="200"/>
        <w:jc w:val="both"/>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规划区总用地面积23.96公顷，其中：建设用地面积共23.92公顷，人均建设用地面积为82.48人/平方米；非建设用地面积为0.04公顷，主要为农林用地。</w:t>
      </w:r>
    </w:p>
    <w:p>
      <w:pPr>
        <w:pStyle w:val="8"/>
        <w:numPr>
          <w:ilvl w:val="0"/>
          <w:numId w:val="2"/>
        </w:numPr>
        <w:spacing w:before="0" w:line="360" w:lineRule="auto"/>
        <w:ind w:left="0" w:firstLine="546" w:firstLineChars="200"/>
        <w:outlineLvl w:val="1"/>
        <w:rPr>
          <w:b/>
          <w:bCs/>
          <w:spacing w:val="-4"/>
          <w:sz w:val="28"/>
          <w:szCs w:val="28"/>
          <w:lang w:eastAsia="zh-CN"/>
        </w:rPr>
      </w:pPr>
      <w:r>
        <w:rPr>
          <w:rFonts w:hint="eastAsia"/>
          <w:b/>
          <w:bCs/>
          <w:spacing w:val="-4"/>
          <w:sz w:val="28"/>
          <w:szCs w:val="28"/>
          <w:lang w:eastAsia="zh-CN"/>
        </w:rPr>
        <w:t xml:space="preserve">建设用地规划 </w:t>
      </w:r>
    </w:p>
    <w:p>
      <w:pPr>
        <w:tabs>
          <w:tab w:val="left" w:pos="959"/>
        </w:tabs>
        <w:spacing w:line="360" w:lineRule="auto"/>
        <w:ind w:firstLine="560" w:firstLineChars="200"/>
        <w:jc w:val="both"/>
        <w:rPr>
          <w:rFonts w:ascii="Times New Roman" w:hAnsi="Times New Roman" w:eastAsia="宋体" w:cs="Times New Roman"/>
          <w:sz w:val="28"/>
          <w:szCs w:val="28"/>
          <w:lang w:eastAsia="zh-CN"/>
        </w:rPr>
      </w:pPr>
      <w:r>
        <w:rPr>
          <w:rFonts w:hint="eastAsia" w:ascii="Times New Roman" w:hAnsi="Times New Roman" w:eastAsia="宋体" w:cs="Times New Roman"/>
          <w:sz w:val="28"/>
          <w:szCs w:val="28"/>
          <w:lang w:eastAsia="zh-CN"/>
        </w:rPr>
        <w:t>规划的建设用地包括</w:t>
      </w:r>
      <w:r>
        <w:rPr>
          <w:rFonts w:hint="eastAsia" w:ascii="Times New Roman" w:hAnsi="Times New Roman" w:eastAsia="宋体" w:cs="Times New Roman"/>
          <w:sz w:val="28"/>
          <w:szCs w:val="28"/>
          <w:lang w:val="en-US" w:eastAsia="zh-CN"/>
        </w:rPr>
        <w:t>居住用地</w:t>
      </w:r>
      <w:r>
        <w:rPr>
          <w:rFonts w:hint="eastAsia" w:ascii="Times New Roman" w:hAnsi="Times New Roman" w:eastAsia="宋体" w:cs="Times New Roman"/>
          <w:sz w:val="28"/>
          <w:szCs w:val="28"/>
          <w:lang w:eastAsia="zh-CN"/>
        </w:rPr>
        <w:t>、公共管理与公共服务用地、商业服务业用地、交通运输用地、公用设施用地和绿地与开敞空间用地共</w:t>
      </w:r>
      <w:r>
        <w:rPr>
          <w:rFonts w:hint="eastAsia" w:ascii="Times New Roman" w:hAnsi="Times New Roman" w:eastAsia="宋体" w:cs="Times New Roman"/>
          <w:sz w:val="28"/>
          <w:szCs w:val="28"/>
          <w:lang w:val="en-US" w:eastAsia="zh-CN"/>
        </w:rPr>
        <w:t>六</w:t>
      </w:r>
      <w:r>
        <w:rPr>
          <w:rFonts w:hint="eastAsia" w:ascii="Times New Roman" w:hAnsi="Times New Roman" w:eastAsia="宋体" w:cs="Times New Roman"/>
          <w:sz w:val="28"/>
          <w:szCs w:val="28"/>
          <w:lang w:eastAsia="zh-CN"/>
        </w:rPr>
        <w:t>类。其中：居住用地面积为</w:t>
      </w:r>
      <w:r>
        <w:rPr>
          <w:rFonts w:hint="eastAsia" w:ascii="Times New Roman" w:hAnsi="Times New Roman" w:eastAsia="宋体" w:cs="Times New Roman"/>
          <w:sz w:val="28"/>
          <w:szCs w:val="28"/>
          <w:lang w:val="en-US" w:eastAsia="zh-CN"/>
        </w:rPr>
        <w:t>9.47</w:t>
      </w:r>
      <w:r>
        <w:rPr>
          <w:rFonts w:hint="eastAsia" w:ascii="Times New Roman" w:hAnsi="Times New Roman" w:eastAsia="宋体" w:cs="Times New Roman"/>
          <w:sz w:val="28"/>
          <w:szCs w:val="28"/>
          <w:lang w:eastAsia="zh-CN"/>
        </w:rPr>
        <w:t>公顷；公共管理与公共服务用地面积为</w:t>
      </w:r>
      <w:r>
        <w:rPr>
          <w:rFonts w:hint="eastAsia" w:ascii="Times New Roman" w:hAnsi="Times New Roman" w:eastAsia="宋体" w:cs="Times New Roman"/>
          <w:sz w:val="28"/>
          <w:szCs w:val="28"/>
          <w:lang w:val="en-US" w:eastAsia="zh-CN"/>
        </w:rPr>
        <w:t>0.88</w:t>
      </w:r>
      <w:r>
        <w:rPr>
          <w:rFonts w:hint="eastAsia" w:ascii="Times New Roman" w:hAnsi="Times New Roman" w:eastAsia="宋体" w:cs="Times New Roman"/>
          <w:sz w:val="28"/>
          <w:szCs w:val="28"/>
          <w:lang w:eastAsia="zh-CN"/>
        </w:rPr>
        <w:t>公顷；商业服务业用地面积为</w:t>
      </w:r>
      <w:r>
        <w:rPr>
          <w:rFonts w:hint="eastAsia" w:ascii="Times New Roman" w:hAnsi="Times New Roman" w:eastAsia="宋体" w:cs="Times New Roman"/>
          <w:sz w:val="28"/>
          <w:szCs w:val="28"/>
          <w:lang w:val="en-US" w:eastAsia="zh-CN"/>
        </w:rPr>
        <w:t>8.25</w:t>
      </w:r>
      <w:r>
        <w:rPr>
          <w:rFonts w:hint="eastAsia" w:ascii="Times New Roman" w:hAnsi="Times New Roman" w:eastAsia="宋体" w:cs="Times New Roman"/>
          <w:sz w:val="28"/>
          <w:szCs w:val="28"/>
          <w:lang w:eastAsia="zh-CN"/>
        </w:rPr>
        <w:t>公顷；交通运输用地面积为</w:t>
      </w:r>
      <w:r>
        <w:rPr>
          <w:rFonts w:hint="eastAsia" w:ascii="Times New Roman" w:hAnsi="Times New Roman" w:eastAsia="宋体" w:cs="Times New Roman"/>
          <w:sz w:val="28"/>
          <w:szCs w:val="28"/>
          <w:lang w:val="en-US" w:eastAsia="zh-CN"/>
        </w:rPr>
        <w:t>3.92</w:t>
      </w:r>
      <w:r>
        <w:rPr>
          <w:rFonts w:hint="eastAsia" w:ascii="Times New Roman" w:hAnsi="Times New Roman" w:eastAsia="宋体" w:cs="Times New Roman"/>
          <w:sz w:val="28"/>
          <w:szCs w:val="28"/>
          <w:lang w:eastAsia="zh-CN"/>
        </w:rPr>
        <w:t>公顷；公用设施用地面积为</w:t>
      </w:r>
      <w:r>
        <w:rPr>
          <w:rFonts w:hint="eastAsia" w:ascii="Times New Roman" w:hAnsi="Times New Roman" w:eastAsia="宋体" w:cs="Times New Roman"/>
          <w:sz w:val="28"/>
          <w:szCs w:val="28"/>
          <w:lang w:val="en-US" w:eastAsia="zh-CN"/>
        </w:rPr>
        <w:t>0.12</w:t>
      </w:r>
      <w:r>
        <w:rPr>
          <w:rFonts w:hint="eastAsia" w:ascii="Times New Roman" w:hAnsi="Times New Roman" w:eastAsia="宋体" w:cs="Times New Roman"/>
          <w:sz w:val="28"/>
          <w:szCs w:val="28"/>
          <w:lang w:eastAsia="zh-CN"/>
        </w:rPr>
        <w:t>公顷；绿地与开敞空间用地面积为</w:t>
      </w:r>
      <w:r>
        <w:rPr>
          <w:rFonts w:hint="eastAsia" w:ascii="Times New Roman" w:hAnsi="Times New Roman" w:eastAsia="宋体" w:cs="Times New Roman"/>
          <w:sz w:val="28"/>
          <w:szCs w:val="28"/>
          <w:lang w:val="en-US" w:eastAsia="zh-CN"/>
        </w:rPr>
        <w:t>1.28</w:t>
      </w:r>
      <w:r>
        <w:rPr>
          <w:rFonts w:hint="eastAsia" w:ascii="Times New Roman" w:hAnsi="Times New Roman" w:eastAsia="宋体" w:cs="Times New Roman"/>
          <w:sz w:val="28"/>
          <w:szCs w:val="28"/>
          <w:lang w:eastAsia="zh-CN"/>
        </w:rPr>
        <w:t>公顷。</w:t>
      </w:r>
    </w:p>
    <w:p>
      <w:pPr>
        <w:pStyle w:val="8"/>
        <w:numPr>
          <w:ilvl w:val="0"/>
          <w:numId w:val="2"/>
        </w:numPr>
        <w:spacing w:before="0" w:line="360" w:lineRule="auto"/>
        <w:ind w:left="0" w:firstLine="546" w:firstLineChars="200"/>
        <w:outlineLvl w:val="1"/>
        <w:rPr>
          <w:b/>
          <w:bCs/>
          <w:spacing w:val="-4"/>
          <w:sz w:val="28"/>
          <w:szCs w:val="28"/>
          <w:lang w:eastAsia="zh-CN"/>
        </w:rPr>
      </w:pPr>
      <w:r>
        <w:rPr>
          <w:rFonts w:hint="eastAsia"/>
          <w:b/>
          <w:bCs/>
          <w:spacing w:val="-4"/>
          <w:sz w:val="28"/>
          <w:szCs w:val="28"/>
          <w:lang w:eastAsia="zh-CN"/>
        </w:rPr>
        <w:t xml:space="preserve">非建设用地规划 </w:t>
      </w:r>
    </w:p>
    <w:p>
      <w:pPr>
        <w:tabs>
          <w:tab w:val="left" w:pos="959"/>
        </w:tabs>
        <w:spacing w:line="360" w:lineRule="auto"/>
        <w:ind w:firstLine="560" w:firstLineChars="200"/>
        <w:jc w:val="both"/>
        <w:rPr>
          <w:rFonts w:ascii="Times New Roman" w:hAnsi="Times New Roman" w:eastAsia="宋体" w:cs="Times New Roman"/>
          <w:sz w:val="28"/>
          <w:szCs w:val="28"/>
          <w:lang w:eastAsia="zh-CN"/>
        </w:rPr>
      </w:pPr>
      <w:r>
        <w:rPr>
          <w:rFonts w:hint="eastAsia" w:ascii="Times New Roman" w:hAnsi="Times New Roman" w:eastAsia="宋体" w:cs="Times New Roman"/>
          <w:sz w:val="28"/>
          <w:szCs w:val="28"/>
          <w:lang w:eastAsia="zh-CN"/>
        </w:rPr>
        <w:t>规划的非建设用地为</w:t>
      </w:r>
      <w:r>
        <w:rPr>
          <w:rFonts w:hint="eastAsia" w:ascii="Times New Roman" w:hAnsi="Times New Roman" w:eastAsia="宋体" w:cs="Times New Roman"/>
          <w:sz w:val="28"/>
          <w:szCs w:val="28"/>
          <w:lang w:val="en-US" w:eastAsia="zh-CN"/>
        </w:rPr>
        <w:t>农林用地</w:t>
      </w:r>
      <w:r>
        <w:rPr>
          <w:rFonts w:hint="eastAsia" w:ascii="Times New Roman" w:hAnsi="Times New Roman" w:eastAsia="宋体" w:cs="Times New Roman"/>
          <w:sz w:val="28"/>
          <w:szCs w:val="28"/>
          <w:lang w:eastAsia="zh-CN"/>
        </w:rPr>
        <w:t>，面积为0.</w:t>
      </w:r>
      <w:r>
        <w:rPr>
          <w:rFonts w:hint="eastAsia" w:ascii="Times New Roman" w:hAnsi="Times New Roman" w:eastAsia="宋体" w:cs="Times New Roman"/>
          <w:sz w:val="28"/>
          <w:szCs w:val="28"/>
          <w:lang w:val="en-US" w:eastAsia="zh-CN"/>
        </w:rPr>
        <w:t>04</w:t>
      </w:r>
      <w:r>
        <w:rPr>
          <w:rFonts w:hint="eastAsia" w:ascii="Times New Roman" w:hAnsi="Times New Roman" w:eastAsia="宋体" w:cs="Times New Roman"/>
          <w:sz w:val="28"/>
          <w:szCs w:val="28"/>
          <w:lang w:eastAsia="zh-CN"/>
        </w:rPr>
        <w:t>公顷。</w:t>
      </w:r>
    </w:p>
    <w:p>
      <w:pPr>
        <w:numPr>
          <w:ilvl w:val="0"/>
          <w:numId w:val="1"/>
        </w:numPr>
        <w:tabs>
          <w:tab w:val="left" w:pos="959"/>
        </w:tabs>
        <w:spacing w:line="360" w:lineRule="auto"/>
        <w:ind w:firstLine="283"/>
        <w:outlineLvl w:val="0"/>
        <w:rPr>
          <w:rFonts w:ascii="宋体" w:hAnsi="宋体" w:eastAsia="宋体" w:cs="宋体"/>
          <w:b/>
          <w:bCs/>
          <w:sz w:val="30"/>
          <w:szCs w:val="30"/>
          <w:lang w:eastAsia="zh-CN"/>
        </w:rPr>
      </w:pPr>
      <w:r>
        <w:rPr>
          <w:rFonts w:hint="eastAsia" w:ascii="宋体" w:hAnsi="宋体" w:eastAsia="宋体" w:cs="宋体"/>
          <w:b/>
          <w:bCs/>
          <w:sz w:val="30"/>
          <w:szCs w:val="30"/>
          <w:lang w:eastAsia="zh-CN"/>
        </w:rPr>
        <w:t>开发建设控制指标</w:t>
      </w:r>
    </w:p>
    <w:p>
      <w:pPr>
        <w:pStyle w:val="8"/>
        <w:numPr>
          <w:ilvl w:val="0"/>
          <w:numId w:val="3"/>
        </w:numPr>
        <w:spacing w:before="0" w:line="360" w:lineRule="auto"/>
        <w:ind w:left="0" w:firstLine="600" w:firstLineChars="200"/>
        <w:outlineLvl w:val="1"/>
        <w:rPr>
          <w:b/>
          <w:bCs/>
          <w:spacing w:val="-4"/>
          <w:sz w:val="28"/>
          <w:szCs w:val="28"/>
          <w:lang w:eastAsia="zh-CN"/>
        </w:rPr>
      </w:pPr>
      <w:r>
        <w:rPr>
          <w:rFonts w:hint="eastAsia"/>
          <w:lang w:eastAsia="zh-CN"/>
        </w:rPr>
        <w:t xml:space="preserve"> </w:t>
      </w:r>
      <w:r>
        <w:rPr>
          <w:rFonts w:hint="eastAsia"/>
          <w:b/>
          <w:bCs/>
          <w:spacing w:val="-4"/>
          <w:sz w:val="28"/>
          <w:szCs w:val="28"/>
          <w:lang w:eastAsia="zh-CN"/>
        </w:rPr>
        <w:t>建筑密度</w:t>
      </w:r>
    </w:p>
    <w:p>
      <w:pPr>
        <w:tabs>
          <w:tab w:val="left" w:pos="959"/>
        </w:tabs>
        <w:spacing w:line="360" w:lineRule="auto"/>
        <w:ind w:firstLine="560" w:firstLineChars="200"/>
        <w:jc w:val="both"/>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eastAsia="zh-CN"/>
        </w:rPr>
        <w:t>本次规划将地块建筑密度分为</w:t>
      </w:r>
      <w:r>
        <w:rPr>
          <w:rFonts w:hint="eastAsia" w:ascii="Times New Roman" w:hAnsi="Times New Roman" w:eastAsia="宋体" w:cs="Times New Roman"/>
          <w:sz w:val="28"/>
          <w:szCs w:val="28"/>
          <w:lang w:val="en-US" w:eastAsia="zh-CN"/>
        </w:rPr>
        <w:t>4</w:t>
      </w:r>
      <w:r>
        <w:rPr>
          <w:rFonts w:hint="eastAsia" w:ascii="Times New Roman" w:hAnsi="Times New Roman" w:eastAsia="宋体" w:cs="Times New Roman"/>
          <w:sz w:val="28"/>
          <w:szCs w:val="28"/>
          <w:lang w:eastAsia="zh-CN"/>
        </w:rPr>
        <w:t>个等级。</w:t>
      </w:r>
    </w:p>
    <w:p>
      <w:pPr>
        <w:tabs>
          <w:tab w:val="left" w:pos="959"/>
        </w:tabs>
        <w:spacing w:line="360" w:lineRule="auto"/>
        <w:ind w:firstLine="560" w:firstLineChars="200"/>
        <w:jc w:val="both"/>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建筑密度≤25%控制区：主要为幼儿园用地、供水用地和通信用地等；</w:t>
      </w:r>
    </w:p>
    <w:p>
      <w:pPr>
        <w:tabs>
          <w:tab w:val="left" w:pos="959"/>
        </w:tabs>
        <w:spacing w:line="360" w:lineRule="auto"/>
        <w:ind w:firstLine="560" w:firstLineChars="200"/>
        <w:jc w:val="both"/>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25%＜建筑密度≤30%控制区：主要为二类城镇住宅用地、二类城镇住宅/零售商业混合用地、城镇社区服务设施用地、机关团体用地和基层医疗卫生设施用地等；</w:t>
      </w:r>
    </w:p>
    <w:p>
      <w:pPr>
        <w:tabs>
          <w:tab w:val="left" w:pos="959"/>
        </w:tabs>
        <w:spacing w:line="360" w:lineRule="auto"/>
        <w:ind w:firstLine="560" w:firstLineChars="200"/>
        <w:jc w:val="both"/>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30%＜建筑密度≤35%控制区：主要为二类城镇住宅用地、二类城镇住宅/零售商业混合用地、零售商业用地、旅馆用地、零售商业/旅馆混合用地、零售商业/商务金融混合用地和其他商业服务业用地等。</w:t>
      </w:r>
    </w:p>
    <w:p>
      <w:pPr>
        <w:tabs>
          <w:tab w:val="left" w:pos="959"/>
        </w:tabs>
        <w:spacing w:line="360" w:lineRule="auto"/>
        <w:ind w:firstLine="560" w:firstLineChars="200"/>
        <w:jc w:val="both"/>
        <w:rPr>
          <w:rFonts w:hint="eastAsia" w:ascii="Times New Roman" w:hAnsi="Times New Roman" w:eastAsia="宋体" w:cs="Times New Roman"/>
          <w:sz w:val="28"/>
          <w:szCs w:val="28"/>
          <w:lang w:eastAsia="zh-CN"/>
        </w:rPr>
      </w:pPr>
      <w:r>
        <w:rPr>
          <w:rFonts w:hint="eastAsia" w:ascii="Times New Roman" w:hAnsi="Times New Roman" w:eastAsia="宋体" w:cs="Times New Roman"/>
          <w:sz w:val="28"/>
          <w:szCs w:val="28"/>
          <w:lang w:val="en-US" w:eastAsia="zh-CN"/>
        </w:rPr>
        <w:t>建筑密度＞35%控制区：主要为二类城镇住宅/零售商业混合用地（现状建成）。</w:t>
      </w:r>
    </w:p>
    <w:p>
      <w:pPr>
        <w:pStyle w:val="8"/>
        <w:numPr>
          <w:ilvl w:val="0"/>
          <w:numId w:val="3"/>
        </w:numPr>
        <w:spacing w:before="0" w:line="360" w:lineRule="auto"/>
        <w:ind w:left="0" w:firstLine="602" w:firstLineChars="200"/>
        <w:outlineLvl w:val="1"/>
        <w:rPr>
          <w:rFonts w:hint="eastAsia"/>
          <w:b/>
          <w:bCs/>
          <w:lang w:eastAsia="zh-CN"/>
        </w:rPr>
      </w:pPr>
      <w:r>
        <w:rPr>
          <w:rFonts w:hint="eastAsia"/>
          <w:b/>
          <w:bCs/>
          <w:lang w:eastAsia="zh-CN"/>
        </w:rPr>
        <w:t>建筑高度</w:t>
      </w:r>
    </w:p>
    <w:p>
      <w:pPr>
        <w:tabs>
          <w:tab w:val="left" w:pos="959"/>
        </w:tabs>
        <w:spacing w:line="360" w:lineRule="auto"/>
        <w:ind w:firstLine="560" w:firstLineChars="200"/>
        <w:jc w:val="both"/>
        <w:rPr>
          <w:rFonts w:ascii="Times New Roman" w:hAnsi="Times New Roman" w:eastAsia="宋体" w:cs="Times New Roman"/>
          <w:sz w:val="28"/>
          <w:szCs w:val="28"/>
          <w:lang w:eastAsia="zh-CN"/>
        </w:rPr>
      </w:pPr>
      <w:r>
        <w:rPr>
          <w:rFonts w:hint="eastAsia" w:ascii="Times New Roman" w:hAnsi="Times New Roman" w:eastAsia="宋体" w:cs="Times New Roman"/>
          <w:sz w:val="28"/>
          <w:szCs w:val="28"/>
          <w:lang w:eastAsia="zh-CN"/>
        </w:rPr>
        <w:t>本次规划将地块建筑高度划分为</w:t>
      </w:r>
      <w:r>
        <w:rPr>
          <w:rFonts w:hint="eastAsia" w:ascii="Times New Roman" w:hAnsi="Times New Roman" w:eastAsia="宋体" w:cs="Times New Roman"/>
          <w:sz w:val="28"/>
          <w:szCs w:val="28"/>
          <w:lang w:val="en-US" w:eastAsia="zh-CN"/>
        </w:rPr>
        <w:t>3</w:t>
      </w:r>
      <w:r>
        <w:rPr>
          <w:rFonts w:hint="eastAsia" w:ascii="Times New Roman" w:hAnsi="Times New Roman" w:eastAsia="宋体" w:cs="Times New Roman"/>
          <w:sz w:val="28"/>
          <w:szCs w:val="28"/>
          <w:lang w:eastAsia="zh-CN"/>
        </w:rPr>
        <w:t>个等级。</w:t>
      </w:r>
    </w:p>
    <w:p>
      <w:pPr>
        <w:tabs>
          <w:tab w:val="left" w:pos="959"/>
        </w:tabs>
        <w:spacing w:line="360" w:lineRule="auto"/>
        <w:ind w:firstLine="560" w:firstLineChars="200"/>
        <w:jc w:val="both"/>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建筑高度≤15米控制区：主要为城镇社区服务设施用地、幼儿园用地、供水用地和通信用地等；</w:t>
      </w:r>
    </w:p>
    <w:p>
      <w:pPr>
        <w:tabs>
          <w:tab w:val="left" w:pos="959"/>
        </w:tabs>
        <w:spacing w:line="360" w:lineRule="auto"/>
        <w:ind w:firstLine="560" w:firstLineChars="200"/>
        <w:jc w:val="both"/>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15米＜建筑高度≤20米控制区：主要为二类城镇住宅用地、二类城镇住宅/零售商业混合用地和其他商业服务业用地等；</w:t>
      </w:r>
    </w:p>
    <w:p>
      <w:pPr>
        <w:tabs>
          <w:tab w:val="left" w:pos="959"/>
        </w:tabs>
        <w:spacing w:line="360" w:lineRule="auto"/>
        <w:ind w:firstLine="560" w:firstLineChars="200"/>
        <w:jc w:val="both"/>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20米＜建筑高度≤24米控制区：主要为机关团体用地、基层医疗卫生设施用地、零售商业用地、旅馆用地、零售商业/旅馆混合用地和零售商业/商务金融混合用地等。</w:t>
      </w:r>
    </w:p>
    <w:p>
      <w:pPr>
        <w:pStyle w:val="8"/>
        <w:numPr>
          <w:ilvl w:val="0"/>
          <w:numId w:val="3"/>
        </w:numPr>
        <w:spacing w:before="0" w:line="360" w:lineRule="auto"/>
        <w:ind w:left="0" w:firstLine="602" w:firstLineChars="200"/>
        <w:outlineLvl w:val="1"/>
        <w:rPr>
          <w:rFonts w:hint="eastAsia"/>
          <w:b/>
          <w:bCs/>
          <w:lang w:eastAsia="zh-CN"/>
        </w:rPr>
      </w:pPr>
      <w:r>
        <w:rPr>
          <w:rFonts w:hint="eastAsia"/>
          <w:b/>
          <w:bCs/>
          <w:lang w:eastAsia="zh-CN"/>
        </w:rPr>
        <w:t>容积率</w:t>
      </w:r>
    </w:p>
    <w:p>
      <w:pPr>
        <w:tabs>
          <w:tab w:val="left" w:pos="959"/>
        </w:tabs>
        <w:spacing w:line="360" w:lineRule="auto"/>
        <w:ind w:firstLine="560" w:firstLineChars="200"/>
        <w:jc w:val="both"/>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本次规划将地块容积率分为5个等级。</w:t>
      </w:r>
    </w:p>
    <w:p>
      <w:pPr>
        <w:tabs>
          <w:tab w:val="left" w:pos="959"/>
        </w:tabs>
        <w:spacing w:line="360" w:lineRule="auto"/>
        <w:ind w:firstLine="560" w:firstLineChars="200"/>
        <w:jc w:val="both"/>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容积率≤0.8控制区：主要为幼儿园用地、基层医疗卫生设施用地、其他商业服务业用地、供水用地和通信用地等；</w:t>
      </w:r>
    </w:p>
    <w:p>
      <w:pPr>
        <w:tabs>
          <w:tab w:val="left" w:pos="959"/>
        </w:tabs>
        <w:spacing w:line="360" w:lineRule="auto"/>
        <w:ind w:firstLine="560" w:firstLineChars="200"/>
        <w:jc w:val="both"/>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0.8＜容积率≤1.0控制区：主要为二类城镇住宅用地、二类城镇住宅/零售商业混合用地、城镇社区服务设施用地和零售商业/旅馆混合用地等；</w:t>
      </w:r>
    </w:p>
    <w:p>
      <w:pPr>
        <w:tabs>
          <w:tab w:val="left" w:pos="959"/>
        </w:tabs>
        <w:spacing w:line="360" w:lineRule="auto"/>
        <w:ind w:firstLine="560" w:firstLineChars="200"/>
        <w:jc w:val="both"/>
        <w:rPr>
          <w:rFonts w:hint="default"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1.0＜容积率≤1.2控制区：主要为二类城镇住宅用地、二类城镇住宅/零售商业混合用地、机关团体用地、零售商业用地、旅馆用地和零售商业/旅馆混合用地等；</w:t>
      </w:r>
    </w:p>
    <w:p>
      <w:pPr>
        <w:tabs>
          <w:tab w:val="left" w:pos="959"/>
        </w:tabs>
        <w:spacing w:line="360" w:lineRule="auto"/>
        <w:ind w:firstLine="560" w:firstLineChars="200"/>
        <w:jc w:val="both"/>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t>1.2＜容积率≤1.5控制区：主要为二类城镇住宅用地、二类城镇住宅/零售商业混合用地、零售商业用地、零售商业/旅馆混合用地和零售商业/商务金融混合用地等；</w:t>
      </w:r>
    </w:p>
    <w:p>
      <w:pPr>
        <w:tabs>
          <w:tab w:val="left" w:pos="959"/>
        </w:tabs>
        <w:spacing w:line="360" w:lineRule="auto"/>
        <w:ind w:firstLine="560" w:firstLineChars="200"/>
        <w:jc w:val="both"/>
        <w:rPr>
          <w:rFonts w:hint="eastAsia" w:ascii="Times New Roman" w:hAnsi="Times New Roman" w:eastAsia="宋体" w:cs="Times New Roman"/>
          <w:sz w:val="28"/>
          <w:szCs w:val="28"/>
          <w:lang w:val="en-US" w:eastAsia="zh-CN"/>
        </w:rPr>
        <w:sectPr>
          <w:headerReference r:id="rId3" w:type="default"/>
          <w:pgSz w:w="11910" w:h="16840"/>
          <w:pgMar w:top="1503" w:right="1599" w:bottom="567" w:left="1678" w:header="720" w:footer="720" w:gutter="0"/>
          <w:cols w:space="720" w:num="1"/>
        </w:sectPr>
      </w:pPr>
      <w:r>
        <w:rPr>
          <w:rFonts w:hint="eastAsia" w:ascii="Times New Roman" w:hAnsi="Times New Roman" w:eastAsia="宋体" w:cs="Times New Roman"/>
          <w:sz w:val="28"/>
          <w:szCs w:val="28"/>
          <w:lang w:val="en-US" w:eastAsia="zh-CN"/>
        </w:rPr>
        <w:t>容积率＞1.5控制区：主要为二类城镇住宅/零售商业混合用地（现状建成）</w:t>
      </w: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drawing>
          <wp:inline distT="0" distB="0" distL="114300" distR="114300">
            <wp:extent cx="8600440" cy="12174220"/>
            <wp:effectExtent l="0" t="0" r="10160" b="17780"/>
            <wp:docPr id="1" name="图片 1" descr="01 区位分析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1 区位分析图"/>
                    <pic:cNvPicPr>
                      <a:picLocks noChangeAspect="1"/>
                    </pic:cNvPicPr>
                  </pic:nvPicPr>
                  <pic:blipFill>
                    <a:blip r:embed="rId5"/>
                    <a:stretch>
                      <a:fillRect/>
                    </a:stretch>
                  </pic:blipFill>
                  <pic:spPr>
                    <a:xfrm>
                      <a:off x="0" y="0"/>
                      <a:ext cx="8600440" cy="12174220"/>
                    </a:xfrm>
                    <a:prstGeom prst="rect">
                      <a:avLst/>
                    </a:prstGeom>
                  </pic:spPr>
                </pic:pic>
              </a:graphicData>
            </a:graphic>
          </wp:inline>
        </w:drawing>
      </w: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drawing>
          <wp:inline distT="0" distB="0" distL="114300" distR="114300">
            <wp:extent cx="8599805" cy="12173585"/>
            <wp:effectExtent l="0" t="0" r="10795" b="18415"/>
            <wp:docPr id="2" name="图片 2" descr="02 上位规划解析图（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2 上位规划解析图（一）"/>
                    <pic:cNvPicPr>
                      <a:picLocks noChangeAspect="1"/>
                    </pic:cNvPicPr>
                  </pic:nvPicPr>
                  <pic:blipFill>
                    <a:blip r:embed="rId6"/>
                    <a:stretch>
                      <a:fillRect/>
                    </a:stretch>
                  </pic:blipFill>
                  <pic:spPr>
                    <a:xfrm>
                      <a:off x="0" y="0"/>
                      <a:ext cx="8599805" cy="12173585"/>
                    </a:xfrm>
                    <a:prstGeom prst="rect">
                      <a:avLst/>
                    </a:prstGeom>
                  </pic:spPr>
                </pic:pic>
              </a:graphicData>
            </a:graphic>
          </wp:inline>
        </w:drawing>
      </w: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drawing>
          <wp:inline distT="0" distB="0" distL="114300" distR="114300">
            <wp:extent cx="8599805" cy="12173585"/>
            <wp:effectExtent l="0" t="0" r="10795" b="18415"/>
            <wp:docPr id="3" name="图片 3" descr="03 上位规划解析图（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3 上位规划解析图（二）"/>
                    <pic:cNvPicPr>
                      <a:picLocks noChangeAspect="1"/>
                    </pic:cNvPicPr>
                  </pic:nvPicPr>
                  <pic:blipFill>
                    <a:blip r:embed="rId7"/>
                    <a:stretch>
                      <a:fillRect/>
                    </a:stretch>
                  </pic:blipFill>
                  <pic:spPr>
                    <a:xfrm>
                      <a:off x="0" y="0"/>
                      <a:ext cx="8599805" cy="12173585"/>
                    </a:xfrm>
                    <a:prstGeom prst="rect">
                      <a:avLst/>
                    </a:prstGeom>
                  </pic:spPr>
                </pic:pic>
              </a:graphicData>
            </a:graphic>
          </wp:inline>
        </w:drawing>
      </w: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drawing>
          <wp:inline distT="0" distB="0" distL="114300" distR="114300">
            <wp:extent cx="8599805" cy="12173585"/>
            <wp:effectExtent l="0" t="0" r="10795" b="18415"/>
            <wp:docPr id="4" name="图片 4" descr="04 相关规划解析图（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04 相关规划解析图（一）"/>
                    <pic:cNvPicPr>
                      <a:picLocks noChangeAspect="1"/>
                    </pic:cNvPicPr>
                  </pic:nvPicPr>
                  <pic:blipFill>
                    <a:blip r:embed="rId8"/>
                    <a:stretch>
                      <a:fillRect/>
                    </a:stretch>
                  </pic:blipFill>
                  <pic:spPr>
                    <a:xfrm>
                      <a:off x="0" y="0"/>
                      <a:ext cx="8599805" cy="12173585"/>
                    </a:xfrm>
                    <a:prstGeom prst="rect">
                      <a:avLst/>
                    </a:prstGeom>
                  </pic:spPr>
                </pic:pic>
              </a:graphicData>
            </a:graphic>
          </wp:inline>
        </w:drawing>
      </w: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drawing>
          <wp:inline distT="0" distB="0" distL="114300" distR="114300">
            <wp:extent cx="8599805" cy="12173585"/>
            <wp:effectExtent l="0" t="0" r="10795" b="18415"/>
            <wp:docPr id="5" name="图片 5" descr="05 相关规划解析图（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5 相关规划解析图（二）"/>
                    <pic:cNvPicPr>
                      <a:picLocks noChangeAspect="1"/>
                    </pic:cNvPicPr>
                  </pic:nvPicPr>
                  <pic:blipFill>
                    <a:blip r:embed="rId9"/>
                    <a:stretch>
                      <a:fillRect/>
                    </a:stretch>
                  </pic:blipFill>
                  <pic:spPr>
                    <a:xfrm>
                      <a:off x="0" y="0"/>
                      <a:ext cx="8599805" cy="12173585"/>
                    </a:xfrm>
                    <a:prstGeom prst="rect">
                      <a:avLst/>
                    </a:prstGeom>
                  </pic:spPr>
                </pic:pic>
              </a:graphicData>
            </a:graphic>
          </wp:inline>
        </w:drawing>
      </w: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drawing>
          <wp:inline distT="0" distB="0" distL="114300" distR="114300">
            <wp:extent cx="8599805" cy="12173585"/>
            <wp:effectExtent l="0" t="0" r="10795" b="18415"/>
            <wp:docPr id="6" name="图片 6" descr="08 土地利用现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08 土地利用现状图"/>
                    <pic:cNvPicPr>
                      <a:picLocks noChangeAspect="1"/>
                    </pic:cNvPicPr>
                  </pic:nvPicPr>
                  <pic:blipFill>
                    <a:blip r:embed="rId10"/>
                    <a:stretch>
                      <a:fillRect/>
                    </a:stretch>
                  </pic:blipFill>
                  <pic:spPr>
                    <a:xfrm>
                      <a:off x="0" y="0"/>
                      <a:ext cx="8599805" cy="12173585"/>
                    </a:xfrm>
                    <a:prstGeom prst="rect">
                      <a:avLst/>
                    </a:prstGeom>
                  </pic:spPr>
                </pic:pic>
              </a:graphicData>
            </a:graphic>
          </wp:inline>
        </w:drawing>
      </w: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drawing>
          <wp:inline distT="0" distB="0" distL="114300" distR="114300">
            <wp:extent cx="8599805" cy="12173585"/>
            <wp:effectExtent l="0" t="0" r="10795" b="18415"/>
            <wp:docPr id="7" name="图片 7" descr="16 空间结构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6 空间结构规划图"/>
                    <pic:cNvPicPr>
                      <a:picLocks noChangeAspect="1"/>
                    </pic:cNvPicPr>
                  </pic:nvPicPr>
                  <pic:blipFill>
                    <a:blip r:embed="rId11"/>
                    <a:stretch>
                      <a:fillRect/>
                    </a:stretch>
                  </pic:blipFill>
                  <pic:spPr>
                    <a:xfrm>
                      <a:off x="0" y="0"/>
                      <a:ext cx="8599805" cy="12173585"/>
                    </a:xfrm>
                    <a:prstGeom prst="rect">
                      <a:avLst/>
                    </a:prstGeom>
                  </pic:spPr>
                </pic:pic>
              </a:graphicData>
            </a:graphic>
          </wp:inline>
        </w:drawing>
      </w: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drawing>
          <wp:inline distT="0" distB="0" distL="114300" distR="114300">
            <wp:extent cx="8599805" cy="12173585"/>
            <wp:effectExtent l="0" t="0" r="10795" b="18415"/>
            <wp:docPr id="8" name="图片 8" descr="17 土地使用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7 土地使用规划图"/>
                    <pic:cNvPicPr>
                      <a:picLocks noChangeAspect="1"/>
                    </pic:cNvPicPr>
                  </pic:nvPicPr>
                  <pic:blipFill>
                    <a:blip r:embed="rId12"/>
                    <a:stretch>
                      <a:fillRect/>
                    </a:stretch>
                  </pic:blipFill>
                  <pic:spPr>
                    <a:xfrm>
                      <a:off x="0" y="0"/>
                      <a:ext cx="8599805" cy="12173585"/>
                    </a:xfrm>
                    <a:prstGeom prst="rect">
                      <a:avLst/>
                    </a:prstGeom>
                  </pic:spPr>
                </pic:pic>
              </a:graphicData>
            </a:graphic>
          </wp:inline>
        </w:drawing>
      </w: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drawing>
          <wp:inline distT="0" distB="0" distL="114300" distR="114300">
            <wp:extent cx="8599805" cy="12173585"/>
            <wp:effectExtent l="0" t="0" r="10795" b="18415"/>
            <wp:docPr id="9" name="图片 9" descr="29 开发强度控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9 开发强度控制图"/>
                    <pic:cNvPicPr>
                      <a:picLocks noChangeAspect="1"/>
                    </pic:cNvPicPr>
                  </pic:nvPicPr>
                  <pic:blipFill>
                    <a:blip r:embed="rId13"/>
                    <a:stretch>
                      <a:fillRect/>
                    </a:stretch>
                  </pic:blipFill>
                  <pic:spPr>
                    <a:xfrm>
                      <a:off x="0" y="0"/>
                      <a:ext cx="8599805" cy="12173585"/>
                    </a:xfrm>
                    <a:prstGeom prst="rect">
                      <a:avLst/>
                    </a:prstGeom>
                  </pic:spPr>
                </pic:pic>
              </a:graphicData>
            </a:graphic>
          </wp:inline>
        </w:drawing>
      </w: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drawing>
          <wp:inline distT="0" distB="0" distL="114300" distR="114300">
            <wp:extent cx="8639810" cy="12230100"/>
            <wp:effectExtent l="0" t="0" r="8890" b="0"/>
            <wp:docPr id="10" name="图片 10" descr="30 建筑高度控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0 建筑高度控制图"/>
                    <pic:cNvPicPr>
                      <a:picLocks noChangeAspect="1"/>
                    </pic:cNvPicPr>
                  </pic:nvPicPr>
                  <pic:blipFill>
                    <a:blip r:embed="rId14"/>
                    <a:stretch>
                      <a:fillRect/>
                    </a:stretch>
                  </pic:blipFill>
                  <pic:spPr>
                    <a:xfrm>
                      <a:off x="0" y="0"/>
                      <a:ext cx="8639810" cy="12230100"/>
                    </a:xfrm>
                    <a:prstGeom prst="rect">
                      <a:avLst/>
                    </a:prstGeom>
                  </pic:spPr>
                </pic:pic>
              </a:graphicData>
            </a:graphic>
          </wp:inline>
        </w:drawing>
      </w: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p>
    <w:p>
      <w:pPr>
        <w:tabs>
          <w:tab w:val="left" w:pos="959"/>
        </w:tabs>
        <w:spacing w:line="360" w:lineRule="auto"/>
        <w:jc w:val="center"/>
        <w:rPr>
          <w:rFonts w:hint="eastAsia" w:ascii="Times New Roman" w:hAnsi="Times New Roman" w:eastAsia="宋体" w:cs="Times New Roman"/>
          <w:sz w:val="28"/>
          <w:szCs w:val="28"/>
          <w:lang w:val="en-US" w:eastAsia="zh-CN"/>
        </w:rPr>
      </w:pPr>
      <w:r>
        <w:rPr>
          <w:rFonts w:hint="eastAsia" w:ascii="Times New Roman" w:hAnsi="Times New Roman" w:eastAsia="宋体" w:cs="Times New Roman"/>
          <w:sz w:val="28"/>
          <w:szCs w:val="28"/>
          <w:lang w:val="en-US" w:eastAsia="zh-CN"/>
        </w:rPr>
        <w:drawing>
          <wp:inline distT="0" distB="0" distL="114300" distR="114300">
            <wp:extent cx="8639810" cy="12230100"/>
            <wp:effectExtent l="0" t="0" r="8890" b="0"/>
            <wp:docPr id="12" name="图片 12" descr="31 建筑密度控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31 建筑密度控制图"/>
                    <pic:cNvPicPr>
                      <a:picLocks noChangeAspect="1"/>
                    </pic:cNvPicPr>
                  </pic:nvPicPr>
                  <pic:blipFill>
                    <a:blip r:embed="rId15"/>
                    <a:stretch>
                      <a:fillRect/>
                    </a:stretch>
                  </pic:blipFill>
                  <pic:spPr>
                    <a:xfrm>
                      <a:off x="0" y="0"/>
                      <a:ext cx="8639810" cy="12230100"/>
                    </a:xfrm>
                    <a:prstGeom prst="rect">
                      <a:avLst/>
                    </a:prstGeom>
                  </pic:spPr>
                </pic:pic>
              </a:graphicData>
            </a:graphic>
          </wp:inline>
        </w:drawing>
      </w:r>
    </w:p>
    <w:sectPr>
      <w:pgSz w:w="16838" w:h="23811"/>
      <w:pgMar w:top="280" w:right="0" w:bottom="1480" w:left="0" w:header="720" w:footer="72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05728E"/>
    <w:multiLevelType w:val="singleLevel"/>
    <w:tmpl w:val="9605728E"/>
    <w:lvl w:ilvl="0" w:tentative="0">
      <w:start w:val="1"/>
      <w:numFmt w:val="decimal"/>
      <w:suff w:val="nothing"/>
      <w:lvlText w:val="%1、"/>
      <w:lvlJc w:val="left"/>
    </w:lvl>
  </w:abstractNum>
  <w:abstractNum w:abstractNumId="1">
    <w:nsid w:val="A63B2878"/>
    <w:multiLevelType w:val="singleLevel"/>
    <w:tmpl w:val="A63B2878"/>
    <w:lvl w:ilvl="0" w:tentative="0">
      <w:start w:val="1"/>
      <w:numFmt w:val="decimal"/>
      <w:suff w:val="nothing"/>
      <w:lvlText w:val="%1、"/>
      <w:lvlJc w:val="left"/>
    </w:lvl>
  </w:abstractNum>
  <w:abstractNum w:abstractNumId="2">
    <w:nsid w:val="3F98D26C"/>
    <w:multiLevelType w:val="singleLevel"/>
    <w:tmpl w:val="3F98D26C"/>
    <w:lvl w:ilvl="0" w:tentative="0">
      <w:start w:val="1"/>
      <w:numFmt w:val="chineseCount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720"/>
  <w:drawingGridHorizontalSpacing w:val="110"/>
  <w:displayHorizontalDrawingGridEvery w:val="0"/>
  <w:displayVerticalDrawingGridEvery w:val="2"/>
  <w:characterSpacingControl w:val="doNotCompress"/>
  <w:compat>
    <w:balanceSingleByteDoubleByteWidth/>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diZTNhMmFmODIzN2ZkZWFjMWJkZGMyNmYwYjdhNDcifQ=="/>
  </w:docVars>
  <w:rsids>
    <w:rsidRoot w:val="00F3021D"/>
    <w:rsid w:val="000013A8"/>
    <w:rsid w:val="00011662"/>
    <w:rsid w:val="0004383B"/>
    <w:rsid w:val="00115BF4"/>
    <w:rsid w:val="00167AD5"/>
    <w:rsid w:val="002A25F7"/>
    <w:rsid w:val="00395EBE"/>
    <w:rsid w:val="00507B26"/>
    <w:rsid w:val="005D2087"/>
    <w:rsid w:val="005D78A6"/>
    <w:rsid w:val="006334D9"/>
    <w:rsid w:val="00643FAD"/>
    <w:rsid w:val="00676F43"/>
    <w:rsid w:val="006C52D3"/>
    <w:rsid w:val="007903D0"/>
    <w:rsid w:val="007E2208"/>
    <w:rsid w:val="00AD7338"/>
    <w:rsid w:val="00B33877"/>
    <w:rsid w:val="00C862F3"/>
    <w:rsid w:val="00E43706"/>
    <w:rsid w:val="00F3021D"/>
    <w:rsid w:val="00FF6072"/>
    <w:rsid w:val="088F358C"/>
    <w:rsid w:val="0B21104E"/>
    <w:rsid w:val="0E3559D2"/>
    <w:rsid w:val="0E586C11"/>
    <w:rsid w:val="0EBF5AF0"/>
    <w:rsid w:val="0ECA723E"/>
    <w:rsid w:val="136D48AD"/>
    <w:rsid w:val="15A547C9"/>
    <w:rsid w:val="16082E04"/>
    <w:rsid w:val="18414ADE"/>
    <w:rsid w:val="19284C57"/>
    <w:rsid w:val="1B674897"/>
    <w:rsid w:val="1E1914FE"/>
    <w:rsid w:val="23217B00"/>
    <w:rsid w:val="27F65616"/>
    <w:rsid w:val="298C7B83"/>
    <w:rsid w:val="29DE4AB3"/>
    <w:rsid w:val="2C1B62B2"/>
    <w:rsid w:val="2C2F70D1"/>
    <w:rsid w:val="2D46629B"/>
    <w:rsid w:val="2EF550EB"/>
    <w:rsid w:val="300C5A93"/>
    <w:rsid w:val="33A152B2"/>
    <w:rsid w:val="35B73D90"/>
    <w:rsid w:val="3C8B18DE"/>
    <w:rsid w:val="3DF05BE8"/>
    <w:rsid w:val="3E3B65C0"/>
    <w:rsid w:val="428072A5"/>
    <w:rsid w:val="444E4937"/>
    <w:rsid w:val="457E3646"/>
    <w:rsid w:val="47A0687C"/>
    <w:rsid w:val="4B005883"/>
    <w:rsid w:val="4B655B4B"/>
    <w:rsid w:val="4BDC1E30"/>
    <w:rsid w:val="4C7D3A0F"/>
    <w:rsid w:val="50273FBD"/>
    <w:rsid w:val="55150E5E"/>
    <w:rsid w:val="558A0551"/>
    <w:rsid w:val="5B5437AD"/>
    <w:rsid w:val="5B694D7F"/>
    <w:rsid w:val="5DCB2558"/>
    <w:rsid w:val="626F0843"/>
    <w:rsid w:val="63536A40"/>
    <w:rsid w:val="65CB36E3"/>
    <w:rsid w:val="68D44499"/>
    <w:rsid w:val="6BB45C3D"/>
    <w:rsid w:val="6C775557"/>
    <w:rsid w:val="71596EB9"/>
    <w:rsid w:val="7CFA3BCB"/>
    <w:rsid w:val="7EC30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paragraph" w:styleId="2">
    <w:name w:val="heading 1"/>
    <w:basedOn w:val="1"/>
    <w:next w:val="1"/>
    <w:qFormat/>
    <w:uiPriority w:val="1"/>
    <w:pPr>
      <w:outlineLvl w:val="0"/>
    </w:pPr>
    <w:rPr>
      <w:rFonts w:ascii="宋体" w:hAnsi="宋体" w:eastAsia="宋体"/>
      <w:sz w:val="144"/>
      <w:szCs w:val="144"/>
    </w:rPr>
  </w:style>
  <w:style w:type="paragraph" w:styleId="3">
    <w:name w:val="heading 2"/>
    <w:basedOn w:val="1"/>
    <w:next w:val="1"/>
    <w:qFormat/>
    <w:uiPriority w:val="1"/>
    <w:pPr>
      <w:outlineLvl w:val="1"/>
    </w:pPr>
    <w:rPr>
      <w:rFonts w:ascii="宋体" w:hAnsi="宋体" w:eastAsia="宋体"/>
      <w:sz w:val="39"/>
      <w:szCs w:val="39"/>
    </w:rPr>
  </w:style>
  <w:style w:type="paragraph" w:styleId="4">
    <w:name w:val="heading 3"/>
    <w:basedOn w:val="1"/>
    <w:next w:val="1"/>
    <w:qFormat/>
    <w:uiPriority w:val="1"/>
    <w:pPr>
      <w:ind w:left="3303"/>
      <w:outlineLvl w:val="2"/>
    </w:pPr>
    <w:rPr>
      <w:rFonts w:ascii="黑体" w:hAnsi="黑体" w:eastAsia="黑体"/>
      <w:sz w:val="36"/>
      <w:szCs w:val="36"/>
    </w:rPr>
  </w:style>
  <w:style w:type="paragraph" w:styleId="5">
    <w:name w:val="heading 4"/>
    <w:basedOn w:val="1"/>
    <w:next w:val="1"/>
    <w:qFormat/>
    <w:uiPriority w:val="1"/>
    <w:pPr>
      <w:ind w:left="103"/>
      <w:outlineLvl w:val="3"/>
    </w:pPr>
    <w:rPr>
      <w:rFonts w:ascii="宋体" w:hAnsi="宋体" w:eastAsia="宋体"/>
      <w:sz w:val="33"/>
      <w:szCs w:val="33"/>
    </w:rPr>
  </w:style>
  <w:style w:type="paragraph" w:styleId="6">
    <w:name w:val="heading 5"/>
    <w:basedOn w:val="1"/>
    <w:next w:val="1"/>
    <w:qFormat/>
    <w:uiPriority w:val="1"/>
    <w:pPr>
      <w:ind w:left="20"/>
      <w:outlineLvl w:val="4"/>
    </w:pPr>
    <w:rPr>
      <w:rFonts w:ascii="宋体" w:hAnsi="宋体" w:eastAsia="宋体"/>
      <w:sz w:val="32"/>
      <w:szCs w:val="32"/>
    </w:rPr>
  </w:style>
  <w:style w:type="paragraph" w:styleId="7">
    <w:name w:val="heading 6"/>
    <w:basedOn w:val="1"/>
    <w:next w:val="1"/>
    <w:qFormat/>
    <w:uiPriority w:val="1"/>
    <w:pPr>
      <w:ind w:left="120"/>
      <w:outlineLvl w:val="5"/>
    </w:pPr>
    <w:rPr>
      <w:rFonts w:ascii="宋体" w:hAnsi="宋体" w:eastAsia="宋体"/>
      <w:b/>
      <w:bCs/>
      <w:sz w:val="30"/>
      <w:szCs w:val="30"/>
    </w:rPr>
  </w:style>
  <w:style w:type="character" w:default="1" w:styleId="12">
    <w:name w:val="Default Paragraph Font"/>
    <w:semiHidden/>
    <w:unhideWhenUsed/>
    <w:qFormat/>
    <w:uiPriority w:val="1"/>
  </w:style>
  <w:style w:type="table" w:default="1" w:styleId="11">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8">
    <w:name w:val="Body Text"/>
    <w:basedOn w:val="1"/>
    <w:qFormat/>
    <w:uiPriority w:val="1"/>
    <w:pPr>
      <w:spacing w:before="54"/>
      <w:ind w:left="120"/>
    </w:pPr>
    <w:rPr>
      <w:rFonts w:ascii="宋体" w:hAnsi="宋体" w:eastAsia="宋体"/>
      <w:sz w:val="30"/>
      <w:szCs w:val="30"/>
    </w:rPr>
  </w:style>
  <w:style w:type="paragraph" w:styleId="9">
    <w:name w:val="footer"/>
    <w:basedOn w:val="1"/>
    <w:link w:val="17"/>
    <w:unhideWhenUsed/>
    <w:qFormat/>
    <w:uiPriority w:val="99"/>
    <w:pPr>
      <w:tabs>
        <w:tab w:val="center" w:pos="4153"/>
        <w:tab w:val="right" w:pos="8306"/>
      </w:tabs>
      <w:snapToGrid w:val="0"/>
    </w:pPr>
    <w:rPr>
      <w:sz w:val="18"/>
      <w:szCs w:val="18"/>
    </w:rPr>
  </w:style>
  <w:style w:type="paragraph" w:styleId="10">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table" w:customStyle="1" w:styleId="13">
    <w:name w:val="Table Normal"/>
    <w:semiHidden/>
    <w:unhideWhenUsed/>
    <w:qFormat/>
    <w:uiPriority w:val="2"/>
    <w:tblPr>
      <w:tblCellMar>
        <w:top w:w="0" w:type="dxa"/>
        <w:left w:w="0" w:type="dxa"/>
        <w:bottom w:w="0" w:type="dxa"/>
        <w:right w:w="0" w:type="dxa"/>
      </w:tblCellMar>
    </w:tblPr>
  </w:style>
  <w:style w:type="paragraph" w:styleId="14">
    <w:name w:val="List Paragraph"/>
    <w:basedOn w:val="1"/>
    <w:qFormat/>
    <w:uiPriority w:val="1"/>
  </w:style>
  <w:style w:type="paragraph" w:customStyle="1" w:styleId="15">
    <w:name w:val="Table Paragraph"/>
    <w:basedOn w:val="1"/>
    <w:qFormat/>
    <w:uiPriority w:val="1"/>
  </w:style>
  <w:style w:type="character" w:customStyle="1" w:styleId="16">
    <w:name w:val="页眉 字符"/>
    <w:basedOn w:val="12"/>
    <w:link w:val="10"/>
    <w:qFormat/>
    <w:uiPriority w:val="99"/>
    <w:rPr>
      <w:sz w:val="18"/>
      <w:szCs w:val="18"/>
    </w:rPr>
  </w:style>
  <w:style w:type="character" w:customStyle="1" w:styleId="17">
    <w:name w:val="页脚 字符"/>
    <w:basedOn w:val="12"/>
    <w:link w:val="9"/>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BC85B6-6AEC-4E7E-A478-F45084A6D7C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1509</Words>
  <Characters>1619</Characters>
  <Lines>11</Lines>
  <Paragraphs>3</Paragraphs>
  <TotalTime>0</TotalTime>
  <ScaleCrop>false</ScaleCrop>
  <LinksUpToDate>false</LinksUpToDate>
  <CharactersWithSpaces>1625</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2024-07-30T02:48:00Z</dcterms:created>
  <dc:creator>yun</dc:creator>
  <cp:lastModifiedBy>吴英煌</cp:lastModifiedBy>
  <dcterms:modified xsi:type="dcterms:W3CDTF">2025-01-06T05:14:33Z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2022-10-24T00:00:00Z</vt:filetime>
  </property>
  <property fmtid="{D5CDD505-2E9C-101B-9397-08002B2CF9AE}" pid="3" name="Creator">
    <vt:lpwstr>Adobe Acrobat Pro 11.0</vt:lpwstr>
  </property>
  <property fmtid="{D5CDD505-2E9C-101B-9397-08002B2CF9AE}" pid="4" name="LastSaved">
    <vt:filetime>2024-07-30T00:00:00Z</vt:filetime>
  </property>
  <property fmtid="{D5CDD505-2E9C-101B-9397-08002B2CF9AE}" pid="5" name="KSOProductBuildVer">
    <vt:lpwstr>2052-11.8.2.8875</vt:lpwstr>
  </property>
  <property fmtid="{D5CDD505-2E9C-101B-9397-08002B2CF9AE}" pid="6" name="ICV">
    <vt:lpwstr>8F3CC5A7C3A8430FAC1F2E095653CD0C_13</vt:lpwstr>
  </property>
  <property fmtid="{D5CDD505-2E9C-101B-9397-08002B2CF9AE}" pid="7" name="KSOTemplateDocerSaveRecord">
    <vt:lpwstr>eyJoZGlkIjoiYWMzNDMwODE4MzI3YTBlMTgwN2JiZGU5ODU4MjRjNmMiLCJ1c2VySWQiOiIzOTg4NTIxODkifQ==</vt:lpwstr>
  </property>
</Properties>
</file>