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093BA">
      <w:pPr>
        <w:spacing w:line="578" w:lineRule="exact"/>
        <w:jc w:val="center"/>
        <w:rPr>
          <w:rFonts w:hint="eastAsia" w:ascii="黑体" w:hAnsi="ˎ̥" w:eastAsia="黑体"/>
          <w:sz w:val="44"/>
          <w:szCs w:val="44"/>
        </w:rPr>
      </w:pPr>
      <w:r>
        <w:rPr>
          <w:rFonts w:hint="eastAsia" w:ascii="黑体" w:hAnsi="ˎ̥" w:eastAsia="黑体"/>
          <w:sz w:val="44"/>
          <w:szCs w:val="44"/>
        </w:rPr>
        <w:t>白沙黎族自治县邦溪镇中心学校202</w:t>
      </w:r>
      <w:r>
        <w:rPr>
          <w:rFonts w:ascii="黑体" w:hAnsi="ˎ̥" w:eastAsia="黑体"/>
          <w:sz w:val="44"/>
          <w:szCs w:val="44"/>
        </w:rPr>
        <w:t>3</w:t>
      </w:r>
      <w:r>
        <w:rPr>
          <w:rFonts w:hint="eastAsia" w:ascii="黑体" w:hAnsi="ˎ̥" w:eastAsia="黑体"/>
          <w:sz w:val="44"/>
          <w:szCs w:val="44"/>
        </w:rPr>
        <w:t>年度部门决算公开</w:t>
      </w:r>
      <w:r>
        <w:rPr>
          <w:rFonts w:ascii="黑体" w:hAnsi="ˎ̥" w:eastAsia="黑体"/>
          <w:sz w:val="44"/>
          <w:szCs w:val="44"/>
        </w:rPr>
        <w:t>报告</w:t>
      </w:r>
    </w:p>
    <w:p w14:paraId="71BB6EC6">
      <w:pPr>
        <w:spacing w:line="578" w:lineRule="exact"/>
        <w:jc w:val="center"/>
        <w:rPr>
          <w:rFonts w:hint="eastAsia" w:ascii="黑体" w:hAnsi="ˎ̥" w:eastAsia="黑体"/>
          <w:b/>
          <w:sz w:val="32"/>
          <w:szCs w:val="32"/>
        </w:rPr>
      </w:pPr>
    </w:p>
    <w:p w14:paraId="659FFCE5">
      <w:pPr>
        <w:spacing w:line="578" w:lineRule="exact"/>
        <w:jc w:val="center"/>
        <w:rPr>
          <w:rFonts w:hint="eastAsia" w:ascii="黑体" w:hAnsi="黑体" w:eastAsia="黑体" w:cs="黑体"/>
          <w:sz w:val="44"/>
          <w:szCs w:val="44"/>
        </w:rPr>
      </w:pPr>
      <w:bookmarkStart w:id="0" w:name="_Toc11440_WPSOffice_Type2"/>
      <w:r>
        <w:rPr>
          <w:rFonts w:hint="eastAsia" w:ascii="黑体" w:hAnsi="黑体" w:eastAsia="黑体" w:cs="黑体"/>
          <w:sz w:val="44"/>
          <w:szCs w:val="44"/>
        </w:rPr>
        <w:t>目  录</w:t>
      </w:r>
    </w:p>
    <w:p w14:paraId="5B5A5DDA">
      <w:pPr>
        <w:pStyle w:val="16"/>
        <w:tabs>
          <w:tab w:val="right" w:leader="dot" w:pos="8306"/>
        </w:tabs>
        <w:spacing w:line="578" w:lineRule="exact"/>
        <w:rPr>
          <w:rFonts w:hint="eastAsia"/>
          <w:sz w:val="32"/>
          <w:szCs w:val="32"/>
        </w:rPr>
      </w:pPr>
      <w:r>
        <w:fldChar w:fldCharType="begin"/>
      </w:r>
      <w:r>
        <w:rPr>
          <w:sz w:val="32"/>
          <w:szCs w:val="32"/>
        </w:rPr>
        <w:instrText xml:space="preserve"> HYPERLINK \l _Toc1704_WPSOffice_Level1 </w:instrText>
      </w:r>
      <w:r>
        <w:rPr>
          <w:sz w:val="32"/>
          <w:szCs w:val="32"/>
        </w:rPr>
        <w:fldChar w:fldCharType="separate"/>
      </w:r>
      <w:r>
        <w:rPr>
          <w:rFonts w:hint="eastAsia" w:ascii="黑体" w:hAnsi="ˎ̥" w:eastAsia="黑体"/>
          <w:sz w:val="32"/>
          <w:szCs w:val="32"/>
        </w:rPr>
        <w:t>第一部分 基本情况</w:t>
      </w:r>
      <w:r>
        <w:rPr>
          <w:sz w:val="32"/>
          <w:szCs w:val="32"/>
        </w:rPr>
        <w:tab/>
      </w:r>
      <w:r>
        <w:rPr>
          <w:sz w:val="32"/>
          <w:szCs w:val="32"/>
        </w:rPr>
        <w:fldChar w:fldCharType="end"/>
      </w:r>
      <w:r>
        <w:rPr>
          <w:rFonts w:hint="eastAsia"/>
          <w:sz w:val="32"/>
          <w:szCs w:val="32"/>
        </w:rPr>
        <w:t>2</w:t>
      </w:r>
    </w:p>
    <w:p w14:paraId="412222A8">
      <w:pPr>
        <w:pStyle w:val="17"/>
        <w:tabs>
          <w:tab w:val="right" w:leader="dot" w:pos="8306"/>
        </w:tabs>
        <w:spacing w:line="578" w:lineRule="exact"/>
        <w:ind w:leftChars="0"/>
        <w:rPr>
          <w:rFonts w:hint="eastAsia" w:ascii="仿宋" w:hAnsi="仿宋" w:eastAsia="仿宋" w:cs="仿宋"/>
          <w:sz w:val="32"/>
          <w:szCs w:val="32"/>
        </w:rPr>
      </w:pPr>
      <w:r>
        <w:fldChar w:fldCharType="begin"/>
      </w:r>
      <w:r>
        <w:rPr>
          <w:rFonts w:hint="eastAsia" w:ascii="仿宋" w:hAnsi="仿宋" w:eastAsia="仿宋" w:cs="仿宋"/>
          <w:sz w:val="32"/>
          <w:szCs w:val="32"/>
        </w:rPr>
        <w:instrText xml:space="preserve"> HYPERLINK \l _Toc20274_WPSOffice_Level2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一、部门（单位）职责</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rPr>
        <w:t>2</w:t>
      </w:r>
    </w:p>
    <w:p w14:paraId="0E8472AA">
      <w:pPr>
        <w:pStyle w:val="17"/>
        <w:tabs>
          <w:tab w:val="right" w:leader="dot" w:pos="8306"/>
        </w:tabs>
        <w:spacing w:line="578" w:lineRule="exact"/>
        <w:ind w:leftChars="0"/>
        <w:rPr>
          <w:rFonts w:hint="eastAsia" w:ascii="仿宋" w:hAnsi="仿宋" w:eastAsia="仿宋" w:cs="仿宋"/>
          <w:sz w:val="32"/>
          <w:szCs w:val="32"/>
          <w:lang w:val="en-US" w:eastAsia="zh-CN"/>
        </w:rPr>
      </w:pPr>
      <w:r>
        <w:fldChar w:fldCharType="begin"/>
      </w:r>
      <w:r>
        <w:rPr>
          <w:rFonts w:hint="eastAsia" w:ascii="仿宋" w:hAnsi="仿宋" w:eastAsia="仿宋" w:cs="仿宋"/>
          <w:sz w:val="32"/>
          <w:szCs w:val="32"/>
        </w:rPr>
        <w:instrText xml:space="preserve"> HYPERLINK \l _Toc4833_WPSOffice_Level2 </w:instrText>
      </w:r>
      <w:r>
        <w:rPr>
          <w:rFonts w:hint="eastAsia" w:ascii="仿宋" w:hAnsi="仿宋" w:eastAsia="仿宋" w:cs="仿宋"/>
          <w:sz w:val="32"/>
          <w:szCs w:val="32"/>
        </w:rPr>
        <w:fldChar w:fldCharType="separate"/>
      </w:r>
      <w:r>
        <w:rPr>
          <w:rFonts w:hint="eastAsia" w:ascii="仿宋" w:hAnsi="仿宋" w:eastAsia="仿宋" w:cs="仿宋"/>
          <w:sz w:val="32"/>
          <w:szCs w:val="32"/>
        </w:rPr>
        <w:t>二、机构设置</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3</w:t>
      </w:r>
    </w:p>
    <w:p w14:paraId="522AF2F6">
      <w:pPr>
        <w:pStyle w:val="16"/>
        <w:tabs>
          <w:tab w:val="right" w:leader="dot" w:pos="8306"/>
        </w:tabs>
        <w:spacing w:line="578" w:lineRule="exact"/>
        <w:rPr>
          <w:rFonts w:hint="eastAsia" w:eastAsia="宋体"/>
          <w:sz w:val="32"/>
          <w:szCs w:val="32"/>
          <w:lang w:val="en-US" w:eastAsia="zh-CN"/>
        </w:rPr>
      </w:pPr>
      <w:r>
        <w:fldChar w:fldCharType="begin"/>
      </w:r>
      <w:r>
        <w:rPr>
          <w:sz w:val="32"/>
          <w:szCs w:val="32"/>
        </w:rPr>
        <w:instrText xml:space="preserve"> HYPERLINK \l _Toc28253_WPSOffice_Level1 </w:instrText>
      </w:r>
      <w:r>
        <w:rPr>
          <w:sz w:val="32"/>
          <w:szCs w:val="32"/>
        </w:rPr>
        <w:fldChar w:fldCharType="separate"/>
      </w:r>
      <w:r>
        <w:rPr>
          <w:rFonts w:hint="eastAsia" w:ascii="黑体" w:hAnsi="ˎ̥" w:eastAsia="黑体"/>
          <w:sz w:val="32"/>
          <w:szCs w:val="32"/>
        </w:rPr>
        <w:t>第二部分  202</w:t>
      </w:r>
      <w:r>
        <w:rPr>
          <w:rFonts w:ascii="黑体" w:hAnsi="ˎ̥" w:eastAsia="黑体"/>
          <w:sz w:val="32"/>
          <w:szCs w:val="32"/>
        </w:rPr>
        <w:t>3</w:t>
      </w:r>
      <w:r>
        <w:rPr>
          <w:rFonts w:hint="eastAsia" w:ascii="黑体" w:hAnsi="ˎ̥" w:eastAsia="黑体"/>
          <w:sz w:val="32"/>
          <w:szCs w:val="32"/>
        </w:rPr>
        <w:t>年度部门决算公开表</w:t>
      </w:r>
      <w:r>
        <w:rPr>
          <w:sz w:val="32"/>
          <w:szCs w:val="32"/>
        </w:rPr>
        <w:tab/>
      </w:r>
      <w:r>
        <w:rPr>
          <w:sz w:val="32"/>
          <w:szCs w:val="32"/>
        </w:rPr>
        <w:fldChar w:fldCharType="end"/>
      </w:r>
      <w:r>
        <w:rPr>
          <w:rFonts w:hint="eastAsia"/>
          <w:sz w:val="32"/>
          <w:szCs w:val="32"/>
          <w:lang w:val="en-US" w:eastAsia="zh-CN"/>
        </w:rPr>
        <w:t>4</w:t>
      </w:r>
    </w:p>
    <w:p w14:paraId="0854BC2E">
      <w:pPr>
        <w:pStyle w:val="16"/>
        <w:tabs>
          <w:tab w:val="right" w:leader="dot" w:pos="8306"/>
        </w:tabs>
        <w:spacing w:line="578" w:lineRule="exact"/>
        <w:rPr>
          <w:rFonts w:hint="eastAsia" w:eastAsia="宋体"/>
          <w:sz w:val="32"/>
          <w:szCs w:val="32"/>
          <w:lang w:val="en-US" w:eastAsia="zh-CN"/>
        </w:rPr>
      </w:pPr>
      <w:r>
        <w:fldChar w:fldCharType="begin"/>
      </w:r>
      <w:r>
        <w:rPr>
          <w:sz w:val="32"/>
          <w:szCs w:val="32"/>
        </w:rPr>
        <w:instrText xml:space="preserve"> HYPERLINK \l _Toc27590_WPSOffice_Level1 </w:instrText>
      </w:r>
      <w:r>
        <w:rPr>
          <w:sz w:val="32"/>
          <w:szCs w:val="32"/>
        </w:rPr>
        <w:fldChar w:fldCharType="separate"/>
      </w:r>
      <w:r>
        <w:rPr>
          <w:rFonts w:hint="eastAsia" w:ascii="黑体" w:hAnsi="黑体" w:eastAsia="黑体" w:cs="黑体"/>
          <w:sz w:val="32"/>
          <w:szCs w:val="32"/>
        </w:rPr>
        <w:t>第三部分</w:t>
      </w:r>
      <w:r>
        <w:rPr>
          <w:rFonts w:hint="eastAsia"/>
          <w:sz w:val="32"/>
          <w:szCs w:val="32"/>
        </w:rPr>
        <w:t xml:space="preserve">  </w:t>
      </w:r>
      <w:r>
        <w:rPr>
          <w:rFonts w:hint="eastAsia" w:ascii="黑体" w:hAnsi="ˎ̥" w:eastAsia="黑体"/>
          <w:sz w:val="32"/>
          <w:szCs w:val="32"/>
        </w:rPr>
        <w:t>202</w:t>
      </w:r>
      <w:r>
        <w:rPr>
          <w:rFonts w:ascii="黑体" w:hAnsi="ˎ̥" w:eastAsia="黑体"/>
          <w:sz w:val="32"/>
          <w:szCs w:val="32"/>
        </w:rPr>
        <w:t>3</w:t>
      </w:r>
      <w:r>
        <w:rPr>
          <w:rFonts w:hint="eastAsia" w:ascii="黑体" w:hAnsi="ˎ̥" w:eastAsia="黑体"/>
          <w:sz w:val="32"/>
          <w:szCs w:val="32"/>
        </w:rPr>
        <w:t>年度部门决算情况说明</w:t>
      </w:r>
      <w:r>
        <w:rPr>
          <w:sz w:val="32"/>
          <w:szCs w:val="32"/>
        </w:rPr>
        <w:tab/>
      </w:r>
      <w:r>
        <w:rPr>
          <w:sz w:val="32"/>
          <w:szCs w:val="32"/>
        </w:rPr>
        <w:fldChar w:fldCharType="end"/>
      </w:r>
      <w:r>
        <w:rPr>
          <w:rFonts w:hint="eastAsia"/>
          <w:sz w:val="32"/>
          <w:szCs w:val="32"/>
          <w:lang w:val="en-US" w:eastAsia="zh-CN"/>
        </w:rPr>
        <w:t>5</w:t>
      </w:r>
    </w:p>
    <w:p w14:paraId="5CDA47A1">
      <w:pPr>
        <w:pStyle w:val="17"/>
        <w:tabs>
          <w:tab w:val="right" w:leader="dot" w:pos="8306"/>
        </w:tabs>
        <w:spacing w:line="578" w:lineRule="exact"/>
        <w:ind w:leftChars="0"/>
        <w:rPr>
          <w:rFonts w:hint="eastAsia" w:ascii="仿宋" w:hAnsi="仿宋" w:eastAsia="仿宋" w:cs="仿宋"/>
          <w:sz w:val="32"/>
          <w:szCs w:val="32"/>
          <w:lang w:val="en-US" w:eastAsia="zh-CN"/>
        </w:rPr>
      </w:pPr>
      <w:r>
        <w:fldChar w:fldCharType="begin"/>
      </w:r>
      <w:r>
        <w:rPr>
          <w:rFonts w:hint="eastAsia" w:ascii="仿宋" w:hAnsi="仿宋" w:eastAsia="仿宋" w:cs="仿宋"/>
          <w:sz w:val="32"/>
          <w:szCs w:val="32"/>
        </w:rPr>
        <w:instrText xml:space="preserve"> HYPERLINK \l _Toc21737_WPSOffice_Level2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一、收入支出总体情况说明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14:paraId="1716A41D">
      <w:pPr>
        <w:pStyle w:val="17"/>
        <w:tabs>
          <w:tab w:val="right" w:leader="dot" w:pos="8306"/>
        </w:tabs>
        <w:spacing w:line="578" w:lineRule="exact"/>
        <w:ind w:leftChars="0"/>
        <w:rPr>
          <w:rFonts w:hint="eastAsia" w:ascii="仿宋" w:hAnsi="仿宋" w:eastAsia="仿宋" w:cs="仿宋"/>
          <w:sz w:val="32"/>
          <w:szCs w:val="32"/>
          <w:lang w:val="en-US" w:eastAsia="zh-CN"/>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二、收入决算情况说明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5</w:t>
      </w:r>
    </w:p>
    <w:p w14:paraId="4010FC32">
      <w:pPr>
        <w:pStyle w:val="17"/>
        <w:tabs>
          <w:tab w:val="right" w:leader="dot" w:pos="8306"/>
        </w:tabs>
        <w:spacing w:line="578" w:lineRule="exact"/>
        <w:ind w:leftChars="0"/>
        <w:rPr>
          <w:rFonts w:hint="eastAsia" w:ascii="仿宋" w:hAnsi="仿宋" w:eastAsia="仿宋" w:cs="仿宋"/>
          <w:sz w:val="32"/>
          <w:szCs w:val="32"/>
          <w:lang w:val="en-US" w:eastAsia="zh-CN"/>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三、支出决算情况说明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14:paraId="7520D860">
      <w:pPr>
        <w:pStyle w:val="17"/>
        <w:tabs>
          <w:tab w:val="right" w:leader="dot" w:pos="8306"/>
        </w:tabs>
        <w:spacing w:line="578" w:lineRule="exact"/>
        <w:ind w:leftChars="0"/>
        <w:rPr>
          <w:rFonts w:hint="eastAsia" w:ascii="仿宋" w:hAnsi="仿宋" w:eastAsia="仿宋" w:cs="仿宋"/>
          <w:sz w:val="32"/>
          <w:szCs w:val="32"/>
          <w:lang w:val="en-US" w:eastAsia="zh-CN"/>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四、财政拨款收入支出决算情况说明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14:paraId="54837D75">
      <w:pPr>
        <w:pStyle w:val="17"/>
        <w:tabs>
          <w:tab w:val="right" w:leader="dot" w:pos="8306"/>
        </w:tabs>
        <w:spacing w:line="578" w:lineRule="exact"/>
        <w:ind w:leftChars="0"/>
        <w:rPr>
          <w:rFonts w:hint="default" w:ascii="仿宋" w:hAnsi="仿宋" w:eastAsia="仿宋" w:cs="仿宋"/>
          <w:sz w:val="32"/>
          <w:szCs w:val="32"/>
          <w:lang w:val="en-US" w:eastAsia="zh-CN"/>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五、一般公共预算财政拨款支出决算情况说明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6</w:t>
      </w:r>
    </w:p>
    <w:p w14:paraId="47B03F4E">
      <w:pPr>
        <w:pStyle w:val="17"/>
        <w:tabs>
          <w:tab w:val="right" w:leader="dot" w:pos="8306"/>
        </w:tabs>
        <w:spacing w:line="578" w:lineRule="exact"/>
        <w:ind w:leftChars="0"/>
        <w:rPr>
          <w:rFonts w:hint="eastAsia" w:ascii="仿宋" w:hAnsi="仿宋" w:eastAsia="仿宋" w:cs="仿宋"/>
          <w:sz w:val="32"/>
          <w:szCs w:val="32"/>
          <w:lang w:val="en-US" w:eastAsia="zh-CN"/>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六、一般公共预算财政拨款基本支出决算情况说明</w:t>
      </w:r>
      <w:r>
        <w:rPr>
          <w:rFonts w:hint="eastAsia" w:ascii="仿宋" w:hAnsi="仿宋" w:eastAsia="仿宋" w:cs="仿宋"/>
          <w:sz w:val="32"/>
          <w:szCs w:val="32"/>
        </w:rPr>
        <w:fldChar w:fldCharType="end"/>
      </w:r>
      <w:r>
        <w:rPr>
          <w:rFonts w:hint="eastAsia" w:ascii="仿宋" w:hAnsi="仿宋" w:eastAsia="仿宋" w:cs="仿宋"/>
          <w:sz w:val="32"/>
          <w:szCs w:val="32"/>
        </w:rPr>
        <w:tab/>
      </w:r>
      <w:r>
        <w:rPr>
          <w:rFonts w:hint="eastAsia" w:ascii="仿宋" w:hAnsi="仿宋" w:eastAsia="仿宋" w:cs="仿宋"/>
          <w:sz w:val="32"/>
          <w:szCs w:val="32"/>
          <w:lang w:val="en-US" w:eastAsia="zh-CN"/>
        </w:rPr>
        <w:t>8</w:t>
      </w:r>
    </w:p>
    <w:p w14:paraId="71B1806C">
      <w:pPr>
        <w:pStyle w:val="17"/>
        <w:numPr>
          <w:ilvl w:val="0"/>
          <w:numId w:val="0"/>
        </w:numPr>
        <w:tabs>
          <w:tab w:val="right" w:leader="dot" w:pos="8306"/>
        </w:tabs>
        <w:spacing w:line="578" w:lineRule="exact"/>
        <w:ind w:leftChars="0"/>
        <w:rPr>
          <w:rFonts w:hint="eastAsia" w:ascii="仿宋" w:hAnsi="仿宋" w:eastAsia="仿宋" w:cs="仿宋"/>
          <w:sz w:val="32"/>
          <w:szCs w:val="32"/>
          <w:lang w:val="en-US" w:eastAsia="zh-CN"/>
        </w:rPr>
      </w:pPr>
      <w:r>
        <w:rPr>
          <w:rFonts w:hint="eastAsia" w:ascii="仿宋" w:hAnsi="仿宋" w:eastAsia="仿宋" w:cs="仿宋"/>
          <w:bCs/>
          <w:sz w:val="32"/>
          <w:szCs w:val="32"/>
          <w:lang w:val="en-US" w:eastAsia="zh-CN"/>
        </w:rPr>
        <w:t>七、</w:t>
      </w:r>
      <w:r>
        <w:rPr>
          <w:rFonts w:hint="eastAsia" w:ascii="仿宋" w:hAnsi="仿宋" w:eastAsia="仿宋" w:cs="仿宋"/>
          <w:bCs/>
          <w:sz w:val="32"/>
          <w:szCs w:val="32"/>
        </w:rPr>
        <w:t>政府性基金预算财政拨款支出决算情况说明</w:t>
      </w:r>
      <w:r>
        <w:rPr>
          <w:rFonts w:hint="eastAsia" w:ascii="仿宋" w:hAnsi="仿宋" w:eastAsia="仿宋" w:cs="仿宋"/>
          <w:sz w:val="32"/>
          <w:szCs w:val="32"/>
        </w:rPr>
        <w:tab/>
      </w:r>
      <w:r>
        <w:rPr>
          <w:rFonts w:hint="eastAsia" w:ascii="仿宋" w:hAnsi="仿宋" w:eastAsia="仿宋" w:cs="仿宋"/>
          <w:sz w:val="32"/>
          <w:szCs w:val="32"/>
          <w:lang w:val="en-US" w:eastAsia="zh-CN"/>
        </w:rPr>
        <w:t>8</w:t>
      </w:r>
    </w:p>
    <w:p w14:paraId="31385F4A">
      <w:pPr>
        <w:pStyle w:val="17"/>
        <w:numPr>
          <w:ilvl w:val="0"/>
          <w:numId w:val="0"/>
        </w:numPr>
        <w:tabs>
          <w:tab w:val="right" w:leader="dot" w:pos="8306"/>
        </w:tabs>
        <w:spacing w:line="578" w:lineRule="exact"/>
        <w:ind w:leftChars="0"/>
        <w:rPr>
          <w:rFonts w:hint="eastAsia" w:ascii="仿宋" w:hAnsi="仿宋" w:eastAsia="仿宋" w:cs="仿宋"/>
          <w:sz w:val="32"/>
          <w:szCs w:val="32"/>
        </w:rPr>
      </w:pPr>
      <w:r>
        <w:rPr>
          <w:rFonts w:hint="eastAsia" w:ascii="仿宋" w:hAnsi="仿宋" w:eastAsia="仿宋" w:cs="仿宋"/>
          <w:bCs/>
          <w:sz w:val="32"/>
          <w:szCs w:val="32"/>
          <w:lang w:val="en-US" w:eastAsia="zh-CN"/>
        </w:rPr>
        <w:t>八、</w:t>
      </w:r>
      <w:r>
        <w:rPr>
          <w:rFonts w:hint="eastAsia" w:ascii="仿宋" w:hAnsi="仿宋" w:eastAsia="仿宋" w:cs="仿宋"/>
          <w:bCs/>
          <w:sz w:val="32"/>
          <w:szCs w:val="32"/>
        </w:rPr>
        <w:t>国有资本经营预算财政拨款支出决算情况说明</w:t>
      </w:r>
      <w:r>
        <w:rPr>
          <w:rFonts w:hint="eastAsia" w:ascii="仿宋" w:hAnsi="仿宋" w:eastAsia="仿宋" w:cs="仿宋"/>
          <w:sz w:val="32"/>
          <w:szCs w:val="32"/>
        </w:rPr>
        <w:tab/>
      </w:r>
      <w:r>
        <w:rPr>
          <w:rFonts w:hint="eastAsia" w:ascii="仿宋" w:hAnsi="仿宋" w:eastAsia="仿宋" w:cs="仿宋"/>
          <w:sz w:val="32"/>
          <w:szCs w:val="32"/>
        </w:rPr>
        <w:t>8</w:t>
      </w:r>
    </w:p>
    <w:p w14:paraId="272A7557">
      <w:pPr>
        <w:pStyle w:val="17"/>
        <w:tabs>
          <w:tab w:val="right" w:leader="dot" w:pos="8306"/>
        </w:tabs>
        <w:spacing w:line="578" w:lineRule="exact"/>
        <w:ind w:leftChars="0"/>
        <w:rPr>
          <w:rFonts w:hint="eastAsia" w:ascii="仿宋" w:hAnsi="仿宋" w:eastAsia="仿宋" w:cs="仿宋"/>
          <w:sz w:val="32"/>
          <w:szCs w:val="32"/>
          <w:lang w:val="en-US" w:eastAsia="zh-CN"/>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九、财政拨款“三公”经费支出决算情况说明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8</w:t>
      </w:r>
    </w:p>
    <w:p w14:paraId="17D38C8B">
      <w:pPr>
        <w:pStyle w:val="17"/>
        <w:tabs>
          <w:tab w:val="right" w:leader="dot" w:pos="8306"/>
        </w:tabs>
        <w:spacing w:line="578" w:lineRule="exact"/>
        <w:ind w:leftChars="0"/>
        <w:rPr>
          <w:rFonts w:hint="eastAsia" w:ascii="仿宋" w:hAnsi="仿宋" w:eastAsia="仿宋" w:cs="仿宋"/>
          <w:sz w:val="32"/>
          <w:szCs w:val="32"/>
          <w:lang w:val="en-US" w:eastAsia="zh-CN"/>
        </w:rPr>
      </w:pPr>
      <w:r>
        <w:fldChar w:fldCharType="begin"/>
      </w:r>
      <w:r>
        <w:rPr>
          <w:rFonts w:hint="eastAsia" w:ascii="仿宋" w:hAnsi="仿宋" w:eastAsia="仿宋" w:cs="仿宋"/>
          <w:sz w:val="32"/>
          <w:szCs w:val="32"/>
        </w:rPr>
        <w:instrText xml:space="preserve"> HYPERLINK \l _Toc19535_WPSOffice_Level2 </w:instrText>
      </w:r>
      <w:r>
        <w:rPr>
          <w:rFonts w:hint="eastAsia" w:ascii="仿宋" w:hAnsi="仿宋" w:eastAsia="仿宋" w:cs="仿宋"/>
          <w:sz w:val="32"/>
          <w:szCs w:val="32"/>
        </w:rPr>
        <w:fldChar w:fldCharType="separate"/>
      </w:r>
      <w:r>
        <w:rPr>
          <w:rFonts w:hint="eastAsia" w:ascii="仿宋" w:hAnsi="仿宋" w:eastAsia="仿宋" w:cs="仿宋"/>
          <w:bCs/>
          <w:sz w:val="32"/>
          <w:szCs w:val="32"/>
        </w:rPr>
        <w:t>十、预算绩效情况说明</w:t>
      </w:r>
      <w:r>
        <w:rPr>
          <w:rFonts w:hint="eastAsia" w:ascii="仿宋" w:hAnsi="仿宋" w:eastAsia="仿宋" w:cs="仿宋"/>
          <w:sz w:val="32"/>
          <w:szCs w:val="32"/>
        </w:rPr>
        <w:tab/>
      </w:r>
      <w:r>
        <w:rPr>
          <w:rFonts w:hint="eastAsia" w:ascii="仿宋" w:hAnsi="仿宋" w:eastAsia="仿宋" w:cs="仿宋"/>
          <w:sz w:val="32"/>
          <w:szCs w:val="32"/>
        </w:rPr>
        <w:fldChar w:fldCharType="end"/>
      </w:r>
      <w:r>
        <w:rPr>
          <w:rFonts w:hint="eastAsia" w:ascii="仿宋" w:hAnsi="仿宋" w:eastAsia="仿宋" w:cs="仿宋"/>
          <w:sz w:val="32"/>
          <w:szCs w:val="32"/>
          <w:lang w:val="en-US" w:eastAsia="zh-CN"/>
        </w:rPr>
        <w:t>8</w:t>
      </w:r>
    </w:p>
    <w:p w14:paraId="0C5F94C5">
      <w:pPr>
        <w:pStyle w:val="17"/>
        <w:tabs>
          <w:tab w:val="right" w:leader="dot" w:pos="8306"/>
        </w:tabs>
        <w:spacing w:line="578" w:lineRule="exact"/>
        <w:ind w:leftChars="0"/>
        <w:rPr>
          <w:rFonts w:hint="eastAsia" w:ascii="仿宋" w:hAnsi="仿宋" w:eastAsia="仿宋" w:cs="仿宋"/>
          <w:sz w:val="32"/>
          <w:szCs w:val="32"/>
          <w:lang w:val="en-US" w:eastAsia="zh-CN"/>
        </w:rPr>
      </w:pPr>
      <w:r>
        <w:rPr>
          <w:rFonts w:hint="eastAsia" w:ascii="仿宋" w:hAnsi="仿宋" w:eastAsia="仿宋" w:cs="仿宋"/>
          <w:bCs/>
          <w:sz w:val="32"/>
          <w:szCs w:val="32"/>
        </w:rPr>
        <w:t>十一、其他重要事项情况说明</w:t>
      </w:r>
      <w:r>
        <w:rPr>
          <w:rFonts w:hint="eastAsia" w:ascii="仿宋" w:hAnsi="仿宋" w:eastAsia="仿宋" w:cs="仿宋"/>
          <w:sz w:val="32"/>
          <w:szCs w:val="32"/>
        </w:rPr>
        <w:tab/>
      </w:r>
      <w:r>
        <w:rPr>
          <w:rFonts w:hint="eastAsia" w:ascii="仿宋" w:hAnsi="仿宋" w:eastAsia="仿宋" w:cs="仿宋"/>
          <w:sz w:val="32"/>
          <w:szCs w:val="32"/>
          <w:lang w:val="en-US" w:eastAsia="zh-CN"/>
        </w:rPr>
        <w:t>9</w:t>
      </w:r>
    </w:p>
    <w:p w14:paraId="454CF97B">
      <w:pPr>
        <w:pStyle w:val="16"/>
        <w:tabs>
          <w:tab w:val="right" w:leader="dot" w:pos="8306"/>
        </w:tabs>
        <w:spacing w:line="578" w:lineRule="exact"/>
        <w:rPr>
          <w:rFonts w:hint="eastAsia" w:ascii="黑体" w:hAnsi="ˎ̥" w:eastAsia="宋体"/>
          <w:b/>
          <w:sz w:val="32"/>
          <w:szCs w:val="32"/>
          <w:lang w:val="en-US" w:eastAsia="zh-CN"/>
        </w:rPr>
      </w:pPr>
      <w:r>
        <w:fldChar w:fldCharType="begin"/>
      </w:r>
      <w:r>
        <w:rPr>
          <w:sz w:val="32"/>
          <w:szCs w:val="32"/>
        </w:rPr>
        <w:instrText xml:space="preserve"> HYPERLINK \l _Toc15425_WPSOffice_Level1 </w:instrText>
      </w:r>
      <w:r>
        <w:rPr>
          <w:sz w:val="32"/>
          <w:szCs w:val="32"/>
        </w:rPr>
        <w:fldChar w:fldCharType="separate"/>
      </w:r>
      <w:r>
        <w:rPr>
          <w:rFonts w:hint="eastAsia" w:ascii="黑体" w:hAnsi="ˎ̥" w:eastAsia="黑体"/>
          <w:sz w:val="32"/>
          <w:szCs w:val="32"/>
        </w:rPr>
        <w:t>第四部分  名词解释</w:t>
      </w:r>
      <w:r>
        <w:rPr>
          <w:sz w:val="32"/>
          <w:szCs w:val="32"/>
        </w:rPr>
        <w:tab/>
      </w:r>
      <w:bookmarkStart w:id="1" w:name="_Toc15425_WPSOffice_Level1Page"/>
      <w:r>
        <w:rPr>
          <w:sz w:val="32"/>
          <w:szCs w:val="32"/>
        </w:rPr>
        <w:t>1</w:t>
      </w:r>
      <w:bookmarkEnd w:id="1"/>
      <w:r>
        <w:rPr>
          <w:sz w:val="32"/>
          <w:szCs w:val="32"/>
        </w:rPr>
        <w:fldChar w:fldCharType="end"/>
      </w:r>
      <w:bookmarkEnd w:id="0"/>
      <w:r>
        <w:rPr>
          <w:rFonts w:hint="eastAsia"/>
          <w:sz w:val="32"/>
          <w:szCs w:val="32"/>
          <w:lang w:val="en-US" w:eastAsia="zh-CN"/>
        </w:rPr>
        <w:t>0</w:t>
      </w:r>
    </w:p>
    <w:p w14:paraId="6EA0374E">
      <w:pPr>
        <w:spacing w:line="578" w:lineRule="exact"/>
        <w:jc w:val="both"/>
        <w:rPr>
          <w:rFonts w:hint="eastAsia" w:ascii="黑体" w:hAnsi="ˎ̥" w:eastAsia="黑体"/>
          <w:sz w:val="32"/>
          <w:szCs w:val="32"/>
        </w:rPr>
      </w:pPr>
      <w:bookmarkStart w:id="2" w:name="_Toc32433_WPSOffice_Level1"/>
      <w:bookmarkStart w:id="3" w:name="_Toc22941_WPSOffice_Level1"/>
      <w:bookmarkStart w:id="4" w:name="_Toc23465_WPSOffice_Level1"/>
      <w:bookmarkStart w:id="5" w:name="_Toc1704_WPSOffice_Level1"/>
      <w:bookmarkStart w:id="6" w:name="_Toc10720_WPSOffice_Level1"/>
      <w:bookmarkStart w:id="7" w:name="_Toc10049_WPSOffice_Level1"/>
      <w:bookmarkStart w:id="8" w:name="_Toc24238_WPSOffice_Level2"/>
      <w:bookmarkStart w:id="9" w:name="_Toc32622_WPSOffice_Level2"/>
      <w:bookmarkStart w:id="10" w:name="_Toc14159_WPSOffice_Level2"/>
      <w:bookmarkStart w:id="11" w:name="_Toc26580_WPSOffice_Level2"/>
      <w:bookmarkStart w:id="12" w:name="_Toc20205_WPSOffice_Level2"/>
      <w:bookmarkStart w:id="13" w:name="_Toc20274_WPSOffice_Level2"/>
    </w:p>
    <w:p w14:paraId="69FB3489">
      <w:pPr>
        <w:spacing w:line="578" w:lineRule="exact"/>
        <w:jc w:val="center"/>
        <w:rPr>
          <w:rFonts w:hint="eastAsia" w:ascii="黑体" w:hAnsi="ˎ̥" w:eastAsia="黑体"/>
          <w:sz w:val="32"/>
          <w:szCs w:val="32"/>
        </w:rPr>
      </w:pPr>
    </w:p>
    <w:p w14:paraId="73D65437">
      <w:pPr>
        <w:spacing w:line="578" w:lineRule="exact"/>
        <w:jc w:val="center"/>
        <w:rPr>
          <w:rFonts w:hint="eastAsia" w:ascii="黑体" w:hAnsi="ˎ̥" w:eastAsia="黑体"/>
          <w:sz w:val="32"/>
          <w:szCs w:val="32"/>
        </w:rPr>
      </w:pPr>
    </w:p>
    <w:p w14:paraId="4B58027B">
      <w:pPr>
        <w:spacing w:line="578" w:lineRule="exact"/>
        <w:jc w:val="center"/>
        <w:rPr>
          <w:rFonts w:hint="eastAsia" w:ascii="黑体" w:hAnsi="ˎ̥" w:eastAsia="黑体"/>
          <w:sz w:val="32"/>
          <w:szCs w:val="32"/>
        </w:rPr>
      </w:pPr>
      <w:r>
        <w:rPr>
          <w:rFonts w:hint="eastAsia" w:ascii="黑体" w:hAnsi="ˎ̥" w:eastAsia="黑体"/>
          <w:sz w:val="32"/>
          <w:szCs w:val="32"/>
        </w:rPr>
        <w:t xml:space="preserve">第一部分  </w:t>
      </w:r>
      <w:bookmarkEnd w:id="2"/>
      <w:bookmarkEnd w:id="3"/>
      <w:bookmarkEnd w:id="4"/>
      <w:bookmarkEnd w:id="5"/>
      <w:bookmarkEnd w:id="6"/>
      <w:bookmarkEnd w:id="7"/>
      <w:r>
        <w:rPr>
          <w:rFonts w:hint="eastAsia" w:ascii="黑体" w:hAnsi="ˎ̥" w:eastAsia="黑体"/>
          <w:sz w:val="32"/>
          <w:szCs w:val="32"/>
        </w:rPr>
        <w:t>基本情况</w:t>
      </w:r>
    </w:p>
    <w:p w14:paraId="3E5FEE56">
      <w:pPr>
        <w:spacing w:line="578" w:lineRule="exact"/>
        <w:ind w:firstLine="640" w:firstLineChars="200"/>
        <w:rPr>
          <w:rFonts w:hint="eastAsia" w:ascii="楷体" w:hAnsi="楷体" w:eastAsia="楷体" w:cs="楷体"/>
          <w:sz w:val="32"/>
          <w:szCs w:val="32"/>
        </w:rPr>
      </w:pPr>
    </w:p>
    <w:p w14:paraId="180DB3B2">
      <w:pPr>
        <w:numPr>
          <w:ilvl w:val="0"/>
          <w:numId w:val="1"/>
        </w:numPr>
        <w:spacing w:line="578"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部门</w:t>
      </w:r>
      <w:bookmarkEnd w:id="8"/>
      <w:r>
        <w:rPr>
          <w:rFonts w:hint="eastAsia" w:ascii="黑体" w:hAnsi="黑体" w:eastAsia="黑体" w:cs="黑体"/>
          <w:sz w:val="32"/>
          <w:szCs w:val="32"/>
        </w:rPr>
        <w:t>（单位）职责</w:t>
      </w:r>
      <w:bookmarkEnd w:id="9"/>
      <w:bookmarkEnd w:id="10"/>
      <w:bookmarkEnd w:id="11"/>
      <w:bookmarkEnd w:id="12"/>
      <w:bookmarkEnd w:id="13"/>
    </w:p>
    <w:p w14:paraId="0AD0C2CA">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（一）拟订</w:t>
      </w:r>
      <w:r>
        <w:rPr>
          <w:rFonts w:hint="eastAsia" w:ascii="仿宋" w:hAnsi="仿宋" w:eastAsia="仿宋" w:cs="仿宋"/>
          <w:sz w:val="32"/>
          <w:szCs w:val="28"/>
        </w:rPr>
        <w:t>宣传贯彻执行党和国家的教育方针、政策、法律法规等，坚持依法治教、依法治学，贯彻执行县教体局的行政规章制度。配合县、镇人民政府制定符合党的教育方针和国家教育法律法规以及本校实际的教育发展规划和学校布局调整规划，并抓好组织实施和落实工作。巩固提高“两基”工作成果和整体水平，配合各级人民政府依法动员、组织适龄儿童少年入学，严格控制辍学，推进普及义务教育。组织开展本校的教育教学培训。负责对本校教育教学业务的具体管理，负责教育教学管理及教研教改工作，全力推进素质教育实施。按照干部和教师的职数、编制和管理权限，负责本校教师人事管理、继续教育、考核考评等工作。负责本校财务管理，改善办学条件。指导、管理、检查、评价本校的教育教学工作，提高办学质量。按照义务教育课程计划，开齐课程，开足课时，认真实施中小学的教育教学管理全面推进素质教育，全面提高教育教学质量。</w:t>
      </w:r>
      <w:r>
        <w:rPr>
          <w:rFonts w:ascii="MingLiU_HKSCS-ExtB" w:hAnsi="MingLiU_HKSCS-ExtB" w:eastAsia="MingLiU_HKSCS-ExtB" w:cs="MingLiU_HKSCS-ExtB"/>
          <w:sz w:val="28"/>
          <w:szCs w:val="28"/>
        </w:rPr>
        <w:t xml:space="preserve"> </w:t>
      </w:r>
    </w:p>
    <w:p w14:paraId="3D355353">
      <w:pPr>
        <w:ind w:firstLine="640" w:firstLineChars="200"/>
        <w:rPr>
          <w:rFonts w:hint="eastAsia" w:ascii="黑体" w:hAnsi="黑体" w:eastAsia="黑体" w:cs="黑体"/>
          <w:sz w:val="32"/>
          <w:szCs w:val="32"/>
        </w:rPr>
      </w:pPr>
      <w:r>
        <w:rPr>
          <w:rFonts w:hint="eastAsia" w:ascii="仿宋_GB2312" w:hAnsi="黑体" w:eastAsia="仿宋_GB2312" w:cs="仿宋_GB2312"/>
          <w:sz w:val="32"/>
          <w:szCs w:val="32"/>
        </w:rPr>
        <w:t>（</w:t>
      </w:r>
      <w:r>
        <w:rPr>
          <w:rFonts w:hint="eastAsia" w:ascii="仿宋_GB2312" w:hAnsi="黑体" w:eastAsia="仿宋_GB2312" w:cs="仿宋_GB2312"/>
          <w:sz w:val="32"/>
          <w:szCs w:val="32"/>
          <w:lang w:eastAsia="zh-CN"/>
        </w:rPr>
        <w:t>二</w:t>
      </w:r>
      <w:r>
        <w:rPr>
          <w:rFonts w:hint="eastAsia" w:ascii="仿宋_GB2312" w:hAnsi="黑体" w:eastAsia="仿宋_GB2312" w:cs="仿宋_GB2312"/>
          <w:sz w:val="32"/>
          <w:szCs w:val="32"/>
        </w:rPr>
        <w:t>）拟订</w:t>
      </w:r>
      <w:r>
        <w:rPr>
          <w:rFonts w:hint="eastAsia" w:ascii="仿宋" w:hAnsi="仿宋" w:eastAsia="仿宋" w:cs="仿宋"/>
          <w:sz w:val="32"/>
          <w:szCs w:val="28"/>
        </w:rPr>
        <w:t>宣传贯彻执行党和国家的教育方针、政策、法律法规等，坚持依法治教、依法治学，贯彻执行县</w:t>
      </w:r>
      <w:r>
        <w:rPr>
          <w:rFonts w:hint="eastAsia" w:ascii="仿宋" w:hAnsi="仿宋" w:eastAsia="仿宋" w:cs="仿宋"/>
          <w:sz w:val="32"/>
          <w:szCs w:val="28"/>
          <w:lang w:val="en-US" w:eastAsia="zh-CN"/>
        </w:rPr>
        <w:t>教育局</w:t>
      </w:r>
      <w:r>
        <w:rPr>
          <w:rFonts w:hint="eastAsia" w:ascii="仿宋" w:hAnsi="仿宋" w:eastAsia="仿宋" w:cs="仿宋"/>
          <w:sz w:val="32"/>
          <w:szCs w:val="28"/>
        </w:rPr>
        <w:t>的行政规章制度。配合县、镇人民政府制定符合党的教育方针和国家教育法律法规以及本校实际的教育发展规划和学校布局调整规划，并抓好组织实施和落实工作。巩固提高“两基”工作成果和整体水平，配合各级人民政府依法动员、组织适龄儿童少年入学，严格控制辍学，推进普及义务教育。组织开展本校的教育教学培训。负责对本校教育教学业务的具体管理，负责教育教学管理及教研教改工作，全力推进素质教育实施。按照干部和教师的职数、编制和管理权限，负责本校教师人事管理、继续教育、考核考评等工作。负责本校财务管理，改善办学条件。指导、管理、检查、评价本校的教育教学工作，提高办学质量。按照义务教育课程计划，开齐课程，开足课时，认真实施中小学的教育教学管理全面推进素质教育，全面提高教育教学质量。</w:t>
      </w:r>
      <w:r>
        <w:rPr>
          <w:rFonts w:ascii="MingLiU_HKSCS-ExtB" w:hAnsi="MingLiU_HKSCS-ExtB" w:eastAsia="MingLiU_HKSCS-ExtB" w:cs="MingLiU_HKSCS-ExtB"/>
          <w:sz w:val="28"/>
          <w:szCs w:val="28"/>
        </w:rPr>
        <w:t xml:space="preserve"> </w:t>
      </w:r>
    </w:p>
    <w:p w14:paraId="3E0B402A">
      <w:pPr>
        <w:spacing w:line="578" w:lineRule="exact"/>
        <w:ind w:firstLine="640" w:firstLineChars="200"/>
        <w:rPr>
          <w:rFonts w:hint="eastAsia" w:ascii="黑体" w:hAnsi="黑体" w:eastAsia="黑体" w:cs="黑体"/>
          <w:sz w:val="32"/>
          <w:szCs w:val="32"/>
        </w:rPr>
      </w:pPr>
      <w:bookmarkStart w:id="14" w:name="_Toc17796_WPSOffice_Level2"/>
      <w:bookmarkStart w:id="15" w:name="_Toc4833_WPSOffice_Level2"/>
      <w:bookmarkStart w:id="16" w:name="_Toc24474_WPSOffice_Level2"/>
      <w:bookmarkStart w:id="17" w:name="_Toc6572_WPSOffice_Level2"/>
      <w:bookmarkStart w:id="18" w:name="_Toc24059_WPSOffice_Level2"/>
      <w:r>
        <w:rPr>
          <w:rFonts w:hint="eastAsia" w:ascii="黑体" w:hAnsi="黑体" w:eastAsia="黑体" w:cs="黑体"/>
          <w:sz w:val="32"/>
          <w:szCs w:val="32"/>
        </w:rPr>
        <w:t>二、机构设置</w:t>
      </w:r>
      <w:bookmarkEnd w:id="14"/>
      <w:bookmarkEnd w:id="15"/>
      <w:bookmarkEnd w:id="16"/>
      <w:bookmarkEnd w:id="17"/>
      <w:bookmarkEnd w:id="18"/>
    </w:p>
    <w:p w14:paraId="4A43BDF4">
      <w:pPr>
        <w:ind w:firstLine="800" w:firstLineChars="250"/>
        <w:jc w:val="left"/>
        <w:rPr>
          <w:rFonts w:ascii="仿宋_GB2312" w:hAnsi="黑体" w:eastAsia="仿宋_GB2312" w:cs="仿宋_GB2312"/>
          <w:sz w:val="32"/>
          <w:szCs w:val="32"/>
        </w:rPr>
      </w:pPr>
      <w:r>
        <w:rPr>
          <w:rFonts w:hint="eastAsia" w:ascii="仿宋_GB2312" w:hAnsi="ˎ̥" w:eastAsia="仿宋_GB2312"/>
          <w:sz w:val="32"/>
          <w:szCs w:val="32"/>
        </w:rPr>
        <w:t>纳入</w:t>
      </w:r>
      <w:r>
        <w:rPr>
          <w:rFonts w:hint="eastAsia" w:ascii="仿宋_GB2312" w:hAnsi="ˎ̥" w:eastAsia="仿宋_GB2312" w:cs="Times New Roman"/>
          <w:sz w:val="32"/>
          <w:szCs w:val="32"/>
        </w:rPr>
        <w:t>白沙黎族自治县邦溪镇中心学校</w:t>
      </w: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年度部门决算编制范围的单位共个，包括：</w:t>
      </w:r>
      <w:r>
        <w:rPr>
          <w:rFonts w:hint="eastAsia" w:ascii="仿宋_GB2312" w:hAnsi="黑体" w:eastAsia="仿宋_GB2312" w:cs="仿宋_GB2312"/>
          <w:sz w:val="32"/>
          <w:szCs w:val="32"/>
        </w:rPr>
        <w:t>白沙黎族自治县邦溪镇中心学校</w:t>
      </w:r>
    </w:p>
    <w:p w14:paraId="559D17BB">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本部门的编制数共</w:t>
      </w:r>
      <w:r>
        <w:rPr>
          <w:rFonts w:hint="eastAsia" w:ascii="仿宋_GB2312" w:hAnsi="黑体" w:eastAsia="仿宋_GB2312" w:cs="仿宋_GB2312"/>
          <w:sz w:val="32"/>
          <w:szCs w:val="32"/>
          <w:lang w:val="en-US" w:eastAsia="zh-CN"/>
        </w:rPr>
        <w:t>71</w:t>
      </w:r>
      <w:r>
        <w:rPr>
          <w:rFonts w:hint="eastAsia" w:ascii="仿宋_GB2312" w:hAnsi="黑体" w:eastAsia="仿宋_GB2312" w:cs="仿宋_GB2312"/>
          <w:sz w:val="32"/>
          <w:szCs w:val="32"/>
          <w:highlight w:val="none"/>
        </w:rPr>
        <w:t>名，现有</w:t>
      </w:r>
      <w:r>
        <w:rPr>
          <w:rFonts w:hint="eastAsia" w:ascii="仿宋_GB2312" w:hAnsi="黑体" w:eastAsia="仿宋_GB2312" w:cs="仿宋_GB2312"/>
          <w:sz w:val="32"/>
          <w:szCs w:val="32"/>
          <w:highlight w:val="none"/>
          <w:lang w:val="en-US" w:eastAsia="zh-CN"/>
        </w:rPr>
        <w:t>67</w:t>
      </w:r>
      <w:r>
        <w:rPr>
          <w:rFonts w:hint="eastAsia" w:ascii="仿宋_GB2312" w:hAnsi="黑体" w:eastAsia="仿宋_GB2312" w:cs="仿宋_GB2312"/>
          <w:sz w:val="32"/>
          <w:szCs w:val="32"/>
          <w:highlight w:val="none"/>
        </w:rPr>
        <w:t>人。</w:t>
      </w:r>
    </w:p>
    <w:p w14:paraId="701348EE">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纳入本部门财务报告范围的资金主体主要包括：一般公共预算资金</w:t>
      </w:r>
      <w:r>
        <w:rPr>
          <w:rFonts w:hint="eastAsia" w:ascii="仿宋_GB2312" w:hAnsi="黑体" w:eastAsia="仿宋_GB2312" w:cs="仿宋_GB2312"/>
          <w:sz w:val="32"/>
          <w:szCs w:val="32"/>
          <w:lang w:eastAsia="zh-CN"/>
        </w:rPr>
        <w:t>。</w:t>
      </w:r>
    </w:p>
    <w:p w14:paraId="763D2024">
      <w:pPr>
        <w:ind w:left="0" w:leftChars="0" w:firstLine="419" w:firstLineChars="131"/>
        <w:rPr>
          <w:rFonts w:hint="eastAsia" w:ascii="仿宋_GB2312" w:hAnsi="ˎ̥" w:eastAsia="仿宋_GB2312"/>
          <w:sz w:val="32"/>
          <w:szCs w:val="32"/>
        </w:rPr>
      </w:pPr>
      <w:r>
        <w:rPr>
          <w:rFonts w:hint="eastAsia" w:ascii="仿宋_GB2312" w:hAnsi="黑体" w:eastAsia="仿宋_GB2312" w:cs="仿宋_GB2312"/>
          <w:sz w:val="32"/>
          <w:szCs w:val="32"/>
        </w:rPr>
        <w:t>设有</w:t>
      </w:r>
      <w:r>
        <w:rPr>
          <w:rFonts w:hint="eastAsia" w:ascii="仿宋_GB2312" w:eastAsia="仿宋_GB2312" w:cs="仿宋_GB2312"/>
          <w:kern w:val="0"/>
          <w:sz w:val="32"/>
          <w:szCs w:val="32"/>
        </w:rPr>
        <w:t>校长办公室、副校长办公室、行政办公室、教研室、教导处、政教处、总务处</w:t>
      </w:r>
      <w:r>
        <w:rPr>
          <w:rFonts w:ascii="仿宋_GB2312" w:eastAsia="仿宋_GB2312" w:cs="仿宋_GB2312"/>
          <w:kern w:val="0"/>
          <w:sz w:val="32"/>
          <w:szCs w:val="32"/>
        </w:rPr>
        <w:t>7</w:t>
      </w:r>
      <w:r>
        <w:rPr>
          <w:rFonts w:hint="eastAsia" w:ascii="仿宋_GB2312" w:eastAsia="仿宋_GB2312" w:cs="仿宋_GB2312"/>
          <w:kern w:val="0"/>
          <w:sz w:val="32"/>
          <w:szCs w:val="32"/>
        </w:rPr>
        <w:t>个办公室。</w:t>
      </w:r>
    </w:p>
    <w:p w14:paraId="4B7C58AD">
      <w:pPr>
        <w:spacing w:line="578" w:lineRule="exact"/>
        <w:jc w:val="center"/>
        <w:rPr>
          <w:rFonts w:hint="eastAsia" w:ascii="黑体" w:hAnsi="ˎ̥" w:eastAsia="黑体"/>
          <w:sz w:val="32"/>
          <w:szCs w:val="32"/>
        </w:rPr>
      </w:pPr>
      <w:bookmarkStart w:id="19" w:name="_Toc6234_WPSOffice_Level1"/>
      <w:bookmarkStart w:id="20" w:name="_Toc30451_WPSOffice_Level1"/>
      <w:bookmarkStart w:id="21" w:name="_Toc28253_WPSOffice_Level1"/>
      <w:bookmarkStart w:id="22" w:name="_Toc8164_WPSOffice_Level1"/>
      <w:bookmarkStart w:id="23" w:name="_Toc15521_WPSOffice_Level1"/>
      <w:bookmarkStart w:id="24" w:name="_Toc30690_WPSOffice_Level1"/>
      <w:bookmarkStart w:id="25" w:name="_Toc4029_WPSOffice_Level2"/>
      <w:bookmarkStart w:id="26" w:name="_Toc32695_WPSOffice_Level2"/>
      <w:bookmarkStart w:id="27" w:name="_Toc11518_WPSOffice_Level2"/>
      <w:bookmarkStart w:id="28" w:name="_Toc32472_WPSOffice_Level2"/>
      <w:bookmarkStart w:id="29" w:name="_Toc6211_WPSOffice_Level2"/>
      <w:bookmarkStart w:id="30" w:name="_Toc8867_WPSOffice_Level2"/>
    </w:p>
    <w:p w14:paraId="40EFCE91">
      <w:pPr>
        <w:spacing w:line="578" w:lineRule="exact"/>
        <w:jc w:val="center"/>
        <w:rPr>
          <w:rFonts w:hint="eastAsia" w:ascii="黑体" w:hAnsi="ˎ̥" w:eastAsia="黑体"/>
          <w:sz w:val="32"/>
          <w:szCs w:val="32"/>
        </w:rPr>
      </w:pPr>
    </w:p>
    <w:p w14:paraId="707FB65F">
      <w:pPr>
        <w:spacing w:line="578" w:lineRule="exact"/>
        <w:jc w:val="center"/>
        <w:rPr>
          <w:rFonts w:hint="eastAsia" w:ascii="黑体" w:hAnsi="ˎ̥" w:eastAsia="黑体"/>
          <w:sz w:val="32"/>
          <w:szCs w:val="32"/>
        </w:rPr>
      </w:pPr>
    </w:p>
    <w:p w14:paraId="752A1571">
      <w:pPr>
        <w:spacing w:line="578" w:lineRule="exact"/>
        <w:jc w:val="center"/>
        <w:rPr>
          <w:rFonts w:hint="eastAsia" w:ascii="黑体" w:hAnsi="ˎ̥" w:eastAsia="黑体"/>
          <w:sz w:val="32"/>
          <w:szCs w:val="32"/>
        </w:rPr>
      </w:pPr>
    </w:p>
    <w:p w14:paraId="58B7A13E">
      <w:pPr>
        <w:spacing w:line="578" w:lineRule="exact"/>
        <w:jc w:val="center"/>
        <w:rPr>
          <w:rFonts w:hint="eastAsia" w:ascii="黑体" w:hAnsi="ˎ̥" w:eastAsia="黑体"/>
          <w:sz w:val="32"/>
          <w:szCs w:val="32"/>
        </w:rPr>
      </w:pPr>
    </w:p>
    <w:p w14:paraId="5357D109">
      <w:pPr>
        <w:spacing w:line="578" w:lineRule="exact"/>
        <w:jc w:val="center"/>
        <w:rPr>
          <w:rFonts w:hint="eastAsia" w:ascii="黑体" w:hAnsi="ˎ̥" w:eastAsia="黑体"/>
          <w:sz w:val="32"/>
          <w:szCs w:val="32"/>
        </w:rPr>
      </w:pPr>
    </w:p>
    <w:p w14:paraId="7A698E53">
      <w:pPr>
        <w:spacing w:line="578" w:lineRule="exact"/>
        <w:jc w:val="center"/>
        <w:rPr>
          <w:rFonts w:hint="eastAsia" w:ascii="黑体" w:hAnsi="ˎ̥" w:eastAsia="黑体"/>
          <w:sz w:val="32"/>
          <w:szCs w:val="32"/>
        </w:rPr>
      </w:pPr>
    </w:p>
    <w:p w14:paraId="36A5A273">
      <w:pPr>
        <w:spacing w:line="578" w:lineRule="exact"/>
        <w:jc w:val="center"/>
        <w:rPr>
          <w:rFonts w:hint="eastAsia" w:ascii="黑体" w:hAnsi="ˎ̥" w:eastAsia="黑体"/>
          <w:sz w:val="32"/>
          <w:szCs w:val="32"/>
        </w:rPr>
      </w:pPr>
      <w:r>
        <w:rPr>
          <w:rFonts w:hint="eastAsia" w:ascii="黑体" w:hAnsi="ˎ̥" w:eastAsia="黑体"/>
          <w:sz w:val="32"/>
          <w:szCs w:val="32"/>
        </w:rPr>
        <w:t>第二部分  202</w:t>
      </w:r>
      <w:r>
        <w:rPr>
          <w:rFonts w:ascii="黑体" w:hAnsi="ˎ̥" w:eastAsia="黑体"/>
          <w:sz w:val="32"/>
          <w:szCs w:val="32"/>
        </w:rPr>
        <w:t>3</w:t>
      </w:r>
      <w:r>
        <w:rPr>
          <w:rFonts w:hint="eastAsia" w:ascii="黑体" w:hAnsi="ˎ̥" w:eastAsia="黑体"/>
          <w:sz w:val="32"/>
          <w:szCs w:val="32"/>
        </w:rPr>
        <w:t>年度部门决算公开报表</w:t>
      </w:r>
      <w:bookmarkEnd w:id="19"/>
      <w:bookmarkEnd w:id="20"/>
      <w:bookmarkEnd w:id="21"/>
      <w:bookmarkEnd w:id="22"/>
      <w:bookmarkEnd w:id="23"/>
      <w:bookmarkEnd w:id="24"/>
    </w:p>
    <w:p w14:paraId="21688A50">
      <w:pPr>
        <w:spacing w:line="578" w:lineRule="exact"/>
        <w:ind w:firstLine="645"/>
        <w:rPr>
          <w:rFonts w:hint="eastAsia" w:ascii="黑体" w:hAnsi="黑体" w:eastAsia="黑体" w:cs="黑体"/>
          <w:sz w:val="32"/>
          <w:szCs w:val="32"/>
        </w:rPr>
      </w:pPr>
    </w:p>
    <w:p w14:paraId="12FB82F9">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一、收入支出决算公开表</w:t>
      </w:r>
      <w:bookmarkEnd w:id="25"/>
      <w:bookmarkEnd w:id="26"/>
      <w:bookmarkEnd w:id="27"/>
      <w:bookmarkEnd w:id="28"/>
      <w:bookmarkEnd w:id="29"/>
      <w:bookmarkEnd w:id="30"/>
    </w:p>
    <w:p w14:paraId="3E8FBBA2">
      <w:pPr>
        <w:spacing w:line="578" w:lineRule="exact"/>
        <w:ind w:firstLine="645"/>
        <w:rPr>
          <w:rFonts w:hint="eastAsia" w:ascii="黑体" w:hAnsi="黑体" w:eastAsia="黑体" w:cs="黑体"/>
          <w:sz w:val="32"/>
          <w:szCs w:val="32"/>
        </w:rPr>
      </w:pPr>
      <w:bookmarkStart w:id="31" w:name="_Toc23139_WPSOffice_Level2"/>
      <w:bookmarkStart w:id="32" w:name="_Toc26621_WPSOffice_Level2"/>
      <w:bookmarkStart w:id="33" w:name="_Toc14349_WPSOffice_Level2"/>
      <w:bookmarkStart w:id="34" w:name="_Toc25608_WPSOffice_Level2"/>
      <w:bookmarkStart w:id="35" w:name="_Toc30334_WPSOffice_Level2"/>
      <w:bookmarkStart w:id="36" w:name="_Toc28622_WPSOffice_Level2"/>
    </w:p>
    <w:p w14:paraId="391DE2B8">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二、收入决算公开表</w:t>
      </w:r>
      <w:bookmarkEnd w:id="31"/>
      <w:bookmarkEnd w:id="32"/>
      <w:bookmarkEnd w:id="33"/>
      <w:bookmarkEnd w:id="34"/>
      <w:bookmarkEnd w:id="35"/>
      <w:bookmarkEnd w:id="36"/>
      <w:bookmarkStart w:id="37" w:name="_Toc17858_WPSOffice_Level2"/>
      <w:bookmarkStart w:id="38" w:name="_Toc17626_WPSOffice_Level2"/>
      <w:bookmarkStart w:id="39" w:name="_Toc14658_WPSOffice_Level2"/>
      <w:bookmarkStart w:id="40" w:name="_Toc13854_WPSOffice_Level2"/>
      <w:bookmarkStart w:id="41" w:name="_Toc5489_WPSOffice_Level2"/>
      <w:bookmarkStart w:id="42" w:name="_Toc3262_WPSOffice_Level2"/>
    </w:p>
    <w:p w14:paraId="471B3687">
      <w:pPr>
        <w:spacing w:line="578" w:lineRule="exact"/>
        <w:ind w:firstLine="645"/>
        <w:rPr>
          <w:rFonts w:hint="eastAsia" w:ascii="黑体" w:hAnsi="黑体" w:eastAsia="黑体" w:cs="黑体"/>
          <w:sz w:val="32"/>
          <w:szCs w:val="32"/>
        </w:rPr>
      </w:pPr>
    </w:p>
    <w:p w14:paraId="3D13371C">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三、支出决算公开表</w:t>
      </w:r>
      <w:bookmarkEnd w:id="37"/>
      <w:bookmarkEnd w:id="38"/>
      <w:bookmarkEnd w:id="39"/>
      <w:bookmarkEnd w:id="40"/>
      <w:bookmarkEnd w:id="41"/>
      <w:bookmarkEnd w:id="42"/>
      <w:bookmarkStart w:id="43" w:name="_Toc21415_WPSOffice_Level2"/>
      <w:bookmarkStart w:id="44" w:name="_Toc7988_WPSOffice_Level2"/>
      <w:bookmarkStart w:id="45" w:name="_Toc13701_WPSOffice_Level2"/>
      <w:bookmarkStart w:id="46" w:name="_Toc23493_WPSOffice_Level2"/>
      <w:bookmarkStart w:id="47" w:name="_Toc23591_WPSOffice_Level2"/>
      <w:bookmarkStart w:id="48" w:name="_Toc4265_WPSOffice_Level2"/>
    </w:p>
    <w:p w14:paraId="57A00D52">
      <w:pPr>
        <w:spacing w:line="578" w:lineRule="exact"/>
        <w:ind w:firstLine="645"/>
        <w:rPr>
          <w:rFonts w:hint="eastAsia" w:ascii="黑体" w:hAnsi="黑体" w:eastAsia="黑体" w:cs="黑体"/>
          <w:sz w:val="32"/>
          <w:szCs w:val="32"/>
        </w:rPr>
      </w:pPr>
    </w:p>
    <w:p w14:paraId="57A4337A">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四、财政拨款收入支出决算公开表</w:t>
      </w:r>
      <w:bookmarkEnd w:id="43"/>
      <w:bookmarkEnd w:id="44"/>
      <w:bookmarkEnd w:id="45"/>
      <w:bookmarkEnd w:id="46"/>
      <w:bookmarkEnd w:id="47"/>
      <w:bookmarkEnd w:id="48"/>
    </w:p>
    <w:p w14:paraId="6D56905D">
      <w:pPr>
        <w:spacing w:line="578" w:lineRule="exact"/>
        <w:ind w:firstLine="645"/>
        <w:rPr>
          <w:rFonts w:hint="eastAsia" w:ascii="黑体" w:hAnsi="黑体" w:eastAsia="黑体" w:cs="黑体"/>
          <w:sz w:val="32"/>
          <w:szCs w:val="32"/>
        </w:rPr>
      </w:pPr>
      <w:bookmarkStart w:id="49" w:name="_Toc7879_WPSOffice_Level2"/>
      <w:bookmarkStart w:id="50" w:name="_Toc25166_WPSOffice_Level2"/>
      <w:bookmarkStart w:id="51" w:name="_Toc22783_WPSOffice_Level2"/>
      <w:bookmarkStart w:id="52" w:name="_Toc23829_WPSOffice_Level2"/>
      <w:bookmarkStart w:id="53" w:name="_Toc2158_WPSOffice_Level2"/>
      <w:bookmarkStart w:id="54" w:name="_Toc13516_WPSOffice_Level2"/>
    </w:p>
    <w:p w14:paraId="1948B1BA">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五、一般公共预算财政拨款收入支出决算</w:t>
      </w:r>
      <w:bookmarkEnd w:id="49"/>
      <w:bookmarkEnd w:id="50"/>
      <w:bookmarkEnd w:id="51"/>
      <w:bookmarkEnd w:id="52"/>
      <w:r>
        <w:rPr>
          <w:rFonts w:hint="eastAsia" w:ascii="黑体" w:hAnsi="黑体" w:eastAsia="黑体" w:cs="黑体"/>
          <w:sz w:val="32"/>
          <w:szCs w:val="32"/>
        </w:rPr>
        <w:t>公开表</w:t>
      </w:r>
      <w:bookmarkEnd w:id="53"/>
      <w:bookmarkEnd w:id="54"/>
      <w:bookmarkStart w:id="55" w:name="_Toc17833_WPSOffice_Level2"/>
      <w:bookmarkStart w:id="56" w:name="_Toc5343_WPSOffice_Level2"/>
      <w:bookmarkStart w:id="57" w:name="_Toc8373_WPSOffice_Level2"/>
      <w:bookmarkStart w:id="58" w:name="_Toc25362_WPSOffice_Level2"/>
      <w:bookmarkStart w:id="59" w:name="_Toc2632_WPSOffice_Level2"/>
      <w:bookmarkStart w:id="60" w:name="_Toc17283_WPSOffice_Level2"/>
    </w:p>
    <w:p w14:paraId="32DE2400">
      <w:pPr>
        <w:spacing w:line="578" w:lineRule="exact"/>
        <w:ind w:firstLine="645"/>
        <w:rPr>
          <w:rFonts w:hint="eastAsia" w:ascii="黑体" w:hAnsi="黑体" w:eastAsia="黑体" w:cs="黑体"/>
          <w:sz w:val="32"/>
          <w:szCs w:val="32"/>
        </w:rPr>
      </w:pPr>
    </w:p>
    <w:p w14:paraId="086570E4">
      <w:pPr>
        <w:spacing w:line="578" w:lineRule="exact"/>
        <w:ind w:firstLine="645"/>
        <w:rPr>
          <w:rFonts w:hint="eastAsia" w:ascii="黑体" w:hAnsi="黑体" w:eastAsia="黑体" w:cs="黑体"/>
          <w:sz w:val="32"/>
          <w:szCs w:val="32"/>
        </w:rPr>
      </w:pPr>
      <w:r>
        <w:rPr>
          <w:rFonts w:hint="eastAsia" w:ascii="黑体" w:hAnsi="黑体" w:eastAsia="黑体" w:cs="黑体"/>
          <w:sz w:val="32"/>
          <w:szCs w:val="32"/>
        </w:rPr>
        <w:t>六、一般公共预算财政拨款基本支出决算</w:t>
      </w:r>
      <w:bookmarkEnd w:id="55"/>
      <w:bookmarkEnd w:id="56"/>
      <w:bookmarkEnd w:id="57"/>
      <w:bookmarkEnd w:id="58"/>
      <w:bookmarkEnd w:id="59"/>
      <w:bookmarkEnd w:id="60"/>
      <w:r>
        <w:rPr>
          <w:rFonts w:hint="eastAsia" w:ascii="黑体" w:hAnsi="黑体" w:eastAsia="黑体" w:cs="黑体"/>
          <w:sz w:val="32"/>
          <w:szCs w:val="32"/>
        </w:rPr>
        <w:t>公开表</w:t>
      </w:r>
    </w:p>
    <w:p w14:paraId="67C8BE13">
      <w:pPr>
        <w:spacing w:line="578" w:lineRule="exact"/>
        <w:ind w:left="1118" w:leftChars="304" w:hanging="480" w:hangingChars="150"/>
        <w:rPr>
          <w:rFonts w:hint="eastAsia" w:ascii="黑体" w:hAnsi="黑体" w:eastAsia="黑体" w:cs="黑体"/>
          <w:sz w:val="32"/>
          <w:szCs w:val="32"/>
        </w:rPr>
      </w:pPr>
      <w:bookmarkStart w:id="61" w:name="_Toc21310_WPSOffice_Level2"/>
      <w:bookmarkStart w:id="62" w:name="_Toc6020_WPSOffice_Level2"/>
      <w:bookmarkStart w:id="63" w:name="_Toc1533_WPSOffice_Level2"/>
      <w:bookmarkStart w:id="64" w:name="_Toc13345_WPSOffice_Level2"/>
      <w:bookmarkStart w:id="65" w:name="_Toc11799_WPSOffice_Level2"/>
      <w:bookmarkStart w:id="66" w:name="_Toc5594_WPSOffice_Level2"/>
    </w:p>
    <w:p w14:paraId="24238DC6">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七、政府性基金预算财政拨款收入支出决算</w:t>
      </w:r>
      <w:bookmarkEnd w:id="61"/>
      <w:bookmarkEnd w:id="62"/>
      <w:bookmarkEnd w:id="63"/>
      <w:bookmarkEnd w:id="64"/>
      <w:bookmarkEnd w:id="65"/>
      <w:bookmarkEnd w:id="66"/>
      <w:r>
        <w:rPr>
          <w:rFonts w:hint="eastAsia" w:ascii="黑体" w:hAnsi="黑体" w:eastAsia="黑体" w:cs="黑体"/>
          <w:sz w:val="32"/>
          <w:szCs w:val="32"/>
        </w:rPr>
        <w:t>公开表</w:t>
      </w:r>
    </w:p>
    <w:p w14:paraId="3EB8C01B">
      <w:pPr>
        <w:spacing w:line="578" w:lineRule="exact"/>
        <w:ind w:left="1118" w:leftChars="304" w:hanging="480" w:hangingChars="150"/>
        <w:rPr>
          <w:rFonts w:hint="eastAsia" w:ascii="黑体" w:hAnsi="黑体" w:eastAsia="黑体" w:cs="黑体"/>
          <w:sz w:val="32"/>
          <w:szCs w:val="32"/>
        </w:rPr>
      </w:pPr>
    </w:p>
    <w:p w14:paraId="570E1C04">
      <w:pPr>
        <w:spacing w:line="578" w:lineRule="exact"/>
        <w:ind w:left="1118" w:leftChars="304" w:hanging="480" w:hangingChars="150"/>
        <w:rPr>
          <w:rFonts w:hint="eastAsia" w:ascii="黑体" w:hAnsi="黑体" w:eastAsia="黑体" w:cs="黑体"/>
          <w:sz w:val="32"/>
          <w:szCs w:val="32"/>
        </w:rPr>
      </w:pPr>
      <w:r>
        <w:rPr>
          <w:rFonts w:hint="eastAsia" w:ascii="黑体" w:hAnsi="黑体" w:eastAsia="黑体" w:cs="黑体"/>
          <w:sz w:val="32"/>
          <w:szCs w:val="32"/>
        </w:rPr>
        <w:t>八、国有资本经营预算财政拨款收入支出决算公开表</w:t>
      </w:r>
    </w:p>
    <w:p w14:paraId="49C2912B">
      <w:pPr>
        <w:spacing w:line="578" w:lineRule="exact"/>
        <w:ind w:firstLine="640"/>
        <w:rPr>
          <w:rFonts w:hint="eastAsia" w:ascii="黑体" w:hAnsi="黑体" w:eastAsia="黑体" w:cs="黑体"/>
          <w:sz w:val="32"/>
          <w:szCs w:val="32"/>
        </w:rPr>
      </w:pPr>
      <w:bookmarkStart w:id="67" w:name="_Toc9377_WPSOffice_Level2"/>
      <w:bookmarkStart w:id="68" w:name="_Toc29886_WPSOffice_Level2"/>
      <w:bookmarkStart w:id="69" w:name="_Toc19961_WPSOffice_Level2"/>
      <w:bookmarkStart w:id="70" w:name="_Toc1820_WPSOffice_Level2"/>
    </w:p>
    <w:p w14:paraId="15CF551D">
      <w:pPr>
        <w:spacing w:line="578" w:lineRule="exact"/>
        <w:ind w:firstLine="640"/>
        <w:rPr>
          <w:rFonts w:hint="eastAsia" w:ascii="黑体" w:hAnsi="黑体" w:eastAsia="黑体" w:cs="黑体"/>
          <w:sz w:val="32"/>
          <w:szCs w:val="32"/>
        </w:rPr>
      </w:pPr>
      <w:r>
        <w:rPr>
          <w:rFonts w:hint="eastAsia" w:ascii="黑体" w:hAnsi="黑体" w:eastAsia="黑体" w:cs="黑体"/>
          <w:sz w:val="32"/>
          <w:szCs w:val="32"/>
        </w:rPr>
        <w:t>九、财政拨款“三公”经费支出决算</w:t>
      </w:r>
      <w:bookmarkEnd w:id="67"/>
      <w:bookmarkEnd w:id="68"/>
      <w:bookmarkEnd w:id="69"/>
      <w:bookmarkEnd w:id="70"/>
      <w:r>
        <w:rPr>
          <w:rFonts w:hint="eastAsia" w:ascii="黑体" w:hAnsi="黑体" w:eastAsia="黑体" w:cs="黑体"/>
          <w:sz w:val="32"/>
          <w:szCs w:val="32"/>
        </w:rPr>
        <w:t>公开表</w:t>
      </w:r>
    </w:p>
    <w:p w14:paraId="14E90D4E">
      <w:pPr>
        <w:spacing w:line="578" w:lineRule="exact"/>
        <w:ind w:firstLine="640"/>
        <w:rPr>
          <w:rFonts w:hint="eastAsia" w:ascii="黑体" w:hAnsi="黑体" w:eastAsia="黑体" w:cs="黑体"/>
          <w:sz w:val="32"/>
          <w:szCs w:val="32"/>
        </w:rPr>
      </w:pPr>
      <w:r>
        <w:rPr>
          <w:rFonts w:hint="eastAsia" w:ascii="黑体" w:hAnsi="黑体" w:eastAsia="黑体" w:cs="黑体"/>
          <w:w w:val="96"/>
          <w:sz w:val="32"/>
          <w:szCs w:val="32"/>
        </w:rPr>
        <w:t xml:space="preserve">以上报表见附件1。   </w:t>
      </w:r>
    </w:p>
    <w:p w14:paraId="40176F44">
      <w:pPr>
        <w:spacing w:line="578" w:lineRule="exact"/>
        <w:rPr>
          <w:rFonts w:hint="eastAsia" w:ascii="黑体" w:hAnsi="黑体" w:eastAsia="黑体" w:cs="黑体"/>
          <w:sz w:val="32"/>
          <w:szCs w:val="32"/>
        </w:rPr>
      </w:pPr>
    </w:p>
    <w:p w14:paraId="39F9B722">
      <w:pPr>
        <w:spacing w:line="578" w:lineRule="exact"/>
        <w:jc w:val="center"/>
        <w:rPr>
          <w:rFonts w:hint="eastAsia" w:ascii="黑体" w:hAnsi="ˎ̥" w:eastAsia="黑体"/>
          <w:sz w:val="32"/>
          <w:szCs w:val="32"/>
        </w:rPr>
      </w:pPr>
      <w:bookmarkStart w:id="71" w:name="_Toc28629_WPSOffice_Level1"/>
      <w:bookmarkStart w:id="72" w:name="_Toc29683_WPSOffice_Level1"/>
      <w:bookmarkStart w:id="73" w:name="_Toc16686_WPSOffice_Level1"/>
      <w:bookmarkStart w:id="74" w:name="_Toc31264_WPSOffice_Level1"/>
      <w:bookmarkStart w:id="75" w:name="_Toc27590_WPSOffice_Level1"/>
      <w:bookmarkStart w:id="76" w:name="_Toc4402_WPSOffice_Level1"/>
    </w:p>
    <w:p w14:paraId="4DD1380C">
      <w:pPr>
        <w:spacing w:line="578" w:lineRule="exact"/>
        <w:jc w:val="center"/>
        <w:rPr>
          <w:rFonts w:hint="eastAsia" w:ascii="黑体" w:hAnsi="ˎ̥" w:eastAsia="黑体"/>
          <w:sz w:val="32"/>
          <w:szCs w:val="32"/>
        </w:rPr>
      </w:pPr>
    </w:p>
    <w:p w14:paraId="0B3234DD">
      <w:pPr>
        <w:spacing w:line="578" w:lineRule="exact"/>
        <w:jc w:val="both"/>
        <w:rPr>
          <w:rFonts w:hint="eastAsia" w:ascii="黑体" w:hAnsi="ˎ̥" w:eastAsia="黑体"/>
          <w:sz w:val="32"/>
          <w:szCs w:val="32"/>
        </w:rPr>
      </w:pPr>
    </w:p>
    <w:p w14:paraId="63B87BB2">
      <w:pPr>
        <w:spacing w:line="578" w:lineRule="exact"/>
        <w:ind w:firstLine="1600" w:firstLineChars="500"/>
        <w:jc w:val="both"/>
        <w:rPr>
          <w:rFonts w:hint="eastAsia" w:ascii="黑体" w:hAnsi="ˎ̥" w:eastAsia="黑体"/>
          <w:sz w:val="32"/>
          <w:szCs w:val="32"/>
        </w:rPr>
      </w:pPr>
      <w:r>
        <w:rPr>
          <w:rFonts w:hint="eastAsia" w:ascii="黑体" w:hAnsi="ˎ̥" w:eastAsia="黑体"/>
          <w:sz w:val="32"/>
          <w:szCs w:val="32"/>
        </w:rPr>
        <w:t>第三部分  202</w:t>
      </w:r>
      <w:r>
        <w:rPr>
          <w:rFonts w:ascii="黑体" w:hAnsi="ˎ̥" w:eastAsia="黑体"/>
          <w:sz w:val="32"/>
          <w:szCs w:val="32"/>
        </w:rPr>
        <w:t>3</w:t>
      </w:r>
      <w:r>
        <w:rPr>
          <w:rFonts w:hint="eastAsia" w:ascii="黑体" w:hAnsi="ˎ̥" w:eastAsia="黑体"/>
          <w:sz w:val="32"/>
          <w:szCs w:val="32"/>
        </w:rPr>
        <w:t>年度部门决算情况说明</w:t>
      </w:r>
      <w:bookmarkEnd w:id="71"/>
      <w:bookmarkEnd w:id="72"/>
      <w:bookmarkEnd w:id="73"/>
      <w:bookmarkEnd w:id="74"/>
      <w:bookmarkEnd w:id="75"/>
      <w:bookmarkEnd w:id="76"/>
    </w:p>
    <w:p w14:paraId="23E375A0">
      <w:pPr>
        <w:spacing w:line="578" w:lineRule="exact"/>
        <w:ind w:firstLine="640" w:firstLineChars="200"/>
        <w:rPr>
          <w:rFonts w:hint="eastAsia" w:ascii="仿宋_GB2312" w:hAnsi="ˎ̥" w:eastAsia="仿宋_GB2312"/>
          <w:sz w:val="32"/>
          <w:szCs w:val="32"/>
        </w:rPr>
      </w:pPr>
      <w:r>
        <w:rPr>
          <w:rFonts w:hint="eastAsia" w:ascii="黑体" w:hAnsi="黑体" w:eastAsia="黑体" w:cs="黑体"/>
          <w:bCs/>
          <w:sz w:val="32"/>
          <w:szCs w:val="32"/>
        </w:rPr>
        <w:t>一、收入支出总体情况说明</w:t>
      </w:r>
      <w:r>
        <w:rPr>
          <w:rFonts w:hint="eastAsia" w:ascii="黑体" w:hAnsi="黑体" w:eastAsia="黑体" w:cs="黑体"/>
          <w:bCs/>
          <w:sz w:val="32"/>
          <w:szCs w:val="32"/>
        </w:rPr>
        <w:br w:type="textWrapping"/>
      </w:r>
      <w:r>
        <w:rPr>
          <w:rFonts w:hint="eastAsia" w:ascii="楷体_GB2312" w:hAnsi="ˎ̥" w:eastAsia="楷体_GB2312"/>
          <w:sz w:val="32"/>
          <w:szCs w:val="32"/>
        </w:rPr>
        <w:t xml:space="preserve">    </w:t>
      </w: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年度收入总计</w:t>
      </w:r>
      <w:r>
        <w:rPr>
          <w:rFonts w:hint="default" w:ascii="仿宋_GB2312" w:hAnsi="ˎ̥" w:eastAsia="仿宋_GB2312"/>
          <w:sz w:val="32"/>
          <w:szCs w:val="32"/>
          <w:lang w:val="en-US"/>
        </w:rPr>
        <w:t>1,783.30</w:t>
      </w:r>
      <w:r>
        <w:rPr>
          <w:rFonts w:hint="eastAsia" w:ascii="仿宋_GB2312" w:hAnsi="ˎ̥" w:eastAsia="仿宋_GB2312"/>
          <w:sz w:val="32"/>
          <w:szCs w:val="32"/>
        </w:rPr>
        <w:t>万元，支出总计</w:t>
      </w:r>
      <w:r>
        <w:rPr>
          <w:rFonts w:hint="default" w:ascii="仿宋_GB2312" w:hAnsi="ˎ̥" w:eastAsia="仿宋_GB2312"/>
          <w:sz w:val="32"/>
          <w:szCs w:val="32"/>
          <w:lang w:val="en-US"/>
        </w:rPr>
        <w:t>1,783.30</w:t>
      </w:r>
      <w:r>
        <w:rPr>
          <w:rFonts w:hint="eastAsia" w:ascii="仿宋_GB2312" w:hAnsi="ˎ̥" w:eastAsia="仿宋_GB2312"/>
          <w:sz w:val="32"/>
          <w:szCs w:val="32"/>
        </w:rPr>
        <w:t>万元，与2022年度相比，收入、支出总计各增加</w:t>
      </w:r>
      <w:r>
        <w:rPr>
          <w:rFonts w:hint="eastAsia" w:ascii="仿宋_GB2312" w:hAnsi="ˎ̥" w:eastAsia="仿宋_GB2312"/>
          <w:sz w:val="32"/>
          <w:szCs w:val="32"/>
          <w:lang w:val="en-US" w:eastAsia="zh-CN"/>
        </w:rPr>
        <w:t>113.84</w:t>
      </w:r>
      <w:r>
        <w:rPr>
          <w:rFonts w:hint="eastAsia" w:ascii="仿宋_GB2312" w:hAnsi="ˎ̥" w:eastAsia="仿宋_GB2312"/>
          <w:sz w:val="32"/>
          <w:szCs w:val="32"/>
        </w:rPr>
        <w:t>万元，增长</w:t>
      </w:r>
      <w:r>
        <w:rPr>
          <w:rFonts w:hint="eastAsia" w:ascii="仿宋_GB2312" w:hAnsi="ˎ̥" w:eastAsia="仿宋_GB2312"/>
          <w:sz w:val="32"/>
          <w:szCs w:val="32"/>
          <w:lang w:val="en-US" w:eastAsia="zh-CN"/>
        </w:rPr>
        <w:t>6.82</w:t>
      </w:r>
      <w:r>
        <w:rPr>
          <w:rFonts w:hint="eastAsia" w:ascii="仿宋_GB2312" w:hAnsi="ˎ̥" w:eastAsia="仿宋_GB2312"/>
          <w:sz w:val="32"/>
          <w:szCs w:val="32"/>
        </w:rPr>
        <w:t>%。主要原因：</w:t>
      </w:r>
      <w:r>
        <w:rPr>
          <w:rFonts w:hint="eastAsia" w:ascii="仿宋_GB2312" w:hAnsi="ˎ̥" w:eastAsia="仿宋_GB2312"/>
          <w:color w:val="000000"/>
          <w:sz w:val="32"/>
          <w:szCs w:val="32"/>
        </w:rPr>
        <w:t>主要原因</w:t>
      </w:r>
      <w:r>
        <w:rPr>
          <w:rFonts w:hint="eastAsia" w:ascii="仿宋_GB2312" w:hAnsi="ˎ̥" w:eastAsia="仿宋_GB2312"/>
          <w:color w:val="000000"/>
          <w:sz w:val="32"/>
          <w:szCs w:val="32"/>
          <w:lang w:eastAsia="zh-CN"/>
        </w:rPr>
        <w:t>是</w:t>
      </w:r>
      <w:r>
        <w:rPr>
          <w:rFonts w:hint="eastAsia" w:ascii="仿宋_GB2312" w:hAnsi="ˎ̥" w:eastAsia="仿宋_GB2312"/>
          <w:color w:val="000000"/>
          <w:sz w:val="32"/>
          <w:szCs w:val="32"/>
        </w:rPr>
        <w:t>本年度人员工资调增</w:t>
      </w:r>
      <w:r>
        <w:rPr>
          <w:rFonts w:hint="eastAsia" w:ascii="仿宋_GB2312" w:hAnsi="ˎ̥" w:eastAsia="仿宋_GB2312"/>
          <w:color w:val="000000"/>
          <w:sz w:val="32"/>
          <w:szCs w:val="32"/>
          <w:lang w:eastAsia="zh-CN"/>
        </w:rPr>
        <w:t>、</w:t>
      </w:r>
      <w:r>
        <w:rPr>
          <w:rFonts w:hint="eastAsia" w:ascii="仿宋_GB2312" w:hAnsi="ˎ̥" w:eastAsia="仿宋_GB2312"/>
          <w:color w:val="000000"/>
          <w:sz w:val="32"/>
          <w:szCs w:val="32"/>
          <w:lang w:val="en-US" w:eastAsia="zh-CN"/>
        </w:rPr>
        <w:t>社保缴费基数</w:t>
      </w:r>
      <w:r>
        <w:rPr>
          <w:rFonts w:hint="eastAsia" w:ascii="仿宋_GB2312" w:hAnsi="ˎ̥" w:eastAsia="仿宋_GB2312"/>
          <w:color w:val="000000"/>
          <w:sz w:val="32"/>
          <w:szCs w:val="32"/>
        </w:rPr>
        <w:t>增加。</w:t>
      </w:r>
    </w:p>
    <w:p w14:paraId="6027621C">
      <w:pPr>
        <w:spacing w:line="578" w:lineRule="exact"/>
        <w:ind w:firstLine="640" w:firstLineChars="200"/>
        <w:rPr>
          <w:rFonts w:ascii="楷体" w:hAnsi="楷体" w:eastAsia="楷体" w:cs="楷体"/>
          <w:sz w:val="32"/>
          <w:szCs w:val="32"/>
        </w:rPr>
      </w:pPr>
      <w:r>
        <w:rPr>
          <w:rFonts w:hint="eastAsia" w:ascii="楷体" w:hAnsi="楷体" w:eastAsia="楷体" w:cs="楷体"/>
          <w:sz w:val="32"/>
          <w:szCs w:val="32"/>
        </w:rPr>
        <w:t>（一</w:t>
      </w:r>
      <w:r>
        <w:rPr>
          <w:rFonts w:ascii="楷体" w:hAnsi="楷体" w:eastAsia="楷体" w:cs="楷体"/>
          <w:sz w:val="32"/>
          <w:szCs w:val="32"/>
        </w:rPr>
        <w:t>）</w:t>
      </w:r>
      <w:r>
        <w:rPr>
          <w:rFonts w:hint="eastAsia" w:ascii="楷体" w:hAnsi="楷体" w:eastAsia="楷体" w:cs="楷体"/>
          <w:sz w:val="32"/>
          <w:szCs w:val="32"/>
        </w:rPr>
        <w:t>收入</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r>
        <w:rPr>
          <w:rFonts w:hint="eastAsia" w:ascii="楷体" w:hAnsi="楷体" w:eastAsia="楷体" w:cs="楷体"/>
          <w:sz w:val="32"/>
          <w:szCs w:val="32"/>
        </w:rPr>
        <w:t>。</w:t>
      </w:r>
    </w:p>
    <w:p w14:paraId="6EDF1795">
      <w:pPr>
        <w:spacing w:line="578" w:lineRule="exact"/>
        <w:ind w:firstLine="640" w:firstLineChars="200"/>
        <w:rPr>
          <w:rFonts w:ascii="仿宋_GB2312" w:hAnsi="ˎ̥" w:eastAsia="仿宋_GB2312"/>
          <w:sz w:val="32"/>
          <w:szCs w:val="32"/>
        </w:rPr>
      </w:pPr>
      <w:r>
        <w:rPr>
          <w:rFonts w:hint="eastAsia" w:ascii="仿宋_GB2312" w:hAnsi="ˎ̥" w:eastAsia="仿宋_GB2312"/>
          <w:sz w:val="32"/>
          <w:szCs w:val="32"/>
        </w:rPr>
        <w:t>本年</w:t>
      </w:r>
      <w:r>
        <w:rPr>
          <w:rFonts w:ascii="仿宋_GB2312" w:hAnsi="ˎ̥" w:eastAsia="仿宋_GB2312"/>
          <w:sz w:val="32"/>
          <w:szCs w:val="32"/>
        </w:rPr>
        <w:t>收入</w:t>
      </w:r>
      <w:r>
        <w:rPr>
          <w:rFonts w:hint="default" w:ascii="仿宋_GB2312" w:hAnsi="ˎ̥" w:eastAsia="仿宋_GB2312"/>
          <w:sz w:val="32"/>
          <w:szCs w:val="32"/>
          <w:lang w:val="en-US"/>
        </w:rPr>
        <w:t>1,783.30</w:t>
      </w:r>
      <w:r>
        <w:rPr>
          <w:rFonts w:hint="eastAsia" w:ascii="仿宋_GB2312" w:hAnsi="ˎ̥" w:eastAsia="仿宋_GB2312"/>
          <w:sz w:val="32"/>
          <w:szCs w:val="32"/>
        </w:rPr>
        <w:t>万元。</w:t>
      </w:r>
    </w:p>
    <w:p w14:paraId="247EA944">
      <w:pPr>
        <w:spacing w:line="578" w:lineRule="exact"/>
        <w:ind w:firstLine="640" w:firstLineChars="200"/>
        <w:rPr>
          <w:rFonts w:ascii="仿宋_GB2312" w:hAnsi="ˎ̥" w:eastAsia="仿宋_GB2312"/>
          <w:sz w:val="32"/>
          <w:szCs w:val="32"/>
        </w:rPr>
      </w:pPr>
      <w:r>
        <w:rPr>
          <w:rFonts w:hint="eastAsia" w:ascii="仿宋_GB2312" w:hAnsi="ˎ̥" w:eastAsia="仿宋_GB2312"/>
          <w:sz w:val="32"/>
          <w:szCs w:val="32"/>
        </w:rPr>
        <w:t>使用非财政拨款结余</w:t>
      </w:r>
      <w:r>
        <w:rPr>
          <w:rFonts w:hint="default" w:ascii="仿宋_GB2312" w:hAnsi="ˎ̥" w:eastAsia="仿宋_GB2312"/>
          <w:sz w:val="32"/>
          <w:szCs w:val="32"/>
          <w:lang w:val="en-US"/>
        </w:rPr>
        <w:t>0.00</w:t>
      </w:r>
      <w:r>
        <w:rPr>
          <w:rFonts w:hint="eastAsia" w:ascii="仿宋_GB2312" w:hAnsi="ˎ̥" w:eastAsia="仿宋_GB2312"/>
          <w:sz w:val="32"/>
          <w:szCs w:val="32"/>
        </w:rPr>
        <w:t>万元，较202</w:t>
      </w:r>
      <w:r>
        <w:rPr>
          <w:rFonts w:ascii="仿宋_GB2312" w:hAnsi="ˎ̥" w:eastAsia="仿宋_GB2312"/>
          <w:sz w:val="32"/>
          <w:szCs w:val="32"/>
        </w:rPr>
        <w:t>2</w:t>
      </w:r>
      <w:r>
        <w:rPr>
          <w:rFonts w:hint="eastAsia" w:ascii="仿宋_GB2312" w:hAnsi="ˎ̥" w:eastAsia="仿宋_GB2312"/>
          <w:sz w:val="32"/>
          <w:szCs w:val="32"/>
        </w:rPr>
        <w:t>年度决算数</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持平</w:t>
      </w:r>
      <w:r>
        <w:rPr>
          <w:rFonts w:hint="eastAsia" w:ascii="仿宋_GB2312" w:hAnsi="ˎ̥" w:eastAsia="仿宋_GB2312"/>
          <w:sz w:val="32"/>
          <w:szCs w:val="32"/>
        </w:rPr>
        <w:t>。</w:t>
      </w:r>
    </w:p>
    <w:p w14:paraId="4DCCBAA3">
      <w:pPr>
        <w:spacing w:line="578" w:lineRule="exact"/>
        <w:ind w:firstLine="640" w:firstLineChars="200"/>
        <w:rPr>
          <w:rFonts w:hint="eastAsia" w:ascii="仿宋_GB2312" w:hAnsi="ˎ̥" w:eastAsia="仿宋_GB2312"/>
          <w:sz w:val="32"/>
          <w:szCs w:val="32"/>
          <w:lang w:val="en-US" w:eastAsia="zh-CN"/>
        </w:rPr>
      </w:pPr>
      <w:r>
        <w:rPr>
          <w:rFonts w:hint="eastAsia" w:ascii="仿宋_GB2312" w:hAnsi="ˎ̥" w:eastAsia="仿宋_GB2312"/>
          <w:sz w:val="32"/>
          <w:szCs w:val="32"/>
        </w:rPr>
        <w:t>年初结转结余</w:t>
      </w:r>
      <w:r>
        <w:rPr>
          <w:rFonts w:hint="default" w:ascii="仿宋_GB2312" w:hAnsi="ˎ̥" w:eastAsia="仿宋_GB2312"/>
          <w:sz w:val="32"/>
          <w:szCs w:val="32"/>
          <w:lang w:val="en-US"/>
        </w:rPr>
        <w:t>0.00</w:t>
      </w:r>
      <w:r>
        <w:rPr>
          <w:rFonts w:hint="eastAsia" w:ascii="仿宋_GB2312" w:hAnsi="ˎ̥" w:eastAsia="仿宋_GB2312"/>
          <w:sz w:val="32"/>
          <w:szCs w:val="32"/>
        </w:rPr>
        <w:t>万元，</w:t>
      </w:r>
      <w:bookmarkStart w:id="119" w:name="_GoBack"/>
      <w:bookmarkEnd w:id="119"/>
      <w:r>
        <w:rPr>
          <w:rFonts w:hint="eastAsia" w:ascii="仿宋_GB2312" w:hAnsi="ˎ̥" w:eastAsia="仿宋_GB2312"/>
          <w:sz w:val="32"/>
          <w:szCs w:val="32"/>
        </w:rPr>
        <w:t>较202</w:t>
      </w:r>
      <w:r>
        <w:rPr>
          <w:rFonts w:ascii="仿宋_GB2312" w:hAnsi="ˎ̥" w:eastAsia="仿宋_GB2312"/>
          <w:sz w:val="32"/>
          <w:szCs w:val="32"/>
        </w:rPr>
        <w:t>2</w:t>
      </w:r>
      <w:r>
        <w:rPr>
          <w:rFonts w:hint="eastAsia" w:ascii="仿宋_GB2312" w:hAnsi="ˎ̥" w:eastAsia="仿宋_GB2312"/>
          <w:sz w:val="32"/>
          <w:szCs w:val="32"/>
        </w:rPr>
        <w:t>年度决算数</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val="en-US" w:eastAsia="zh-CN"/>
        </w:rPr>
        <w:t>持平。</w:t>
      </w:r>
    </w:p>
    <w:p w14:paraId="08FF714D">
      <w:pPr>
        <w:spacing w:line="578" w:lineRule="exact"/>
        <w:ind w:firstLine="640" w:firstLineChars="200"/>
        <w:rPr>
          <w:rFonts w:ascii="楷体" w:hAnsi="楷体" w:eastAsia="楷体" w:cs="楷体"/>
          <w:sz w:val="32"/>
          <w:szCs w:val="32"/>
        </w:rPr>
      </w:pPr>
      <w:r>
        <w:rPr>
          <w:rFonts w:hint="eastAsia" w:ascii="楷体" w:hAnsi="楷体" w:eastAsia="楷体" w:cs="楷体"/>
          <w:sz w:val="32"/>
          <w:szCs w:val="32"/>
        </w:rPr>
        <w:t>（二</w:t>
      </w:r>
      <w:r>
        <w:rPr>
          <w:rFonts w:ascii="楷体" w:hAnsi="楷体" w:eastAsia="楷体" w:cs="楷体"/>
          <w:sz w:val="32"/>
          <w:szCs w:val="32"/>
        </w:rPr>
        <w:t>）</w:t>
      </w:r>
      <w:r>
        <w:rPr>
          <w:rFonts w:hint="eastAsia" w:ascii="楷体" w:hAnsi="楷体" w:eastAsia="楷体" w:cs="楷体"/>
          <w:sz w:val="32"/>
          <w:szCs w:val="32"/>
        </w:rPr>
        <w:t>支出</w:t>
      </w:r>
      <w:r>
        <w:rPr>
          <w:rFonts w:ascii="楷体" w:hAnsi="楷体" w:eastAsia="楷体" w:cs="楷体"/>
          <w:sz w:val="32"/>
          <w:szCs w:val="32"/>
        </w:rPr>
        <w:t>总计</w:t>
      </w:r>
      <w:r>
        <w:rPr>
          <w:rFonts w:hint="eastAsia" w:ascii="楷体" w:hAnsi="楷体" w:eastAsia="楷体" w:cs="楷体"/>
          <w:sz w:val="32"/>
          <w:szCs w:val="32"/>
        </w:rPr>
        <w:t>主要</w:t>
      </w:r>
      <w:r>
        <w:rPr>
          <w:rFonts w:ascii="楷体" w:hAnsi="楷体" w:eastAsia="楷体" w:cs="楷体"/>
          <w:sz w:val="32"/>
          <w:szCs w:val="32"/>
        </w:rPr>
        <w:t>构成</w:t>
      </w:r>
      <w:r>
        <w:rPr>
          <w:rFonts w:hint="eastAsia" w:ascii="楷体" w:hAnsi="楷体" w:eastAsia="楷体" w:cs="楷体"/>
          <w:sz w:val="32"/>
          <w:szCs w:val="32"/>
        </w:rPr>
        <w:t>。</w:t>
      </w:r>
    </w:p>
    <w:p w14:paraId="5F266D86">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sz w:val="32"/>
          <w:szCs w:val="32"/>
          <w:lang w:val="en-US"/>
        </w:rPr>
        <w:t>1,773.30</w:t>
      </w:r>
      <w:r>
        <w:rPr>
          <w:rFonts w:hint="eastAsia" w:ascii="仿宋_GB2312" w:hAnsi="ˎ̥" w:eastAsia="仿宋_GB2312"/>
          <w:sz w:val="32"/>
          <w:szCs w:val="32"/>
        </w:rPr>
        <w:t>万元。</w:t>
      </w:r>
    </w:p>
    <w:p w14:paraId="70E5AA2C">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结余分配</w:t>
      </w:r>
      <w:r>
        <w:rPr>
          <w:rFonts w:hint="default" w:ascii="仿宋_GB2312" w:hAnsi="ˎ̥" w:eastAsia="仿宋_GB2312"/>
          <w:sz w:val="32"/>
          <w:szCs w:val="32"/>
          <w:lang w:val="en-US"/>
        </w:rPr>
        <w:t>0.00</w:t>
      </w:r>
      <w:r>
        <w:rPr>
          <w:rFonts w:hint="eastAsia" w:ascii="仿宋_GB2312" w:hAnsi="ˎ̥" w:eastAsia="仿宋_GB2312"/>
          <w:sz w:val="32"/>
          <w:szCs w:val="32"/>
        </w:rPr>
        <w:t>万元，较2022年度决算数</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val="en-US" w:eastAsia="zh-CN"/>
        </w:rPr>
        <w:t>持平</w:t>
      </w:r>
      <w:r>
        <w:rPr>
          <w:rFonts w:hint="eastAsia" w:ascii="仿宋_GB2312" w:hAnsi="ˎ̥" w:eastAsia="仿宋_GB2312"/>
          <w:sz w:val="32"/>
          <w:szCs w:val="32"/>
        </w:rPr>
        <w:t>。</w:t>
      </w:r>
    </w:p>
    <w:p w14:paraId="5F873308">
      <w:pPr>
        <w:spacing w:line="578" w:lineRule="exact"/>
        <w:ind w:firstLine="640" w:firstLineChars="200"/>
        <w:rPr>
          <w:rFonts w:hint="eastAsia" w:ascii="仿宋_GB2312" w:hAnsi="ˎ̥" w:eastAsia="仿宋_GB2312"/>
          <w:color w:val="000000" w:themeColor="text1"/>
          <w:sz w:val="32"/>
          <w:szCs w:val="32"/>
          <w:highlight w:val="none"/>
          <w14:textFill>
            <w14:solidFill>
              <w14:schemeClr w14:val="tx1"/>
            </w14:solidFill>
          </w14:textFill>
        </w:rPr>
      </w:pPr>
      <w:r>
        <w:rPr>
          <w:rFonts w:hint="eastAsia" w:ascii="仿宋_GB2312" w:hAnsi="ˎ̥" w:eastAsia="仿宋_GB2312"/>
          <w:sz w:val="32"/>
          <w:szCs w:val="32"/>
        </w:rPr>
        <w:t>年末结转结余</w:t>
      </w:r>
      <w:r>
        <w:rPr>
          <w:rFonts w:hint="default" w:ascii="仿宋_GB2312" w:hAnsi="ˎ̥" w:eastAsia="仿宋_GB2312"/>
          <w:sz w:val="32"/>
          <w:szCs w:val="32"/>
          <w:lang w:val="en-US"/>
        </w:rPr>
        <w:t>10.00</w:t>
      </w:r>
      <w:r>
        <w:rPr>
          <w:rFonts w:hint="eastAsia" w:ascii="仿宋_GB2312" w:hAnsi="ˎ̥" w:eastAsia="仿宋_GB2312"/>
          <w:sz w:val="32"/>
          <w:szCs w:val="32"/>
        </w:rPr>
        <w:t>万元，主要是</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两校一园经费项目经费结转结余</w:t>
      </w:r>
      <w:r>
        <w:rPr>
          <w:rFonts w:hint="eastAsia" w:ascii="仿宋_GB2312" w:hAnsi="ˎ̥" w:eastAsia="仿宋_GB2312"/>
          <w:sz w:val="32"/>
          <w:szCs w:val="32"/>
        </w:rPr>
        <w:t>，较202</w:t>
      </w:r>
      <w:r>
        <w:rPr>
          <w:rFonts w:ascii="仿宋_GB2312" w:hAnsi="ˎ̥" w:eastAsia="仿宋_GB2312"/>
          <w:sz w:val="32"/>
          <w:szCs w:val="32"/>
        </w:rPr>
        <w:t>2</w:t>
      </w:r>
      <w:r>
        <w:rPr>
          <w:rFonts w:hint="eastAsia" w:ascii="仿宋_GB2312" w:hAnsi="ˎ̥" w:eastAsia="仿宋_GB2312"/>
          <w:sz w:val="32"/>
          <w:szCs w:val="32"/>
        </w:rPr>
        <w:t>年度决算数增加</w:t>
      </w:r>
      <w:r>
        <w:rPr>
          <w:rFonts w:hint="eastAsia" w:ascii="仿宋_GB2312" w:hAnsi="ˎ̥" w:eastAsia="仿宋_GB2312"/>
          <w:sz w:val="32"/>
          <w:szCs w:val="32"/>
          <w:lang w:val="en-US" w:eastAsia="zh-CN"/>
        </w:rPr>
        <w:t>10</w:t>
      </w:r>
      <w:r>
        <w:rPr>
          <w:rFonts w:hint="eastAsia" w:ascii="仿宋_GB2312" w:hAnsi="ˎ̥" w:eastAsia="仿宋_GB2312"/>
          <w:sz w:val="32"/>
          <w:szCs w:val="32"/>
        </w:rPr>
        <w:t>万元，增长</w:t>
      </w:r>
      <w:r>
        <w:rPr>
          <w:rFonts w:hint="eastAsia" w:ascii="仿宋_GB2312" w:hAnsi="ˎ̥" w:eastAsia="仿宋_GB2312"/>
          <w:sz w:val="32"/>
          <w:szCs w:val="32"/>
          <w:lang w:val="en-US" w:eastAsia="zh-CN"/>
        </w:rPr>
        <w:t>100</w:t>
      </w:r>
      <w:r>
        <w:rPr>
          <w:rFonts w:hint="eastAsia" w:ascii="仿宋_GB2312" w:hAnsi="ˎ̥" w:eastAsia="仿宋_GB2312"/>
          <w:sz w:val="32"/>
          <w:szCs w:val="32"/>
        </w:rPr>
        <w:t>%，</w:t>
      </w:r>
      <w:r>
        <w:rPr>
          <w:rFonts w:hint="eastAsia" w:ascii="仿宋_GB2312" w:hAnsi="ˎ̥" w:eastAsia="仿宋_GB2312"/>
          <w:color w:val="000000" w:themeColor="text1"/>
          <w:sz w:val="32"/>
          <w:szCs w:val="32"/>
          <w:highlight w:val="none"/>
          <w14:textFill>
            <w14:solidFill>
              <w14:schemeClr w14:val="tx1"/>
            </w14:solidFill>
          </w14:textFill>
        </w:rPr>
        <w:t>主要原因</w:t>
      </w:r>
      <w:r>
        <w:rPr>
          <w:rFonts w:hint="eastAsia" w:ascii="仿宋_GB2312" w:hAnsi="ˎ̥" w:eastAsia="仿宋_GB2312"/>
          <w:color w:val="000000" w:themeColor="text1"/>
          <w:sz w:val="32"/>
          <w:szCs w:val="32"/>
          <w:highlight w:val="none"/>
          <w:lang w:eastAsia="zh-CN"/>
          <w14:textFill>
            <w14:solidFill>
              <w14:schemeClr w14:val="tx1"/>
            </w14:solidFill>
          </w14:textFill>
        </w:rPr>
        <w:t>：</w:t>
      </w:r>
      <w:r>
        <w:rPr>
          <w:rFonts w:hint="eastAsia" w:ascii="仿宋_GB2312" w:hAnsi="ˎ̥" w:eastAsia="仿宋_GB2312"/>
          <w:sz w:val="32"/>
          <w:szCs w:val="32"/>
          <w:lang w:val="en-US" w:eastAsia="zh-CN"/>
        </w:rPr>
        <w:t>两校一园经费项目正在开展过程在，项目待审核，项目经费需结转到下年度</w:t>
      </w:r>
      <w:r>
        <w:rPr>
          <w:rFonts w:hint="eastAsia" w:ascii="仿宋_GB2312" w:hAnsi="ˎ̥" w:eastAsia="仿宋_GB2312"/>
          <w:color w:val="000000" w:themeColor="text1"/>
          <w:sz w:val="32"/>
          <w:szCs w:val="32"/>
          <w:highlight w:val="none"/>
          <w14:textFill>
            <w14:solidFill>
              <w14:schemeClr w14:val="tx1"/>
            </w14:solidFill>
          </w14:textFill>
        </w:rPr>
        <w:t>。</w:t>
      </w:r>
    </w:p>
    <w:p w14:paraId="52D5E664">
      <w:pPr>
        <w:spacing w:line="578" w:lineRule="exact"/>
        <w:ind w:firstLine="640" w:firstLineChars="200"/>
        <w:rPr>
          <w:rFonts w:hint="eastAsia" w:ascii="仿宋_GB2312" w:hAnsi="ˎ̥" w:eastAsia="仿宋_GB2312"/>
          <w:sz w:val="32"/>
          <w:szCs w:val="32"/>
        </w:rPr>
      </w:pPr>
      <w:r>
        <w:rPr>
          <w:rFonts w:hint="eastAsia" w:ascii="黑体" w:hAnsi="黑体" w:eastAsia="黑体" w:cs="黑体"/>
          <w:bCs/>
          <w:sz w:val="32"/>
          <w:szCs w:val="32"/>
        </w:rPr>
        <w:t>二、收入决算情况说明</w:t>
      </w:r>
      <w:r>
        <w:rPr>
          <w:rFonts w:hint="eastAsia" w:ascii="黑体" w:hAnsi="黑体" w:eastAsia="黑体" w:cs="黑体"/>
          <w:bCs/>
          <w:sz w:val="32"/>
          <w:szCs w:val="32"/>
        </w:rPr>
        <w:br w:type="textWrapping"/>
      </w:r>
      <w:r>
        <w:rPr>
          <w:rFonts w:hint="eastAsia" w:ascii="仿宋_GB2312" w:hAnsi="ˎ̥" w:eastAsia="仿宋_GB2312"/>
          <w:sz w:val="32"/>
          <w:szCs w:val="32"/>
        </w:rPr>
        <w:t xml:space="preserve">    本年收入</w:t>
      </w:r>
      <w:r>
        <w:rPr>
          <w:rFonts w:hint="default" w:ascii="仿宋_GB2312" w:hAnsi="ˎ̥" w:eastAsia="仿宋_GB2312"/>
          <w:sz w:val="32"/>
          <w:szCs w:val="32"/>
          <w:lang w:val="en-US"/>
        </w:rPr>
        <w:t>1,783.30</w:t>
      </w:r>
      <w:r>
        <w:rPr>
          <w:rFonts w:hint="eastAsia" w:ascii="仿宋_GB2312" w:hAnsi="ˎ̥" w:eastAsia="仿宋_GB2312"/>
          <w:sz w:val="32"/>
          <w:szCs w:val="32"/>
        </w:rPr>
        <w:t>万元，其中：财政拨款收入</w:t>
      </w:r>
      <w:r>
        <w:rPr>
          <w:rFonts w:hint="default" w:ascii="仿宋_GB2312" w:hAnsi="ˎ̥" w:eastAsia="仿宋_GB2312"/>
          <w:sz w:val="32"/>
          <w:szCs w:val="32"/>
          <w:lang w:val="en-US"/>
        </w:rPr>
        <w:t>1,773.30</w:t>
      </w:r>
      <w:r>
        <w:rPr>
          <w:rFonts w:hint="eastAsia" w:ascii="仿宋_GB2312" w:hAnsi="ˎ̥" w:eastAsia="仿宋_GB2312"/>
          <w:sz w:val="32"/>
          <w:szCs w:val="32"/>
        </w:rPr>
        <w:t>万元，占</w:t>
      </w:r>
      <w:r>
        <w:rPr>
          <w:rFonts w:hint="eastAsia" w:ascii="仿宋_GB2312" w:hAnsi="ˎ̥" w:eastAsia="仿宋_GB2312"/>
          <w:sz w:val="32"/>
          <w:szCs w:val="32"/>
          <w:lang w:val="en-US" w:eastAsia="zh-CN"/>
        </w:rPr>
        <w:t>99.44</w:t>
      </w:r>
      <w:r>
        <w:rPr>
          <w:rFonts w:hint="eastAsia" w:ascii="仿宋_GB2312" w:hAnsi="ˎ̥" w:eastAsia="仿宋_GB2312"/>
          <w:sz w:val="32"/>
          <w:szCs w:val="32"/>
        </w:rPr>
        <w:t>%；上级补助收入</w:t>
      </w:r>
      <w:r>
        <w:rPr>
          <w:rFonts w:hint="default" w:ascii="仿宋_GB2312" w:hAnsi="ˎ̥" w:eastAsia="仿宋_GB2312"/>
          <w:sz w:val="32"/>
          <w:szCs w:val="32"/>
          <w:lang w:val="en-US"/>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%；事业收入</w:t>
      </w:r>
      <w:r>
        <w:rPr>
          <w:rFonts w:hint="default" w:ascii="仿宋_GB2312" w:hAnsi="ˎ̥" w:eastAsia="仿宋_GB2312"/>
          <w:sz w:val="32"/>
          <w:szCs w:val="32"/>
          <w:lang w:val="en-US"/>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%；经营收入</w:t>
      </w:r>
      <w:r>
        <w:rPr>
          <w:rFonts w:hint="default" w:ascii="仿宋_GB2312" w:hAnsi="ˎ̥" w:eastAsia="仿宋_GB2312"/>
          <w:sz w:val="32"/>
          <w:szCs w:val="32"/>
          <w:lang w:val="en-US"/>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%；附属单位上缴收入</w:t>
      </w:r>
      <w:r>
        <w:rPr>
          <w:rFonts w:hint="default" w:ascii="仿宋_GB2312" w:hAnsi="ˎ̥" w:eastAsia="仿宋_GB2312"/>
          <w:sz w:val="32"/>
          <w:szCs w:val="32"/>
          <w:lang w:val="en-US"/>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%；其他收入</w:t>
      </w:r>
      <w:r>
        <w:rPr>
          <w:rFonts w:hint="default" w:ascii="仿宋_GB2312" w:hAnsi="ˎ̥" w:eastAsia="仿宋_GB2312"/>
          <w:sz w:val="32"/>
          <w:szCs w:val="32"/>
          <w:lang w:val="en-US"/>
        </w:rPr>
        <w:t>10.00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0.56</w:t>
      </w:r>
      <w:r>
        <w:rPr>
          <w:rFonts w:hint="eastAsia" w:ascii="仿宋_GB2312" w:hAnsi="ˎ̥" w:eastAsia="仿宋_GB2312"/>
          <w:sz w:val="32"/>
          <w:szCs w:val="32"/>
        </w:rPr>
        <w:t>%。</w:t>
      </w:r>
    </w:p>
    <w:p w14:paraId="2C582DE6">
      <w:pPr>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三、支出决算情况说明</w:t>
      </w:r>
    </w:p>
    <w:p w14:paraId="258FF506">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本年支出</w:t>
      </w:r>
      <w:r>
        <w:rPr>
          <w:rFonts w:hint="default" w:ascii="仿宋_GB2312" w:hAnsi="ˎ̥" w:eastAsia="仿宋_GB2312"/>
          <w:sz w:val="32"/>
          <w:szCs w:val="32"/>
          <w:lang w:val="en-US"/>
        </w:rPr>
        <w:t>1,773.30</w:t>
      </w:r>
      <w:r>
        <w:rPr>
          <w:rFonts w:hint="eastAsia" w:ascii="仿宋_GB2312" w:hAnsi="ˎ̥" w:eastAsia="仿宋_GB2312"/>
          <w:sz w:val="32"/>
          <w:szCs w:val="32"/>
        </w:rPr>
        <w:t>万元，其中：基本支出</w:t>
      </w:r>
      <w:r>
        <w:rPr>
          <w:rFonts w:hint="default" w:ascii="仿宋_GB2312" w:hAnsi="ˎ̥" w:eastAsia="仿宋_GB2312"/>
          <w:sz w:val="32"/>
          <w:szCs w:val="32"/>
          <w:lang w:val="en-US"/>
        </w:rPr>
        <w:t>1,548.65</w:t>
      </w:r>
      <w:r>
        <w:rPr>
          <w:rFonts w:hint="eastAsia" w:ascii="仿宋_GB2312" w:hAnsi="ˎ̥" w:eastAsia="仿宋_GB2312"/>
          <w:sz w:val="32"/>
          <w:szCs w:val="32"/>
        </w:rPr>
        <w:t>万元，占</w:t>
      </w:r>
      <w:r>
        <w:rPr>
          <w:rFonts w:hint="eastAsia" w:ascii="仿宋_GB2312" w:hAnsi="ˎ̥" w:eastAsia="仿宋_GB2312"/>
          <w:sz w:val="32"/>
          <w:szCs w:val="32"/>
          <w:lang w:val="en-US" w:eastAsia="zh-CN"/>
        </w:rPr>
        <w:t>87.33</w:t>
      </w:r>
      <w:r>
        <w:rPr>
          <w:rFonts w:hint="eastAsia" w:ascii="仿宋_GB2312" w:hAnsi="ˎ̥" w:eastAsia="仿宋_GB2312"/>
          <w:sz w:val="32"/>
          <w:szCs w:val="32"/>
        </w:rPr>
        <w:t>%；项目支出</w:t>
      </w:r>
      <w:r>
        <w:rPr>
          <w:rFonts w:hint="default" w:ascii="仿宋_GB2312" w:hAnsi="ˎ̥" w:eastAsia="仿宋_GB2312"/>
          <w:sz w:val="32"/>
          <w:szCs w:val="32"/>
          <w:lang w:val="en-US"/>
        </w:rPr>
        <w:t>224.65</w:t>
      </w:r>
      <w:r>
        <w:rPr>
          <w:rFonts w:hint="eastAsia" w:ascii="仿宋_GB2312" w:hAnsi="ˎ̥" w:eastAsia="仿宋_GB2312"/>
          <w:sz w:val="32"/>
          <w:szCs w:val="32"/>
        </w:rPr>
        <w:t>万元，占</w:t>
      </w:r>
      <w:r>
        <w:rPr>
          <w:rFonts w:hint="eastAsia" w:ascii="仿宋_GB2312" w:hAnsi="ˎ̥" w:eastAsia="仿宋_GB2312"/>
          <w:sz w:val="32"/>
          <w:szCs w:val="32"/>
          <w:lang w:val="en-US" w:eastAsia="zh-CN"/>
        </w:rPr>
        <w:t>12.67</w:t>
      </w:r>
      <w:r>
        <w:rPr>
          <w:rFonts w:hint="eastAsia" w:ascii="仿宋_GB2312" w:hAnsi="ˎ̥" w:eastAsia="仿宋_GB2312"/>
          <w:sz w:val="32"/>
          <w:szCs w:val="32"/>
        </w:rPr>
        <w:t>%；上缴上级支出</w:t>
      </w:r>
      <w:r>
        <w:rPr>
          <w:rFonts w:hint="default" w:ascii="仿宋_GB2312" w:hAnsi="ˎ̥" w:eastAsia="仿宋_GB2312"/>
          <w:sz w:val="32"/>
          <w:szCs w:val="32"/>
          <w:lang w:val="en-US"/>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%；经营支出</w:t>
      </w:r>
      <w:r>
        <w:rPr>
          <w:rFonts w:hint="default" w:ascii="仿宋_GB2312" w:hAnsi="ˎ̥" w:eastAsia="仿宋_GB2312"/>
          <w:sz w:val="32"/>
          <w:szCs w:val="32"/>
          <w:lang w:val="en-US"/>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%；对附属单位补助支出</w:t>
      </w:r>
      <w:r>
        <w:rPr>
          <w:rFonts w:hint="default" w:ascii="仿宋_GB2312" w:hAnsi="ˎ̥" w:eastAsia="仿宋_GB2312"/>
          <w:sz w:val="32"/>
          <w:szCs w:val="32"/>
          <w:lang w:val="en-US"/>
        </w:rPr>
        <w:t>0.00</w:t>
      </w:r>
      <w:r>
        <w:rPr>
          <w:rFonts w:hint="eastAsia" w:ascii="仿宋_GB2312" w:hAnsi="ˎ̥" w:eastAsia="仿宋_GB2312"/>
          <w:sz w:val="32"/>
          <w:szCs w:val="32"/>
        </w:rPr>
        <w:t>万元，占</w:t>
      </w:r>
      <w:r>
        <w:rPr>
          <w:rFonts w:hint="eastAsia" w:ascii="仿宋_GB2312" w:hAnsi="ˎ̥" w:eastAsia="仿宋_GB2312"/>
          <w:sz w:val="32"/>
          <w:szCs w:val="32"/>
          <w:lang w:val="en-US" w:eastAsia="zh-CN"/>
        </w:rPr>
        <w:t>0</w:t>
      </w:r>
      <w:r>
        <w:rPr>
          <w:rFonts w:hint="eastAsia" w:ascii="仿宋_GB2312" w:hAnsi="ˎ̥" w:eastAsia="仿宋_GB2312"/>
          <w:sz w:val="32"/>
          <w:szCs w:val="32"/>
        </w:rPr>
        <w:t>%。</w:t>
      </w:r>
    </w:p>
    <w:p w14:paraId="35700F18">
      <w:pPr>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四、财政拨款收入支出决算总体情况说明</w:t>
      </w:r>
    </w:p>
    <w:p w14:paraId="787310BE">
      <w:pPr>
        <w:spacing w:line="578" w:lineRule="exact"/>
        <w:ind w:firstLine="640" w:firstLineChars="200"/>
        <w:rPr>
          <w:rFonts w:hint="eastAsia" w:ascii="仿宋_GB2312" w:hAnsi="ˎ̥" w:eastAsia="仿宋_GB2312"/>
          <w:sz w:val="32"/>
          <w:szCs w:val="32"/>
          <w:highlight w:val="none"/>
        </w:rPr>
      </w:pPr>
      <w:r>
        <w:rPr>
          <w:rFonts w:hint="eastAsia" w:ascii="仿宋_GB2312" w:hAnsi="ˎ̥" w:eastAsia="仿宋_GB2312"/>
          <w:sz w:val="32"/>
          <w:szCs w:val="32"/>
          <w:highlight w:val="none"/>
        </w:rPr>
        <w:t>202</w:t>
      </w:r>
      <w:r>
        <w:rPr>
          <w:rFonts w:ascii="仿宋_GB2312" w:hAnsi="ˎ̥" w:eastAsia="仿宋_GB2312"/>
          <w:sz w:val="32"/>
          <w:szCs w:val="32"/>
          <w:highlight w:val="none"/>
        </w:rPr>
        <w:t>3</w:t>
      </w:r>
      <w:r>
        <w:rPr>
          <w:rFonts w:hint="eastAsia" w:ascii="仿宋_GB2312" w:hAnsi="ˎ̥" w:eastAsia="仿宋_GB2312"/>
          <w:sz w:val="32"/>
          <w:szCs w:val="32"/>
          <w:highlight w:val="none"/>
        </w:rPr>
        <w:t>年度财政拨款收入</w:t>
      </w:r>
      <w:r>
        <w:rPr>
          <w:rFonts w:hint="default" w:ascii="仿宋_GB2312" w:hAnsi="ˎ̥" w:eastAsia="仿宋_GB2312"/>
          <w:sz w:val="32"/>
          <w:szCs w:val="32"/>
          <w:highlight w:val="none"/>
          <w:lang w:val="en-US"/>
        </w:rPr>
        <w:t>1,773.30</w:t>
      </w:r>
      <w:r>
        <w:rPr>
          <w:rFonts w:hint="eastAsia" w:ascii="仿宋_GB2312" w:hAnsi="ˎ̥" w:eastAsia="仿宋_GB2312"/>
          <w:sz w:val="32"/>
          <w:szCs w:val="32"/>
          <w:highlight w:val="none"/>
        </w:rPr>
        <w:t>万元，支出</w:t>
      </w:r>
      <w:r>
        <w:rPr>
          <w:rFonts w:hint="default" w:ascii="仿宋_GB2312" w:hAnsi="ˎ̥" w:eastAsia="仿宋_GB2312"/>
          <w:sz w:val="32"/>
          <w:szCs w:val="32"/>
          <w:highlight w:val="none"/>
          <w:lang w:val="en-US"/>
        </w:rPr>
        <w:t>1,773.30</w:t>
      </w:r>
      <w:r>
        <w:rPr>
          <w:rFonts w:hint="eastAsia" w:ascii="仿宋_GB2312" w:hAnsi="ˎ̥" w:eastAsia="仿宋_GB2312"/>
          <w:sz w:val="32"/>
          <w:szCs w:val="32"/>
          <w:highlight w:val="none"/>
        </w:rPr>
        <w:t>万元。与2022年度相比，</w:t>
      </w:r>
      <w:r>
        <w:rPr>
          <w:rFonts w:hint="default" w:ascii="仿宋_GB2312" w:hAnsi="ˎ̥" w:eastAsia="仿宋_GB2312"/>
          <w:sz w:val="32"/>
          <w:szCs w:val="32"/>
          <w:highlight w:val="none"/>
        </w:rPr>
        <w:t>财政拨款收入、支出各增加</w:t>
      </w:r>
      <w:r>
        <w:rPr>
          <w:rFonts w:hint="eastAsia" w:ascii="仿宋_GB2312" w:hAnsi="ˎ̥" w:eastAsia="仿宋_GB2312"/>
          <w:sz w:val="32"/>
          <w:szCs w:val="32"/>
          <w:highlight w:val="none"/>
          <w:lang w:val="en-US" w:eastAsia="zh-CN"/>
        </w:rPr>
        <w:t>124.52</w:t>
      </w:r>
      <w:r>
        <w:rPr>
          <w:rFonts w:hint="default" w:ascii="仿宋_GB2312" w:hAnsi="ˎ̥" w:eastAsia="仿宋_GB2312"/>
          <w:sz w:val="32"/>
          <w:szCs w:val="32"/>
          <w:highlight w:val="none"/>
        </w:rPr>
        <w:t>万元，增长</w:t>
      </w:r>
      <w:r>
        <w:rPr>
          <w:rFonts w:hint="eastAsia" w:ascii="仿宋_GB2312" w:hAnsi="ˎ̥" w:eastAsia="仿宋_GB2312"/>
          <w:sz w:val="32"/>
          <w:szCs w:val="32"/>
          <w:highlight w:val="none"/>
          <w:lang w:val="en-US" w:eastAsia="zh-CN"/>
        </w:rPr>
        <w:t>7.55</w:t>
      </w:r>
      <w:r>
        <w:rPr>
          <w:rFonts w:hint="default" w:ascii="仿宋_GB2312" w:hAnsi="ˎ̥" w:eastAsia="仿宋_GB2312"/>
          <w:sz w:val="32"/>
          <w:szCs w:val="32"/>
          <w:highlight w:val="none"/>
          <w:lang w:val="en-US"/>
        </w:rPr>
        <w:t>%</w:t>
      </w:r>
      <w:r>
        <w:rPr>
          <w:rFonts w:hint="default" w:ascii="仿宋_GB2312" w:hAnsi="ˎ̥" w:eastAsia="仿宋_GB2312"/>
          <w:sz w:val="32"/>
          <w:szCs w:val="32"/>
          <w:highlight w:val="none"/>
        </w:rPr>
        <w:t>。主要原因：</w:t>
      </w:r>
      <w:r>
        <w:rPr>
          <w:rFonts w:hint="eastAsia" w:ascii="仿宋_GB2312" w:hAnsi="ˎ̥" w:eastAsia="仿宋_GB2312"/>
          <w:sz w:val="32"/>
          <w:szCs w:val="32"/>
          <w:highlight w:val="none"/>
        </w:rPr>
        <w:t>主要原因</w:t>
      </w:r>
      <w:r>
        <w:rPr>
          <w:rFonts w:hint="eastAsia" w:ascii="仿宋_GB2312" w:hAnsi="ˎ̥" w:eastAsia="仿宋_GB2312"/>
          <w:sz w:val="32"/>
          <w:szCs w:val="32"/>
          <w:highlight w:val="none"/>
          <w:lang w:eastAsia="zh-CN"/>
        </w:rPr>
        <w:t>是</w:t>
      </w:r>
      <w:r>
        <w:rPr>
          <w:rFonts w:hint="eastAsia" w:ascii="仿宋_GB2312" w:hAnsi="ˎ̥" w:eastAsia="仿宋_GB2312"/>
          <w:sz w:val="32"/>
          <w:szCs w:val="32"/>
          <w:highlight w:val="none"/>
        </w:rPr>
        <w:t>本年度人员工资调增</w:t>
      </w:r>
      <w:r>
        <w:rPr>
          <w:rFonts w:hint="eastAsia" w:ascii="仿宋_GB2312" w:hAnsi="ˎ̥" w:eastAsia="仿宋_GB2312"/>
          <w:sz w:val="32"/>
          <w:szCs w:val="32"/>
          <w:highlight w:val="none"/>
          <w:lang w:eastAsia="zh-CN"/>
        </w:rPr>
        <w:t>、</w:t>
      </w:r>
      <w:r>
        <w:rPr>
          <w:rFonts w:hint="eastAsia" w:ascii="仿宋_GB2312" w:hAnsi="ˎ̥" w:eastAsia="仿宋_GB2312"/>
          <w:sz w:val="32"/>
          <w:szCs w:val="32"/>
          <w:highlight w:val="none"/>
          <w:lang w:val="en-US" w:eastAsia="zh-CN"/>
        </w:rPr>
        <w:t>社保缴费基数</w:t>
      </w:r>
      <w:r>
        <w:rPr>
          <w:rFonts w:hint="eastAsia" w:ascii="仿宋_GB2312" w:hAnsi="ˎ̥" w:eastAsia="仿宋_GB2312"/>
          <w:sz w:val="32"/>
          <w:szCs w:val="32"/>
          <w:highlight w:val="none"/>
        </w:rPr>
        <w:t>增加。</w:t>
      </w:r>
    </w:p>
    <w:p w14:paraId="04B54D17">
      <w:pPr>
        <w:spacing w:line="578" w:lineRule="exact"/>
        <w:ind w:firstLine="640" w:firstLineChars="200"/>
        <w:rPr>
          <w:rFonts w:hint="eastAsia" w:ascii="仿宋_GB2312" w:hAnsi="ˎ̥" w:eastAsia="仿宋_GB2312"/>
          <w:sz w:val="32"/>
          <w:szCs w:val="32"/>
          <w:highlight w:val="none"/>
        </w:rPr>
      </w:pPr>
      <w:r>
        <w:rPr>
          <w:rFonts w:hint="eastAsia" w:ascii="仿宋_GB2312" w:hAnsi="ˎ̥" w:eastAsia="仿宋_GB2312"/>
          <w:sz w:val="32"/>
          <w:szCs w:val="32"/>
          <w:highlight w:val="none"/>
        </w:rPr>
        <w:t>财政拨款年初结转结余</w:t>
      </w:r>
      <w:r>
        <w:rPr>
          <w:rFonts w:hint="default" w:ascii="仿宋_GB2312" w:hAnsi="ˎ̥" w:eastAsia="仿宋_GB2312"/>
          <w:sz w:val="32"/>
          <w:szCs w:val="32"/>
          <w:highlight w:val="none"/>
          <w:lang w:val="en-US"/>
        </w:rPr>
        <w:t>0.00</w:t>
      </w:r>
      <w:r>
        <w:rPr>
          <w:rFonts w:hint="eastAsia" w:ascii="仿宋_GB2312" w:hAnsi="ˎ̥" w:eastAsia="仿宋_GB2312"/>
          <w:sz w:val="32"/>
          <w:szCs w:val="32"/>
          <w:highlight w:val="none"/>
        </w:rPr>
        <w:t>万元，较2022年度决算数</w:t>
      </w:r>
      <w:r>
        <w:rPr>
          <w:rFonts w:hint="eastAsia" w:ascii="仿宋_GB2312" w:hAnsi="ˎ̥" w:eastAsia="仿宋_GB2312"/>
          <w:sz w:val="32"/>
          <w:szCs w:val="32"/>
          <w:highlight w:val="none"/>
          <w:lang w:val="en-US" w:eastAsia="zh-CN"/>
        </w:rPr>
        <w:t>0</w:t>
      </w:r>
      <w:r>
        <w:rPr>
          <w:rFonts w:hint="eastAsia" w:ascii="仿宋_GB2312" w:hAnsi="ˎ̥" w:eastAsia="仿宋_GB2312"/>
          <w:sz w:val="32"/>
          <w:szCs w:val="32"/>
          <w:highlight w:val="none"/>
        </w:rPr>
        <w:t>万元，</w:t>
      </w:r>
      <w:r>
        <w:rPr>
          <w:rFonts w:hint="eastAsia" w:ascii="仿宋_GB2312" w:hAnsi="ˎ̥" w:eastAsia="仿宋_GB2312"/>
          <w:sz w:val="32"/>
          <w:szCs w:val="32"/>
          <w:highlight w:val="none"/>
          <w:lang w:val="en-US" w:eastAsia="zh-CN"/>
        </w:rPr>
        <w:t>持平</w:t>
      </w:r>
      <w:r>
        <w:rPr>
          <w:rFonts w:hint="eastAsia" w:ascii="仿宋_GB2312" w:hAnsi="ˎ̥" w:eastAsia="仿宋_GB2312"/>
          <w:sz w:val="32"/>
          <w:szCs w:val="32"/>
          <w:highlight w:val="none"/>
        </w:rPr>
        <w:t>。</w:t>
      </w:r>
    </w:p>
    <w:p w14:paraId="01C24B26">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highlight w:val="none"/>
        </w:rPr>
        <w:t>财政拨款年末结转结余</w:t>
      </w:r>
      <w:r>
        <w:rPr>
          <w:rFonts w:hint="default" w:ascii="仿宋_GB2312" w:hAnsi="ˎ̥" w:eastAsia="仿宋_GB2312"/>
          <w:sz w:val="32"/>
          <w:szCs w:val="32"/>
          <w:highlight w:val="none"/>
          <w:lang w:val="en-US"/>
        </w:rPr>
        <w:t>0.00</w:t>
      </w:r>
      <w:r>
        <w:rPr>
          <w:rFonts w:hint="eastAsia" w:ascii="仿宋_GB2312" w:hAnsi="ˎ̥" w:eastAsia="仿宋_GB2312"/>
          <w:sz w:val="32"/>
          <w:szCs w:val="32"/>
          <w:highlight w:val="none"/>
        </w:rPr>
        <w:t>万元，较2022年</w:t>
      </w:r>
      <w:r>
        <w:rPr>
          <w:rFonts w:hint="eastAsia" w:ascii="仿宋_GB2312" w:hAnsi="ˎ̥" w:eastAsia="仿宋_GB2312"/>
          <w:sz w:val="32"/>
          <w:szCs w:val="32"/>
        </w:rPr>
        <w:t>度决算数</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val="en-US" w:eastAsia="zh-CN"/>
        </w:rPr>
        <w:t>持平</w:t>
      </w:r>
      <w:r>
        <w:rPr>
          <w:rFonts w:hint="eastAsia" w:ascii="仿宋_GB2312" w:hAnsi="ˎ̥" w:eastAsia="仿宋_GB2312"/>
          <w:sz w:val="32"/>
          <w:szCs w:val="32"/>
        </w:rPr>
        <w:t>。</w:t>
      </w:r>
    </w:p>
    <w:p w14:paraId="07CF9594">
      <w:pPr>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五、一般公共预算财政拨款支出决算情况说明</w:t>
      </w:r>
    </w:p>
    <w:p w14:paraId="0669C92D">
      <w:pPr>
        <w:spacing w:line="578" w:lineRule="exact"/>
        <w:ind w:firstLine="640" w:firstLineChars="200"/>
        <w:rPr>
          <w:rFonts w:hint="eastAsia" w:ascii="楷体" w:hAnsi="楷体" w:eastAsia="楷体" w:cs="楷体"/>
          <w:sz w:val="32"/>
          <w:szCs w:val="32"/>
        </w:rPr>
      </w:pPr>
      <w:bookmarkStart w:id="77" w:name="_Toc13694_WPSOffice_Level2"/>
      <w:bookmarkStart w:id="78" w:name="_Toc17398_WPSOffice_Level2"/>
      <w:bookmarkStart w:id="79" w:name="_Toc21737_WPSOffice_Level2"/>
      <w:bookmarkStart w:id="80" w:name="_Toc9989_WPSOffice_Level2"/>
      <w:bookmarkStart w:id="81" w:name="_Toc23005_WPSOffice_Level2"/>
      <w:bookmarkStart w:id="82" w:name="_Toc19665_WPSOffice_Level2"/>
      <w:r>
        <w:rPr>
          <w:rFonts w:hint="eastAsia" w:ascii="楷体" w:hAnsi="楷体" w:eastAsia="楷体" w:cs="楷体"/>
          <w:sz w:val="32"/>
          <w:szCs w:val="32"/>
        </w:rPr>
        <w:t>（一）一般公共预算财政拨款支出决算总体情况</w:t>
      </w:r>
      <w:bookmarkEnd w:id="77"/>
      <w:bookmarkEnd w:id="78"/>
      <w:r>
        <w:rPr>
          <w:rFonts w:hint="eastAsia" w:ascii="楷体" w:hAnsi="楷体" w:eastAsia="楷体" w:cs="楷体"/>
          <w:sz w:val="32"/>
          <w:szCs w:val="32"/>
        </w:rPr>
        <w:t>。</w:t>
      </w:r>
      <w:bookmarkEnd w:id="79"/>
      <w:bookmarkEnd w:id="80"/>
      <w:bookmarkEnd w:id="81"/>
      <w:bookmarkEnd w:id="82"/>
    </w:p>
    <w:p w14:paraId="6886E861">
      <w:pPr>
        <w:spacing w:line="578" w:lineRule="exact"/>
        <w:ind w:firstLine="640" w:firstLineChars="200"/>
        <w:rPr>
          <w:rFonts w:hint="eastAsia" w:ascii="仿宋_GB2312" w:hAnsi="ˎ̥" w:eastAsia="仿宋_GB2312"/>
          <w:sz w:val="32"/>
          <w:szCs w:val="32"/>
          <w:highlight w:val="yellow"/>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年度一般公共预算财政拨款支出</w:t>
      </w:r>
      <w:r>
        <w:rPr>
          <w:rFonts w:hint="default" w:ascii="仿宋_GB2312" w:hAnsi="ˎ̥" w:eastAsia="仿宋_GB2312"/>
          <w:sz w:val="32"/>
          <w:szCs w:val="32"/>
          <w:lang w:val="en-US"/>
        </w:rPr>
        <w:t>1,773.30</w:t>
      </w:r>
      <w:r>
        <w:rPr>
          <w:rFonts w:hint="eastAsia" w:ascii="仿宋_GB2312" w:hAnsi="ˎ̥" w:eastAsia="仿宋_GB2312"/>
          <w:sz w:val="32"/>
          <w:szCs w:val="32"/>
        </w:rPr>
        <w:t>万元，占本年支出合计的</w:t>
      </w:r>
      <w:r>
        <w:rPr>
          <w:rFonts w:hint="eastAsia" w:ascii="仿宋_GB2312" w:hAnsi="ˎ̥" w:eastAsia="仿宋_GB2312"/>
          <w:sz w:val="32"/>
          <w:szCs w:val="32"/>
          <w:lang w:val="en-US" w:eastAsia="zh-CN"/>
        </w:rPr>
        <w:t>99.43</w:t>
      </w:r>
      <w:r>
        <w:rPr>
          <w:rFonts w:hint="eastAsia" w:ascii="仿宋_GB2312" w:hAnsi="ˎ̥" w:eastAsia="仿宋_GB2312"/>
          <w:sz w:val="32"/>
          <w:szCs w:val="32"/>
        </w:rPr>
        <w:t>%。与2022年度相比，一般公共预算财政拨款支出增加</w:t>
      </w:r>
      <w:r>
        <w:rPr>
          <w:rFonts w:hint="eastAsia" w:ascii="仿宋_GB2312" w:hAnsi="ˎ̥" w:eastAsia="仿宋_GB2312"/>
          <w:sz w:val="32"/>
          <w:szCs w:val="32"/>
          <w:lang w:val="en-US" w:eastAsia="zh-CN"/>
        </w:rPr>
        <w:t>124.52</w:t>
      </w:r>
      <w:r>
        <w:rPr>
          <w:rFonts w:hint="eastAsia" w:ascii="仿宋_GB2312" w:hAnsi="ˎ̥" w:eastAsia="仿宋_GB2312"/>
          <w:sz w:val="32"/>
          <w:szCs w:val="32"/>
        </w:rPr>
        <w:t>万元，增长</w:t>
      </w:r>
      <w:r>
        <w:rPr>
          <w:rFonts w:hint="eastAsia" w:ascii="仿宋_GB2312" w:hAnsi="ˎ̥" w:eastAsia="仿宋_GB2312"/>
          <w:sz w:val="32"/>
          <w:szCs w:val="32"/>
          <w:lang w:val="en-US" w:eastAsia="zh-CN"/>
        </w:rPr>
        <w:t>7.55</w:t>
      </w:r>
      <w:r>
        <w:rPr>
          <w:rFonts w:hint="eastAsia" w:ascii="仿宋_GB2312" w:hAnsi="ˎ̥" w:eastAsia="仿宋_GB2312"/>
          <w:sz w:val="32"/>
          <w:szCs w:val="32"/>
        </w:rPr>
        <w:t>%，主要原因是</w:t>
      </w:r>
      <w:r>
        <w:rPr>
          <w:rFonts w:hint="eastAsia" w:ascii="仿宋_GB2312" w:hAnsi="ˎ̥" w:eastAsia="仿宋_GB2312"/>
          <w:color w:val="000000"/>
          <w:sz w:val="32"/>
          <w:szCs w:val="32"/>
        </w:rPr>
        <w:t>主要原因</w:t>
      </w:r>
      <w:r>
        <w:rPr>
          <w:rFonts w:hint="eastAsia" w:ascii="仿宋_GB2312" w:hAnsi="ˎ̥" w:eastAsia="仿宋_GB2312"/>
          <w:color w:val="000000"/>
          <w:sz w:val="32"/>
          <w:szCs w:val="32"/>
          <w:lang w:eastAsia="zh-CN"/>
        </w:rPr>
        <w:t>是</w:t>
      </w:r>
      <w:r>
        <w:rPr>
          <w:rFonts w:hint="eastAsia" w:ascii="仿宋_GB2312" w:hAnsi="ˎ̥" w:eastAsia="仿宋_GB2312"/>
          <w:color w:val="000000"/>
          <w:sz w:val="32"/>
          <w:szCs w:val="32"/>
        </w:rPr>
        <w:t>本年度人员工资调增</w:t>
      </w:r>
      <w:r>
        <w:rPr>
          <w:rFonts w:hint="eastAsia" w:ascii="仿宋_GB2312" w:hAnsi="ˎ̥" w:eastAsia="仿宋_GB2312"/>
          <w:color w:val="000000"/>
          <w:sz w:val="32"/>
          <w:szCs w:val="32"/>
          <w:lang w:eastAsia="zh-CN"/>
        </w:rPr>
        <w:t>、</w:t>
      </w:r>
      <w:r>
        <w:rPr>
          <w:rFonts w:hint="eastAsia" w:ascii="仿宋_GB2312" w:hAnsi="ˎ̥" w:eastAsia="仿宋_GB2312"/>
          <w:color w:val="000000"/>
          <w:sz w:val="32"/>
          <w:szCs w:val="32"/>
          <w:lang w:val="en-US" w:eastAsia="zh-CN"/>
        </w:rPr>
        <w:t>社保缴费基数</w:t>
      </w:r>
      <w:r>
        <w:rPr>
          <w:rFonts w:hint="eastAsia" w:ascii="仿宋_GB2312" w:hAnsi="ˎ̥" w:eastAsia="仿宋_GB2312"/>
          <w:color w:val="000000"/>
          <w:sz w:val="32"/>
          <w:szCs w:val="32"/>
        </w:rPr>
        <w:t>增加。</w:t>
      </w:r>
    </w:p>
    <w:p w14:paraId="3EDF5415">
      <w:pPr>
        <w:spacing w:line="578" w:lineRule="exact"/>
        <w:ind w:firstLine="640" w:firstLineChars="200"/>
        <w:rPr>
          <w:rFonts w:hint="eastAsia" w:ascii="楷体" w:hAnsi="楷体" w:eastAsia="楷体" w:cs="楷体"/>
          <w:sz w:val="32"/>
          <w:szCs w:val="32"/>
        </w:rPr>
      </w:pPr>
      <w:bookmarkStart w:id="83" w:name="_Toc2711_WPSOffice_Level2"/>
      <w:bookmarkStart w:id="84" w:name="_Toc18793_WPSOffice_Level2"/>
      <w:bookmarkStart w:id="85" w:name="_Toc27767_WPSOffice_Level2"/>
      <w:bookmarkStart w:id="86" w:name="_Toc23864_WPSOffice_Level2"/>
      <w:bookmarkStart w:id="87" w:name="_Toc19075_WPSOffice_Level2"/>
      <w:bookmarkStart w:id="88" w:name="_Toc19535_WPSOffice_Level2"/>
      <w:r>
        <w:rPr>
          <w:rFonts w:hint="eastAsia" w:ascii="楷体" w:hAnsi="楷体" w:eastAsia="楷体" w:cs="楷体"/>
          <w:sz w:val="32"/>
          <w:szCs w:val="32"/>
        </w:rPr>
        <w:t>（二）一般公共预算财政拨款支出决算结构情况</w:t>
      </w:r>
      <w:bookmarkEnd w:id="83"/>
      <w:bookmarkEnd w:id="84"/>
      <w:r>
        <w:rPr>
          <w:rFonts w:hint="eastAsia" w:ascii="楷体" w:hAnsi="楷体" w:eastAsia="楷体" w:cs="楷体"/>
          <w:sz w:val="32"/>
          <w:szCs w:val="32"/>
        </w:rPr>
        <w:t>。</w:t>
      </w:r>
      <w:bookmarkEnd w:id="85"/>
      <w:bookmarkEnd w:id="86"/>
      <w:bookmarkEnd w:id="87"/>
      <w:bookmarkEnd w:id="88"/>
    </w:p>
    <w:p w14:paraId="5375A3A3">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年度一般公共预算财政拨款支出</w:t>
      </w:r>
      <w:r>
        <w:rPr>
          <w:rFonts w:hint="default" w:ascii="仿宋_GB2312" w:hAnsi="ˎ̥" w:eastAsia="仿宋_GB2312"/>
          <w:sz w:val="32"/>
          <w:szCs w:val="32"/>
          <w:lang w:val="en-US"/>
        </w:rPr>
        <w:t>1,773.30</w:t>
      </w:r>
      <w:r>
        <w:rPr>
          <w:rFonts w:hint="eastAsia" w:ascii="仿宋_GB2312" w:hAnsi="ˎ̥" w:eastAsia="仿宋_GB2312"/>
          <w:sz w:val="32"/>
          <w:szCs w:val="32"/>
        </w:rPr>
        <w:t>万元，主要用于以下方面：</w:t>
      </w:r>
      <w:r>
        <w:rPr>
          <w:rFonts w:hint="eastAsia" w:ascii="仿宋_GB2312" w:hAnsi="ˎ̥" w:eastAsia="仿宋_GB2312" w:cs="Times New Roman"/>
          <w:b/>
          <w:sz w:val="32"/>
          <w:szCs w:val="32"/>
        </w:rPr>
        <w:t>教育支出（类）</w:t>
      </w:r>
      <w:r>
        <w:rPr>
          <w:rFonts w:hint="eastAsia" w:ascii="仿宋_GB2312" w:hAnsi="ˎ̥" w:eastAsia="仿宋_GB2312"/>
          <w:sz w:val="32"/>
          <w:szCs w:val="32"/>
        </w:rPr>
        <w:t>支出</w:t>
      </w:r>
      <w:r>
        <w:rPr>
          <w:rFonts w:hint="eastAsia" w:ascii="仿宋_GB2312" w:hAnsi="ˎ̥" w:eastAsia="仿宋_GB2312"/>
          <w:sz w:val="32"/>
          <w:szCs w:val="32"/>
          <w:lang w:val="en-US" w:eastAsia="zh-CN"/>
        </w:rPr>
        <w:t>1275.29</w:t>
      </w:r>
      <w:r>
        <w:rPr>
          <w:rFonts w:hint="eastAsia" w:ascii="仿宋_GB2312" w:hAnsi="ˎ̥" w:eastAsia="仿宋_GB2312"/>
          <w:sz w:val="32"/>
          <w:szCs w:val="32"/>
        </w:rPr>
        <w:t>万元，占</w:t>
      </w:r>
      <w:r>
        <w:rPr>
          <w:rFonts w:hint="eastAsia" w:ascii="仿宋_GB2312" w:hAnsi="ˎ̥" w:eastAsia="仿宋_GB2312"/>
          <w:sz w:val="32"/>
          <w:szCs w:val="32"/>
          <w:lang w:val="en-US" w:eastAsia="zh-CN"/>
        </w:rPr>
        <w:t>71.92</w:t>
      </w:r>
      <w:r>
        <w:rPr>
          <w:rFonts w:hint="eastAsia" w:ascii="仿宋_GB2312" w:hAnsi="ˎ̥" w:eastAsia="仿宋_GB2312"/>
          <w:sz w:val="32"/>
          <w:szCs w:val="32"/>
        </w:rPr>
        <w:t>%</w:t>
      </w:r>
      <w:r>
        <w:rPr>
          <w:rFonts w:hint="eastAsia" w:ascii="仿宋_GB2312" w:hAnsi="ˎ̥" w:eastAsia="仿宋_GB2312"/>
          <w:sz w:val="32"/>
          <w:szCs w:val="32"/>
          <w:lang w:eastAsia="zh-CN"/>
        </w:rPr>
        <w:t>；</w:t>
      </w:r>
      <w:r>
        <w:rPr>
          <w:rFonts w:hint="eastAsia" w:ascii="仿宋_GB2312" w:hAnsi="ˎ̥" w:eastAsia="仿宋_GB2312"/>
          <w:b/>
          <w:sz w:val="32"/>
          <w:szCs w:val="32"/>
        </w:rPr>
        <w:t>社会保障和就业（类）</w:t>
      </w:r>
      <w:r>
        <w:rPr>
          <w:rFonts w:hint="eastAsia" w:ascii="仿宋_GB2312" w:hAnsi="ˎ̥" w:eastAsia="仿宋_GB2312"/>
          <w:sz w:val="32"/>
          <w:szCs w:val="32"/>
        </w:rPr>
        <w:t>支出</w:t>
      </w:r>
      <w:r>
        <w:rPr>
          <w:rFonts w:hint="eastAsia" w:ascii="仿宋_GB2312" w:hAnsi="ˎ̥" w:eastAsia="仿宋_GB2312"/>
          <w:sz w:val="32"/>
          <w:szCs w:val="32"/>
          <w:lang w:val="en-US" w:eastAsia="zh-CN"/>
        </w:rPr>
        <w:t>217.80</w:t>
      </w:r>
      <w:r>
        <w:rPr>
          <w:rFonts w:hint="eastAsia" w:ascii="仿宋_GB2312" w:hAnsi="ˎ̥" w:eastAsia="仿宋_GB2312"/>
          <w:sz w:val="32"/>
          <w:szCs w:val="32"/>
        </w:rPr>
        <w:t>万元，占</w:t>
      </w:r>
      <w:r>
        <w:rPr>
          <w:rFonts w:hint="eastAsia" w:ascii="仿宋_GB2312" w:hAnsi="ˎ̥" w:eastAsia="仿宋_GB2312"/>
          <w:sz w:val="32"/>
          <w:szCs w:val="32"/>
          <w:lang w:val="en-US" w:eastAsia="zh-CN"/>
        </w:rPr>
        <w:t>12.28</w:t>
      </w:r>
      <w:r>
        <w:rPr>
          <w:rFonts w:hint="eastAsia" w:ascii="仿宋_GB2312" w:hAnsi="ˎ̥" w:eastAsia="仿宋_GB2312"/>
          <w:sz w:val="32"/>
          <w:szCs w:val="32"/>
        </w:rPr>
        <w:t>%；</w:t>
      </w:r>
      <w:r>
        <w:rPr>
          <w:rFonts w:hint="eastAsia" w:ascii="仿宋_GB2312" w:hAnsi="ˎ̥" w:eastAsia="仿宋_GB2312"/>
          <w:b/>
          <w:bCs/>
          <w:color w:val="000000"/>
          <w:sz w:val="32"/>
          <w:szCs w:val="32"/>
          <w:lang w:eastAsia="zh-CN"/>
        </w:rPr>
        <w:t>卫生健康</w:t>
      </w:r>
      <w:r>
        <w:rPr>
          <w:rFonts w:hint="eastAsia" w:ascii="仿宋_GB2312" w:hAnsi="ˎ̥" w:eastAsia="仿宋_GB2312"/>
          <w:b/>
          <w:bCs/>
          <w:color w:val="000000"/>
          <w:sz w:val="32"/>
          <w:szCs w:val="32"/>
        </w:rPr>
        <w:t>（类）</w:t>
      </w:r>
      <w:r>
        <w:rPr>
          <w:rFonts w:hint="eastAsia" w:ascii="仿宋_GB2312" w:hAnsi="ˎ̥" w:eastAsia="仿宋_GB2312"/>
          <w:color w:val="000000"/>
          <w:sz w:val="32"/>
          <w:szCs w:val="32"/>
        </w:rPr>
        <w:t>支出</w:t>
      </w:r>
      <w:r>
        <w:rPr>
          <w:rFonts w:hint="eastAsia" w:ascii="仿宋_GB2312" w:hAnsi="ˎ̥" w:eastAsia="仿宋_GB2312"/>
          <w:color w:val="000000"/>
          <w:sz w:val="32"/>
          <w:szCs w:val="32"/>
          <w:lang w:val="en-US" w:eastAsia="zh-CN"/>
        </w:rPr>
        <w:t>172.23</w:t>
      </w:r>
      <w:r>
        <w:rPr>
          <w:rFonts w:hint="eastAsia" w:ascii="仿宋_GB2312" w:hAnsi="ˎ̥" w:eastAsia="仿宋_GB2312"/>
          <w:color w:val="000000"/>
          <w:sz w:val="32"/>
          <w:szCs w:val="32"/>
        </w:rPr>
        <w:t>万元</w:t>
      </w:r>
      <w:r>
        <w:rPr>
          <w:rFonts w:hint="eastAsia" w:ascii="仿宋_GB2312" w:hAnsi="ˎ̥" w:eastAsia="仿宋_GB2312"/>
          <w:color w:val="000000"/>
          <w:sz w:val="32"/>
          <w:szCs w:val="32"/>
          <w:lang w:eastAsia="zh-CN"/>
        </w:rPr>
        <w:t>，</w:t>
      </w:r>
      <w:r>
        <w:rPr>
          <w:rFonts w:hint="eastAsia" w:ascii="仿宋_GB2312" w:hAnsi="ˎ̥" w:eastAsia="仿宋_GB2312"/>
          <w:sz w:val="32"/>
          <w:szCs w:val="32"/>
        </w:rPr>
        <w:t>占</w:t>
      </w:r>
      <w:r>
        <w:rPr>
          <w:rFonts w:hint="eastAsia" w:ascii="仿宋_GB2312" w:hAnsi="ˎ̥" w:eastAsia="仿宋_GB2312"/>
          <w:sz w:val="32"/>
          <w:szCs w:val="32"/>
          <w:lang w:val="en-US" w:eastAsia="zh-CN"/>
        </w:rPr>
        <w:t>9.71</w:t>
      </w:r>
      <w:r>
        <w:rPr>
          <w:rFonts w:hint="eastAsia" w:ascii="仿宋_GB2312" w:hAnsi="ˎ̥" w:eastAsia="仿宋_GB2312"/>
          <w:sz w:val="32"/>
          <w:szCs w:val="32"/>
        </w:rPr>
        <w:t>%</w:t>
      </w:r>
      <w:r>
        <w:rPr>
          <w:rFonts w:hint="eastAsia" w:ascii="仿宋_GB2312" w:hAnsi="ˎ̥" w:eastAsia="仿宋_GB2312"/>
          <w:color w:val="000000"/>
          <w:sz w:val="32"/>
          <w:szCs w:val="32"/>
          <w:lang w:eastAsia="zh-CN"/>
        </w:rPr>
        <w:t>；</w:t>
      </w:r>
      <w:r>
        <w:rPr>
          <w:rFonts w:hint="eastAsia" w:ascii="仿宋_GB2312" w:hAnsi="ˎ̥" w:eastAsia="仿宋_GB2312"/>
          <w:b/>
          <w:bCs/>
          <w:sz w:val="32"/>
          <w:szCs w:val="32"/>
        </w:rPr>
        <w:t>住房保障（类）</w:t>
      </w:r>
      <w:r>
        <w:rPr>
          <w:rFonts w:hint="eastAsia" w:ascii="仿宋_GB2312" w:hAnsi="ˎ̥" w:eastAsia="仿宋_GB2312"/>
          <w:sz w:val="32"/>
          <w:szCs w:val="32"/>
        </w:rPr>
        <w:t>支出</w:t>
      </w:r>
      <w:r>
        <w:rPr>
          <w:rFonts w:hint="eastAsia" w:ascii="仿宋_GB2312" w:hAnsi="ˎ̥" w:eastAsia="仿宋_GB2312"/>
          <w:sz w:val="32"/>
          <w:szCs w:val="32"/>
          <w:lang w:val="en-US" w:eastAsia="zh-CN"/>
        </w:rPr>
        <w:t>107.98</w:t>
      </w:r>
      <w:r>
        <w:rPr>
          <w:rFonts w:hint="eastAsia" w:ascii="仿宋_GB2312" w:hAnsi="ˎ̥" w:eastAsia="仿宋_GB2312"/>
          <w:sz w:val="32"/>
          <w:szCs w:val="32"/>
        </w:rPr>
        <w:t>万元，占</w:t>
      </w:r>
      <w:r>
        <w:rPr>
          <w:rFonts w:hint="eastAsia" w:ascii="仿宋_GB2312" w:hAnsi="ˎ̥" w:eastAsia="仿宋_GB2312"/>
          <w:sz w:val="32"/>
          <w:szCs w:val="32"/>
          <w:lang w:val="en-US" w:eastAsia="zh-CN"/>
        </w:rPr>
        <w:t>6.09</w:t>
      </w:r>
      <w:r>
        <w:rPr>
          <w:rFonts w:hint="eastAsia" w:ascii="仿宋_GB2312" w:hAnsi="ˎ̥" w:eastAsia="仿宋_GB2312"/>
          <w:sz w:val="32"/>
          <w:szCs w:val="32"/>
        </w:rPr>
        <w:t>%。</w:t>
      </w:r>
    </w:p>
    <w:p w14:paraId="58B53BFA">
      <w:pPr>
        <w:spacing w:line="578" w:lineRule="exact"/>
        <w:ind w:firstLine="640" w:firstLineChars="200"/>
        <w:rPr>
          <w:rFonts w:hint="eastAsia" w:ascii="楷体" w:hAnsi="楷体" w:eastAsia="楷体" w:cs="楷体"/>
          <w:sz w:val="32"/>
          <w:szCs w:val="32"/>
        </w:rPr>
      </w:pPr>
      <w:bookmarkStart w:id="89" w:name="_Toc22318_WPSOffice_Level2"/>
      <w:bookmarkStart w:id="90" w:name="_Toc15415_WPSOffice_Level2"/>
      <w:bookmarkStart w:id="91" w:name="_Toc25136_WPSOffice_Level2"/>
      <w:bookmarkStart w:id="92" w:name="_Toc9502_WPSOffice_Level2"/>
      <w:bookmarkStart w:id="93" w:name="_Toc29364_WPSOffice_Level2"/>
      <w:bookmarkStart w:id="94" w:name="_Toc21701_WPSOffice_Level2"/>
      <w:r>
        <w:rPr>
          <w:rFonts w:hint="eastAsia" w:ascii="楷体" w:hAnsi="楷体" w:eastAsia="楷体" w:cs="楷体"/>
          <w:sz w:val="32"/>
          <w:szCs w:val="32"/>
        </w:rPr>
        <w:t>（三）一般公共预算财政拨款支出决算具体情况。</w:t>
      </w:r>
      <w:bookmarkEnd w:id="89"/>
      <w:bookmarkEnd w:id="90"/>
      <w:bookmarkEnd w:id="91"/>
      <w:bookmarkEnd w:id="92"/>
      <w:bookmarkEnd w:id="93"/>
      <w:bookmarkEnd w:id="94"/>
    </w:p>
    <w:p w14:paraId="750230DD">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年度一般公共预算财政拨款支出年初预算为</w:t>
      </w:r>
      <w:r>
        <w:rPr>
          <w:rFonts w:hint="eastAsia" w:ascii="仿宋_GB2312" w:hAnsi="ˎ̥" w:eastAsia="仿宋_GB2312"/>
          <w:sz w:val="32"/>
          <w:szCs w:val="32"/>
          <w:lang w:val="en-US" w:eastAsia="zh-CN"/>
        </w:rPr>
        <w:t>1808.97</w:t>
      </w:r>
      <w:r>
        <w:rPr>
          <w:rFonts w:hint="eastAsia" w:ascii="仿宋_GB2312" w:hAnsi="ˎ̥" w:eastAsia="仿宋_GB2312"/>
          <w:sz w:val="32"/>
          <w:szCs w:val="32"/>
        </w:rPr>
        <w:t>万元，支出决算为</w:t>
      </w:r>
      <w:r>
        <w:rPr>
          <w:rFonts w:hint="default" w:ascii="仿宋_GB2312" w:hAnsi="ˎ̥" w:eastAsia="仿宋_GB2312"/>
          <w:sz w:val="32"/>
          <w:szCs w:val="32"/>
          <w:lang w:val="en-US"/>
        </w:rPr>
        <w:t>1,773.30</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98.03</w:t>
      </w:r>
      <w:r>
        <w:rPr>
          <w:rFonts w:hint="eastAsia" w:ascii="仿宋_GB2312" w:hAnsi="ˎ̥" w:eastAsia="仿宋_GB2312"/>
          <w:sz w:val="32"/>
          <w:szCs w:val="32"/>
        </w:rPr>
        <w:t>%。其中：</w:t>
      </w:r>
    </w:p>
    <w:p w14:paraId="4C48CCA5">
      <w:pPr>
        <w:spacing w:line="578" w:lineRule="exact"/>
        <w:ind w:firstLine="643" w:firstLineChars="200"/>
        <w:rPr>
          <w:rFonts w:hint="eastAsia" w:ascii="仿宋_GB2312" w:hAnsi="ˎ̥" w:eastAsia="仿宋_GB2312" w:cs="Times New Roman"/>
          <w:b/>
          <w:sz w:val="32"/>
          <w:szCs w:val="32"/>
        </w:rPr>
      </w:pPr>
      <w:r>
        <w:rPr>
          <w:rFonts w:hint="eastAsia" w:ascii="仿宋_GB2312" w:hAnsi="ˎ̥" w:eastAsia="仿宋_GB2312" w:cs="Times New Roman"/>
          <w:b/>
          <w:sz w:val="32"/>
          <w:szCs w:val="32"/>
        </w:rPr>
        <w:t>1.教育支出（类）普通教育</w:t>
      </w:r>
      <w:r>
        <w:rPr>
          <w:rFonts w:hint="eastAsia" w:ascii="仿宋_GB2312" w:hAnsi="ˎ̥" w:eastAsia="仿宋_GB2312" w:cs="Times New Roman"/>
          <w:b/>
          <w:sz w:val="32"/>
          <w:szCs w:val="32"/>
          <w:lang w:eastAsia="zh-CN"/>
        </w:rPr>
        <w:t>（</w:t>
      </w:r>
      <w:r>
        <w:rPr>
          <w:rFonts w:hint="eastAsia" w:ascii="仿宋_GB2312" w:hAnsi="ˎ̥" w:eastAsia="仿宋_GB2312" w:cs="Times New Roman"/>
          <w:b/>
          <w:sz w:val="32"/>
          <w:szCs w:val="32"/>
          <w:lang w:val="en-US" w:eastAsia="zh-CN"/>
        </w:rPr>
        <w:t>款</w:t>
      </w:r>
      <w:r>
        <w:rPr>
          <w:rFonts w:hint="eastAsia" w:ascii="仿宋_GB2312" w:hAnsi="ˎ̥" w:eastAsia="仿宋_GB2312" w:cs="Times New Roman"/>
          <w:b/>
          <w:sz w:val="32"/>
          <w:szCs w:val="32"/>
          <w:lang w:eastAsia="zh-CN"/>
        </w:rPr>
        <w:t>）小学教育（</w:t>
      </w:r>
      <w:r>
        <w:rPr>
          <w:rFonts w:hint="eastAsia" w:ascii="仿宋_GB2312" w:hAnsi="ˎ̥" w:eastAsia="仿宋_GB2312" w:cs="Times New Roman"/>
          <w:b/>
          <w:sz w:val="32"/>
          <w:szCs w:val="32"/>
          <w:lang w:val="en-US" w:eastAsia="zh-CN"/>
        </w:rPr>
        <w:t>项</w:t>
      </w:r>
      <w:r>
        <w:rPr>
          <w:rFonts w:hint="eastAsia" w:ascii="仿宋_GB2312" w:hAnsi="ˎ̥" w:eastAsia="仿宋_GB2312" w:cs="Times New Roman"/>
          <w:b/>
          <w:sz w:val="32"/>
          <w:szCs w:val="32"/>
          <w:lang w:eastAsia="zh-CN"/>
        </w:rPr>
        <w:t>）</w:t>
      </w:r>
      <w:r>
        <w:rPr>
          <w:rFonts w:hint="eastAsia" w:ascii="仿宋_GB2312" w:hAnsi="ˎ̥" w:eastAsia="仿宋_GB2312"/>
          <w:b/>
          <w:sz w:val="32"/>
          <w:szCs w:val="32"/>
        </w:rPr>
        <w:t>。</w:t>
      </w:r>
    </w:p>
    <w:p w14:paraId="6E359889">
      <w:pPr>
        <w:spacing w:line="578" w:lineRule="exact"/>
        <w:rPr>
          <w:rFonts w:hint="eastAsia" w:ascii="仿宋_GB2312" w:hAnsi="ˎ̥" w:eastAsia="仿宋_GB2312"/>
          <w:sz w:val="32"/>
          <w:szCs w:val="32"/>
          <w:lang w:eastAsia="zh-CN"/>
        </w:rPr>
      </w:pPr>
      <w:r>
        <w:rPr>
          <w:rFonts w:hint="eastAsia" w:ascii="仿宋_GB2312" w:hAnsi="黑体" w:eastAsia="仿宋_GB2312"/>
          <w:sz w:val="32"/>
          <w:szCs w:val="32"/>
        </w:rPr>
        <w:t>2023</w:t>
      </w:r>
      <w:r>
        <w:rPr>
          <w:rFonts w:hint="eastAsia" w:ascii="仿宋_GB2312" w:hAnsi="ˎ̥" w:eastAsia="仿宋_GB2312"/>
          <w:sz w:val="32"/>
          <w:szCs w:val="32"/>
        </w:rPr>
        <w:t>年初预算为</w:t>
      </w:r>
      <w:r>
        <w:rPr>
          <w:rFonts w:hint="eastAsia" w:ascii="仿宋_GB2312" w:hAnsi="黑体" w:eastAsia="仿宋_GB2312"/>
          <w:sz w:val="32"/>
          <w:szCs w:val="32"/>
          <w:lang w:val="en-US" w:eastAsia="zh-CN"/>
        </w:rPr>
        <w:t>1258.21</w:t>
      </w:r>
      <w:r>
        <w:rPr>
          <w:rFonts w:hint="eastAsia" w:ascii="仿宋_GB2312" w:hAnsi="ˎ̥" w:eastAsia="仿宋_GB2312"/>
          <w:sz w:val="32"/>
          <w:szCs w:val="32"/>
        </w:rPr>
        <w:t>万元，支出决算为</w:t>
      </w:r>
      <w:r>
        <w:rPr>
          <w:rFonts w:hint="eastAsia" w:ascii="仿宋_GB2312" w:hAnsi="ˎ̥" w:eastAsia="仿宋_GB2312"/>
          <w:sz w:val="32"/>
          <w:szCs w:val="32"/>
          <w:lang w:val="en-US" w:eastAsia="zh-CN"/>
        </w:rPr>
        <w:t>1275.29</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101.36</w:t>
      </w:r>
      <w:r>
        <w:rPr>
          <w:rFonts w:hint="eastAsia" w:ascii="仿宋_GB2312" w:hAnsi="ˎ̥" w:eastAsia="仿宋_GB2312"/>
          <w:sz w:val="32"/>
          <w:szCs w:val="32"/>
        </w:rPr>
        <w:t>%。决算数大于预算数的主要</w:t>
      </w:r>
      <w:r>
        <w:rPr>
          <w:rFonts w:hint="eastAsia" w:ascii="仿宋_GB2312" w:hAnsi="ˎ̥" w:eastAsia="仿宋_GB2312"/>
          <w:sz w:val="32"/>
          <w:szCs w:val="32"/>
          <w:highlight w:val="none"/>
        </w:rPr>
        <w:t>原因：</w:t>
      </w:r>
      <w:r>
        <w:rPr>
          <w:rFonts w:hint="eastAsia" w:ascii="仿宋_GB2312" w:hAnsi="ˎ̥" w:eastAsia="仿宋_GB2312"/>
          <w:color w:val="000000"/>
          <w:sz w:val="32"/>
          <w:szCs w:val="32"/>
          <w:highlight w:val="none"/>
        </w:rPr>
        <w:t>本年度人</w:t>
      </w:r>
      <w:r>
        <w:rPr>
          <w:rFonts w:hint="eastAsia" w:ascii="仿宋_GB2312" w:hAnsi="ˎ̥" w:eastAsia="仿宋_GB2312"/>
          <w:color w:val="000000"/>
          <w:sz w:val="32"/>
          <w:szCs w:val="32"/>
        </w:rPr>
        <w:t>员工资调增</w:t>
      </w:r>
      <w:r>
        <w:rPr>
          <w:rFonts w:hint="eastAsia" w:ascii="仿宋_GB2312" w:hAnsi="ˎ̥" w:eastAsia="仿宋_GB2312"/>
          <w:color w:val="000000"/>
          <w:sz w:val="32"/>
          <w:szCs w:val="32"/>
          <w:lang w:eastAsia="zh-CN"/>
        </w:rPr>
        <w:t>、</w:t>
      </w:r>
      <w:r>
        <w:rPr>
          <w:rFonts w:hint="eastAsia" w:ascii="仿宋_GB2312" w:hAnsi="ˎ̥" w:eastAsia="仿宋_GB2312"/>
          <w:color w:val="000000"/>
          <w:sz w:val="32"/>
          <w:szCs w:val="32"/>
          <w:lang w:val="en-US" w:eastAsia="zh-CN"/>
        </w:rPr>
        <w:t>社保缴费基数</w:t>
      </w:r>
      <w:r>
        <w:rPr>
          <w:rFonts w:hint="eastAsia" w:ascii="仿宋_GB2312" w:hAnsi="ˎ̥" w:eastAsia="仿宋_GB2312"/>
          <w:color w:val="000000"/>
          <w:sz w:val="32"/>
          <w:szCs w:val="32"/>
        </w:rPr>
        <w:t>增加</w:t>
      </w:r>
      <w:r>
        <w:rPr>
          <w:rFonts w:hint="eastAsia" w:ascii="仿宋_GB2312" w:hAnsi="ˎ̥" w:eastAsia="仿宋_GB2312"/>
          <w:color w:val="000000"/>
          <w:sz w:val="32"/>
          <w:szCs w:val="32"/>
          <w:lang w:eastAsia="zh-CN"/>
        </w:rPr>
        <w:t>。</w:t>
      </w:r>
    </w:p>
    <w:p w14:paraId="14770E4C">
      <w:pPr>
        <w:numPr>
          <w:ilvl w:val="0"/>
          <w:numId w:val="0"/>
        </w:numPr>
        <w:spacing w:line="578" w:lineRule="exact"/>
        <w:ind w:firstLine="643" w:firstLineChars="200"/>
        <w:rPr>
          <w:rFonts w:hint="eastAsia" w:ascii="仿宋_GB2312" w:hAnsi="ˎ̥" w:eastAsia="仿宋_GB2312"/>
          <w:b/>
          <w:sz w:val="32"/>
          <w:szCs w:val="32"/>
        </w:rPr>
      </w:pPr>
      <w:r>
        <w:rPr>
          <w:rFonts w:hint="eastAsia" w:ascii="仿宋_GB2312" w:hAnsi="ˎ̥" w:eastAsia="仿宋_GB2312"/>
          <w:b/>
          <w:sz w:val="32"/>
          <w:szCs w:val="32"/>
          <w:lang w:val="en-US" w:eastAsia="zh-CN"/>
        </w:rPr>
        <w:t>2.</w:t>
      </w:r>
      <w:r>
        <w:rPr>
          <w:rFonts w:hint="eastAsia" w:ascii="仿宋_GB2312" w:hAnsi="ˎ̥" w:eastAsia="仿宋_GB2312"/>
          <w:b/>
          <w:sz w:val="32"/>
          <w:szCs w:val="32"/>
        </w:rPr>
        <w:t>社会保障和就业（类）。</w:t>
      </w:r>
    </w:p>
    <w:p w14:paraId="41DCF581">
      <w:pPr>
        <w:numPr>
          <w:ilvl w:val="0"/>
          <w:numId w:val="0"/>
        </w:numPr>
        <w:spacing w:line="578" w:lineRule="exact"/>
        <w:ind w:firstLine="320" w:firstLineChars="100"/>
        <w:rPr>
          <w:rFonts w:hint="eastAsia" w:ascii="仿宋_GB2312" w:hAnsi="ˎ̥" w:eastAsia="仿宋_GB2312"/>
          <w:sz w:val="32"/>
          <w:szCs w:val="32"/>
          <w:lang w:val="en-US" w:eastAsia="zh-CN"/>
        </w:rPr>
      </w:pPr>
      <w:r>
        <w:rPr>
          <w:rFonts w:hint="default" w:ascii="仿宋_GB2312" w:hAnsi="黑体" w:eastAsia="仿宋_GB2312"/>
          <w:sz w:val="32"/>
          <w:szCs w:val="32"/>
        </w:rPr>
        <w:t>202</w:t>
      </w:r>
      <w:r>
        <w:rPr>
          <w:rFonts w:hint="eastAsia" w:ascii="仿宋_GB2312" w:hAnsi="黑体" w:eastAsia="仿宋_GB2312"/>
          <w:sz w:val="32"/>
          <w:szCs w:val="32"/>
          <w:lang w:val="en-US" w:eastAsia="zh-CN"/>
        </w:rPr>
        <w:t>3</w:t>
      </w:r>
      <w:r>
        <w:rPr>
          <w:rFonts w:hint="default" w:ascii="仿宋_GB2312" w:hAnsi="黑体" w:eastAsia="仿宋_GB2312"/>
          <w:sz w:val="32"/>
          <w:szCs w:val="32"/>
        </w:rPr>
        <w:t>年预算数为</w:t>
      </w:r>
      <w:r>
        <w:rPr>
          <w:rFonts w:hint="eastAsia" w:ascii="仿宋_GB2312" w:hAnsi="黑体" w:eastAsia="仿宋_GB2312"/>
          <w:sz w:val="32"/>
          <w:szCs w:val="32"/>
          <w:lang w:val="en-US" w:eastAsia="zh-CN"/>
        </w:rPr>
        <w:t>221.85</w:t>
      </w:r>
      <w:r>
        <w:rPr>
          <w:rFonts w:hint="default" w:ascii="仿宋_GB2312" w:hAnsi="黑体" w:eastAsia="仿宋_GB2312"/>
          <w:sz w:val="32"/>
          <w:szCs w:val="32"/>
        </w:rPr>
        <w:t>万元，</w:t>
      </w:r>
      <w:r>
        <w:rPr>
          <w:rFonts w:hint="eastAsia" w:ascii="仿宋_GB2312" w:hAnsi="ˎ̥" w:eastAsia="仿宋_GB2312"/>
          <w:sz w:val="32"/>
          <w:szCs w:val="32"/>
        </w:rPr>
        <w:t>支出决算为</w:t>
      </w:r>
      <w:r>
        <w:rPr>
          <w:rFonts w:hint="eastAsia" w:ascii="仿宋_GB2312" w:hAnsi="ˎ̥" w:eastAsia="仿宋_GB2312"/>
          <w:sz w:val="32"/>
          <w:szCs w:val="32"/>
          <w:lang w:val="en-US" w:eastAsia="zh-CN"/>
        </w:rPr>
        <w:t>217.80</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98.17</w:t>
      </w:r>
      <w:r>
        <w:rPr>
          <w:rFonts w:hint="eastAsia" w:ascii="仿宋_GB2312" w:hAnsi="ˎ̥" w:eastAsia="仿宋_GB2312"/>
          <w:sz w:val="32"/>
          <w:szCs w:val="32"/>
        </w:rPr>
        <w:t>%。决算数小于预算数的主要原因</w:t>
      </w:r>
      <w:r>
        <w:rPr>
          <w:rFonts w:hint="eastAsia" w:ascii="仿宋_GB2312" w:hAnsi="ˎ̥" w:eastAsia="仿宋_GB2312"/>
          <w:sz w:val="32"/>
          <w:szCs w:val="32"/>
          <w:lang w:eastAsia="zh-CN"/>
        </w:rPr>
        <w:t>：</w:t>
      </w:r>
      <w:r>
        <w:rPr>
          <w:rFonts w:hint="eastAsia" w:ascii="仿宋_GB2312" w:hAnsi="ˎ̥" w:eastAsia="仿宋_GB2312"/>
          <w:sz w:val="32"/>
          <w:szCs w:val="32"/>
          <w:lang w:val="en-US" w:eastAsia="zh-CN"/>
        </w:rPr>
        <w:t>人员调出（2月份和3月份各1人）后没有新增人员，导致实际发生职业年金缴费支出决算数小于预算数。</w:t>
      </w:r>
    </w:p>
    <w:p w14:paraId="37796BD4">
      <w:pPr>
        <w:numPr>
          <w:ilvl w:val="0"/>
          <w:numId w:val="0"/>
        </w:numPr>
        <w:spacing w:line="578" w:lineRule="exact"/>
        <w:ind w:firstLine="643" w:firstLineChars="200"/>
        <w:rPr>
          <w:rFonts w:hint="eastAsia" w:ascii="仿宋_GB2312" w:hAnsi="ˎ̥" w:eastAsia="仿宋_GB2312"/>
          <w:b/>
          <w:bCs/>
          <w:color w:val="000000"/>
          <w:sz w:val="32"/>
          <w:szCs w:val="32"/>
        </w:rPr>
      </w:pPr>
      <w:r>
        <w:rPr>
          <w:rFonts w:hint="eastAsia" w:ascii="仿宋_GB2312" w:hAnsi="ˎ̥" w:eastAsia="仿宋_GB2312"/>
          <w:b/>
          <w:sz w:val="32"/>
          <w:szCs w:val="32"/>
          <w:lang w:val="en-US" w:eastAsia="zh-CN"/>
        </w:rPr>
        <w:t> 3.</w:t>
      </w:r>
      <w:r>
        <w:rPr>
          <w:rFonts w:hint="eastAsia" w:ascii="仿宋_GB2312" w:hAnsi="ˎ̥" w:eastAsia="仿宋_GB2312"/>
          <w:b/>
          <w:bCs/>
          <w:color w:val="000000"/>
          <w:sz w:val="32"/>
          <w:szCs w:val="32"/>
          <w:lang w:eastAsia="zh-CN"/>
        </w:rPr>
        <w:t>卫生健康</w:t>
      </w:r>
      <w:r>
        <w:rPr>
          <w:rFonts w:hint="eastAsia" w:ascii="仿宋_GB2312" w:hAnsi="ˎ̥" w:eastAsia="仿宋_GB2312"/>
          <w:b/>
          <w:bCs/>
          <w:color w:val="000000"/>
          <w:sz w:val="32"/>
          <w:szCs w:val="32"/>
        </w:rPr>
        <w:t>（类）行政事业单位医疗</w:t>
      </w:r>
      <w:r>
        <w:rPr>
          <w:rFonts w:hint="eastAsia" w:ascii="仿宋_GB2312" w:hAnsi="ˎ̥" w:eastAsia="仿宋_GB2312" w:cs="Times New Roman"/>
          <w:b/>
          <w:sz w:val="32"/>
          <w:szCs w:val="32"/>
          <w:lang w:eastAsia="zh-CN"/>
        </w:rPr>
        <w:t>（</w:t>
      </w:r>
      <w:r>
        <w:rPr>
          <w:rFonts w:hint="eastAsia" w:ascii="仿宋_GB2312" w:hAnsi="ˎ̥" w:eastAsia="仿宋_GB2312" w:cs="Times New Roman"/>
          <w:b/>
          <w:sz w:val="32"/>
          <w:szCs w:val="32"/>
          <w:lang w:val="en-US" w:eastAsia="zh-CN"/>
        </w:rPr>
        <w:t>款</w:t>
      </w:r>
      <w:r>
        <w:rPr>
          <w:rFonts w:hint="eastAsia" w:ascii="仿宋_GB2312" w:hAnsi="ˎ̥" w:eastAsia="仿宋_GB2312" w:cs="Times New Roman"/>
          <w:b/>
          <w:sz w:val="32"/>
          <w:szCs w:val="32"/>
          <w:lang w:eastAsia="zh-CN"/>
        </w:rPr>
        <w:t>）</w:t>
      </w:r>
      <w:r>
        <w:rPr>
          <w:rFonts w:hint="eastAsia" w:ascii="仿宋_GB2312" w:hAnsi="ˎ̥" w:eastAsia="仿宋_GB2312"/>
          <w:b/>
          <w:sz w:val="32"/>
          <w:szCs w:val="32"/>
        </w:rPr>
        <w:t>。</w:t>
      </w:r>
    </w:p>
    <w:p w14:paraId="1CF6DD56">
      <w:pPr>
        <w:numPr>
          <w:ilvl w:val="0"/>
          <w:numId w:val="0"/>
        </w:numPr>
        <w:spacing w:line="578" w:lineRule="exact"/>
        <w:ind w:firstLine="320" w:firstLineChars="100"/>
        <w:rPr>
          <w:rFonts w:hint="eastAsia" w:ascii="仿宋_GB2312" w:hAnsi="ˎ̥" w:eastAsia="仿宋_GB2312"/>
          <w:sz w:val="32"/>
          <w:szCs w:val="32"/>
          <w:highlight w:val="none"/>
        </w:rPr>
      </w:pPr>
      <w:r>
        <w:rPr>
          <w:rFonts w:hint="default" w:ascii="仿宋_GB2312" w:hAnsi="黑体" w:eastAsia="仿宋_GB2312"/>
          <w:sz w:val="32"/>
          <w:szCs w:val="32"/>
        </w:rPr>
        <w:t>202</w:t>
      </w:r>
      <w:r>
        <w:rPr>
          <w:rFonts w:hint="eastAsia" w:ascii="仿宋_GB2312" w:hAnsi="黑体" w:eastAsia="仿宋_GB2312"/>
          <w:sz w:val="32"/>
          <w:szCs w:val="32"/>
          <w:lang w:val="en-US" w:eastAsia="zh-CN"/>
        </w:rPr>
        <w:t>3</w:t>
      </w:r>
      <w:r>
        <w:rPr>
          <w:rFonts w:hint="default" w:ascii="仿宋_GB2312" w:hAnsi="黑体" w:eastAsia="仿宋_GB2312"/>
          <w:sz w:val="32"/>
          <w:szCs w:val="32"/>
        </w:rPr>
        <w:t>年预算数为</w:t>
      </w:r>
      <w:r>
        <w:rPr>
          <w:rFonts w:hint="eastAsia" w:ascii="仿宋_GB2312" w:hAnsi="黑体" w:eastAsia="仿宋_GB2312"/>
          <w:sz w:val="32"/>
          <w:szCs w:val="32"/>
          <w:lang w:val="en-US" w:eastAsia="zh-CN"/>
        </w:rPr>
        <w:t>230.64</w:t>
      </w:r>
      <w:r>
        <w:rPr>
          <w:rFonts w:hint="default" w:ascii="仿宋_GB2312" w:hAnsi="黑体" w:eastAsia="仿宋_GB2312"/>
          <w:sz w:val="32"/>
          <w:szCs w:val="32"/>
        </w:rPr>
        <w:t>万元，</w:t>
      </w:r>
      <w:r>
        <w:rPr>
          <w:rFonts w:hint="eastAsia" w:ascii="仿宋_GB2312" w:hAnsi="ˎ̥" w:eastAsia="仿宋_GB2312"/>
          <w:sz w:val="32"/>
          <w:szCs w:val="32"/>
        </w:rPr>
        <w:t>支出决算为</w:t>
      </w:r>
      <w:r>
        <w:rPr>
          <w:rFonts w:hint="eastAsia" w:ascii="仿宋_GB2312" w:hAnsi="ˎ̥" w:eastAsia="仿宋_GB2312"/>
          <w:sz w:val="32"/>
          <w:szCs w:val="32"/>
          <w:lang w:val="en-US" w:eastAsia="zh-CN"/>
        </w:rPr>
        <w:t>172.23</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74.67</w:t>
      </w:r>
      <w:r>
        <w:rPr>
          <w:rFonts w:hint="eastAsia" w:ascii="仿宋_GB2312" w:hAnsi="ˎ̥" w:eastAsia="仿宋_GB2312"/>
          <w:sz w:val="32"/>
          <w:szCs w:val="32"/>
        </w:rPr>
        <w:t>%。决算数小于预算数的主要原因：</w:t>
      </w:r>
      <w:r>
        <w:rPr>
          <w:rFonts w:hint="eastAsia" w:ascii="仿宋_GB2312" w:hAnsi="ˎ̥" w:eastAsia="仿宋_GB2312"/>
          <w:sz w:val="32"/>
          <w:szCs w:val="32"/>
          <w:highlight w:val="none"/>
        </w:rPr>
        <w:t>一是</w:t>
      </w:r>
      <w:r>
        <w:rPr>
          <w:rFonts w:hint="eastAsia" w:ascii="仿宋_GB2312" w:hAnsi="ˎ̥" w:eastAsia="仿宋_GB2312"/>
          <w:sz w:val="32"/>
          <w:szCs w:val="32"/>
          <w:highlight w:val="none"/>
          <w:lang w:val="en-US" w:eastAsia="zh-CN"/>
        </w:rPr>
        <w:t>人员调出</w:t>
      </w:r>
      <w:r>
        <w:rPr>
          <w:rFonts w:hint="eastAsia" w:ascii="仿宋_GB2312" w:hAnsi="ˎ̥" w:eastAsia="仿宋_GB2312"/>
          <w:sz w:val="32"/>
          <w:szCs w:val="32"/>
          <w:lang w:val="en-US" w:eastAsia="zh-CN"/>
        </w:rPr>
        <w:t>（2月份和3月份各1人）后没有新增人员</w:t>
      </w:r>
      <w:r>
        <w:rPr>
          <w:rFonts w:hint="eastAsia" w:ascii="仿宋_GB2312" w:hAnsi="ˎ̥" w:eastAsia="仿宋_GB2312"/>
          <w:sz w:val="32"/>
          <w:szCs w:val="32"/>
          <w:highlight w:val="none"/>
        </w:rPr>
        <w:t>；二是</w:t>
      </w:r>
      <w:r>
        <w:rPr>
          <w:rFonts w:hint="eastAsia" w:ascii="仿宋_GB2312" w:hAnsi="ˎ̥" w:eastAsia="仿宋_GB2312"/>
          <w:sz w:val="32"/>
          <w:szCs w:val="32"/>
          <w:highlight w:val="none"/>
          <w:lang w:val="en-US" w:eastAsia="zh-CN"/>
        </w:rPr>
        <w:t>事业单位医疗缴费利率变小导致决算数小于预算数</w:t>
      </w:r>
      <w:r>
        <w:rPr>
          <w:rFonts w:hint="eastAsia" w:ascii="仿宋_GB2312" w:hAnsi="ˎ̥" w:eastAsia="仿宋_GB2312"/>
          <w:sz w:val="32"/>
          <w:szCs w:val="32"/>
          <w:highlight w:val="none"/>
        </w:rPr>
        <w:t>。</w:t>
      </w:r>
    </w:p>
    <w:p w14:paraId="1EF5859A">
      <w:pPr>
        <w:numPr>
          <w:ilvl w:val="0"/>
          <w:numId w:val="0"/>
        </w:numPr>
        <w:spacing w:line="578" w:lineRule="exact"/>
        <w:ind w:firstLine="643" w:firstLineChars="200"/>
        <w:rPr>
          <w:rFonts w:hint="eastAsia" w:ascii="仿宋_GB2312" w:hAnsi="黑体" w:eastAsia="仿宋_GB2312"/>
          <w:sz w:val="32"/>
          <w:szCs w:val="32"/>
        </w:rPr>
      </w:pPr>
      <w:r>
        <w:rPr>
          <w:rFonts w:hint="eastAsia" w:ascii="仿宋_GB2312" w:hAnsi="ˎ̥" w:eastAsia="仿宋_GB2312"/>
          <w:b/>
          <w:bCs/>
          <w:sz w:val="32"/>
          <w:szCs w:val="32"/>
          <w:lang w:val="en-US" w:eastAsia="zh-CN"/>
        </w:rPr>
        <w:t>4.</w:t>
      </w:r>
      <w:r>
        <w:rPr>
          <w:rFonts w:hint="eastAsia" w:ascii="仿宋_GB2312" w:hAnsi="ˎ̥" w:eastAsia="仿宋_GB2312"/>
          <w:b/>
          <w:bCs/>
          <w:sz w:val="32"/>
          <w:szCs w:val="32"/>
        </w:rPr>
        <w:t>住房保障（类）住房改革支出</w:t>
      </w:r>
      <w:r>
        <w:rPr>
          <w:rFonts w:hint="eastAsia" w:ascii="仿宋_GB2312" w:hAnsi="ˎ̥" w:eastAsia="仿宋_GB2312" w:cs="Times New Roman"/>
          <w:b/>
          <w:sz w:val="32"/>
          <w:szCs w:val="32"/>
          <w:lang w:eastAsia="zh-CN"/>
        </w:rPr>
        <w:t>（</w:t>
      </w:r>
      <w:r>
        <w:rPr>
          <w:rFonts w:hint="eastAsia" w:ascii="仿宋_GB2312" w:hAnsi="ˎ̥" w:eastAsia="仿宋_GB2312" w:cs="Times New Roman"/>
          <w:b/>
          <w:sz w:val="32"/>
          <w:szCs w:val="32"/>
          <w:lang w:val="en-US" w:eastAsia="zh-CN"/>
        </w:rPr>
        <w:t>款</w:t>
      </w:r>
      <w:r>
        <w:rPr>
          <w:rFonts w:hint="eastAsia" w:ascii="仿宋_GB2312" w:hAnsi="ˎ̥" w:eastAsia="仿宋_GB2312" w:cs="Times New Roman"/>
          <w:b/>
          <w:sz w:val="32"/>
          <w:szCs w:val="32"/>
          <w:lang w:eastAsia="zh-CN"/>
        </w:rPr>
        <w:t>）</w:t>
      </w:r>
      <w:r>
        <w:rPr>
          <w:rFonts w:hint="eastAsia" w:ascii="仿宋_GB2312" w:hAnsi="ˎ̥" w:eastAsia="仿宋_GB2312"/>
          <w:b/>
          <w:sz w:val="32"/>
          <w:szCs w:val="32"/>
        </w:rPr>
        <w:t>。</w:t>
      </w:r>
    </w:p>
    <w:p w14:paraId="725EE23E">
      <w:pPr>
        <w:spacing w:line="578" w:lineRule="exact"/>
        <w:rPr>
          <w:rFonts w:hint="eastAsia" w:ascii="仿宋_GB2312" w:hAnsi="黑体" w:eastAsia="仿宋_GB2312"/>
          <w:sz w:val="32"/>
          <w:szCs w:val="32"/>
        </w:rPr>
      </w:pPr>
      <w:r>
        <w:rPr>
          <w:rFonts w:hint="default" w:ascii="仿宋_GB2312" w:hAnsi="黑体" w:eastAsia="仿宋_GB2312"/>
          <w:sz w:val="32"/>
          <w:szCs w:val="32"/>
        </w:rPr>
        <w:t>202</w:t>
      </w:r>
      <w:r>
        <w:rPr>
          <w:rFonts w:hint="eastAsia" w:ascii="仿宋_GB2312" w:hAnsi="黑体" w:eastAsia="仿宋_GB2312"/>
          <w:sz w:val="32"/>
          <w:szCs w:val="32"/>
          <w:lang w:val="en-US" w:eastAsia="zh-CN"/>
        </w:rPr>
        <w:t>3</w:t>
      </w:r>
      <w:r>
        <w:rPr>
          <w:rFonts w:hint="default" w:ascii="仿宋_GB2312" w:hAnsi="黑体" w:eastAsia="仿宋_GB2312"/>
          <w:sz w:val="32"/>
          <w:szCs w:val="32"/>
        </w:rPr>
        <w:t>年预算数为</w:t>
      </w:r>
      <w:r>
        <w:rPr>
          <w:rFonts w:hint="eastAsia" w:ascii="仿宋_GB2312" w:hAnsi="黑体" w:eastAsia="仿宋_GB2312"/>
          <w:sz w:val="32"/>
          <w:szCs w:val="32"/>
          <w:lang w:val="en-US" w:eastAsia="zh-CN"/>
        </w:rPr>
        <w:t>98.27</w:t>
      </w:r>
      <w:r>
        <w:rPr>
          <w:rFonts w:hint="default" w:ascii="仿宋_GB2312" w:hAnsi="黑体" w:eastAsia="仿宋_GB2312"/>
          <w:sz w:val="32"/>
          <w:szCs w:val="32"/>
        </w:rPr>
        <w:t>万元，</w:t>
      </w:r>
      <w:r>
        <w:rPr>
          <w:rFonts w:hint="eastAsia" w:ascii="仿宋_GB2312" w:hAnsi="ˎ̥" w:eastAsia="仿宋_GB2312"/>
          <w:sz w:val="32"/>
          <w:szCs w:val="32"/>
        </w:rPr>
        <w:t>支出决算为</w:t>
      </w:r>
      <w:r>
        <w:rPr>
          <w:rFonts w:hint="eastAsia" w:ascii="仿宋_GB2312" w:hAnsi="ˎ̥" w:eastAsia="仿宋_GB2312"/>
          <w:sz w:val="32"/>
          <w:szCs w:val="32"/>
          <w:lang w:val="en-US" w:eastAsia="zh-CN"/>
        </w:rPr>
        <w:t>107.98</w:t>
      </w:r>
      <w:r>
        <w:rPr>
          <w:rFonts w:hint="eastAsia" w:ascii="仿宋_GB2312" w:hAnsi="ˎ̥" w:eastAsia="仿宋_GB2312"/>
          <w:sz w:val="32"/>
          <w:szCs w:val="32"/>
        </w:rPr>
        <w:t>万元，完成年初预算的</w:t>
      </w:r>
      <w:r>
        <w:rPr>
          <w:rFonts w:hint="eastAsia" w:ascii="仿宋_GB2312" w:hAnsi="ˎ̥" w:eastAsia="仿宋_GB2312"/>
          <w:sz w:val="32"/>
          <w:szCs w:val="32"/>
          <w:lang w:val="en-US" w:eastAsia="zh-CN"/>
        </w:rPr>
        <w:t>109.88</w:t>
      </w:r>
      <w:r>
        <w:rPr>
          <w:rFonts w:hint="eastAsia" w:ascii="仿宋_GB2312" w:hAnsi="ˎ̥" w:eastAsia="仿宋_GB2312"/>
          <w:sz w:val="32"/>
          <w:szCs w:val="32"/>
        </w:rPr>
        <w:t>%。决算数大于预算数的主要原因：</w:t>
      </w:r>
      <w:r>
        <w:rPr>
          <w:rFonts w:hint="eastAsia" w:ascii="仿宋_GB2312" w:hAnsi="ˎ̥" w:eastAsia="仿宋_GB2312"/>
          <w:color w:val="000000"/>
          <w:sz w:val="32"/>
          <w:szCs w:val="32"/>
        </w:rPr>
        <w:t>年度人员工资调增</w:t>
      </w:r>
      <w:r>
        <w:rPr>
          <w:rFonts w:hint="eastAsia" w:ascii="仿宋_GB2312" w:hAnsi="ˎ̥" w:eastAsia="仿宋_GB2312"/>
          <w:color w:val="000000"/>
          <w:sz w:val="32"/>
          <w:szCs w:val="32"/>
          <w:lang w:eastAsia="zh-CN"/>
        </w:rPr>
        <w:t>、</w:t>
      </w:r>
      <w:r>
        <w:rPr>
          <w:rFonts w:hint="eastAsia" w:ascii="仿宋_GB2312" w:hAnsi="ˎ̥" w:eastAsia="仿宋_GB2312"/>
          <w:color w:val="000000"/>
          <w:sz w:val="32"/>
          <w:szCs w:val="32"/>
          <w:lang w:val="en-US" w:eastAsia="zh-CN"/>
        </w:rPr>
        <w:t>住房公积金基数</w:t>
      </w:r>
      <w:r>
        <w:rPr>
          <w:rFonts w:hint="eastAsia" w:ascii="仿宋_GB2312" w:hAnsi="ˎ̥" w:eastAsia="仿宋_GB2312"/>
          <w:color w:val="000000"/>
          <w:sz w:val="32"/>
          <w:szCs w:val="32"/>
        </w:rPr>
        <w:t>增加</w:t>
      </w:r>
      <w:r>
        <w:rPr>
          <w:rFonts w:hint="eastAsia" w:ascii="仿宋_GB2312" w:hAnsi="ˎ̥" w:eastAsia="仿宋_GB2312"/>
          <w:color w:val="000000"/>
          <w:sz w:val="32"/>
          <w:szCs w:val="32"/>
          <w:lang w:val="en-US" w:eastAsia="zh-CN"/>
        </w:rPr>
        <w:t>导致</w:t>
      </w:r>
      <w:r>
        <w:rPr>
          <w:rFonts w:hint="eastAsia" w:ascii="仿宋_GB2312" w:hAnsi="ˎ̥" w:eastAsia="仿宋_GB2312"/>
          <w:color w:val="000000"/>
          <w:sz w:val="32"/>
          <w:szCs w:val="32"/>
          <w:lang w:eastAsia="zh-CN"/>
        </w:rPr>
        <w:t>。</w:t>
      </w:r>
    </w:p>
    <w:p w14:paraId="1D6EC967">
      <w:pPr>
        <w:spacing w:line="578" w:lineRule="exact"/>
        <w:rPr>
          <w:rFonts w:hint="eastAsia" w:ascii="黑体" w:hAnsi="黑体" w:eastAsia="黑体" w:cs="黑体"/>
          <w:sz w:val="32"/>
          <w:szCs w:val="32"/>
        </w:rPr>
      </w:pPr>
      <w:r>
        <w:rPr>
          <w:rFonts w:hint="eastAsia" w:ascii="黑体" w:hAnsi="黑体" w:eastAsia="黑体" w:cs="黑体"/>
          <w:bCs/>
          <w:sz w:val="32"/>
          <w:szCs w:val="32"/>
        </w:rPr>
        <w:t>六、一般公共预算财政拨款基本支出决算情况说明</w:t>
      </w:r>
    </w:p>
    <w:p w14:paraId="41D82257">
      <w:pPr>
        <w:tabs>
          <w:tab w:val="center" w:pos="4473"/>
        </w:tabs>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年度财政拨款基本支出</w:t>
      </w:r>
      <w:r>
        <w:rPr>
          <w:rFonts w:hint="eastAsia" w:ascii="仿宋_GB2312" w:hAnsi="ˎ̥" w:eastAsia="仿宋_GB2312"/>
          <w:sz w:val="32"/>
          <w:szCs w:val="32"/>
          <w:lang w:val="en-US"/>
        </w:rPr>
        <w:t>1,548.65</w:t>
      </w:r>
      <w:r>
        <w:rPr>
          <w:rFonts w:hint="eastAsia" w:ascii="仿宋_GB2312" w:hAnsi="ˎ̥" w:eastAsia="仿宋_GB2312"/>
          <w:sz w:val="32"/>
          <w:szCs w:val="32"/>
        </w:rPr>
        <w:t>万元，其中：人员经费</w:t>
      </w:r>
      <w:r>
        <w:rPr>
          <w:rFonts w:hint="eastAsia" w:ascii="仿宋_GB2312" w:hAnsi="ˎ̥" w:eastAsia="仿宋_GB2312"/>
          <w:sz w:val="32"/>
          <w:szCs w:val="32"/>
          <w:lang w:val="en-US"/>
        </w:rPr>
        <w:t>1,519.59</w:t>
      </w:r>
      <w:r>
        <w:rPr>
          <w:rFonts w:hint="eastAsia" w:ascii="仿宋_GB2312" w:hAnsi="ˎ̥" w:eastAsia="仿宋_GB2312"/>
          <w:sz w:val="32"/>
          <w:szCs w:val="32"/>
        </w:rPr>
        <w:t>万元，主要包括：工资福利支出中的基本工资、津贴补贴、绩效工资、机关事业单位基本养老保险缴费、职业年金缴费、职工基本医疗保险缴费、公务员医疗补助缴费、其他社会保障缴费、住房公积金、医疗费、其他工资福利支出；对个人和家庭的补助中的生活补助、医疗费补助、奖励金。公用经费</w:t>
      </w:r>
      <w:r>
        <w:rPr>
          <w:rFonts w:hint="eastAsia" w:ascii="仿宋_GB2312" w:hAnsi="ˎ̥" w:eastAsia="仿宋_GB2312"/>
          <w:sz w:val="32"/>
          <w:szCs w:val="32"/>
          <w:lang w:val="en-US"/>
        </w:rPr>
        <w:t>29.06</w:t>
      </w:r>
      <w:r>
        <w:rPr>
          <w:rFonts w:hint="eastAsia" w:ascii="仿宋_GB2312" w:hAnsi="ˎ̥" w:eastAsia="仿宋_GB2312"/>
          <w:sz w:val="32"/>
          <w:szCs w:val="32"/>
        </w:rPr>
        <w:t>万元，主要包括：商品和服务支出中的办公费、印刷费、咨询费、水费、电费、邮电费、物业管理费、差旅费、维修（护）费、培训费、专用材料费、劳务费、工会经费、其他商品和服务支出；办公设备购置、专用设备购置、其他资本性支出等</w:t>
      </w:r>
      <w:r>
        <w:rPr>
          <w:rFonts w:hint="eastAsia" w:ascii="仿宋_GB2312" w:hAnsi="ˎ̥" w:eastAsia="仿宋_GB2312"/>
          <w:sz w:val="32"/>
          <w:szCs w:val="32"/>
          <w:lang w:eastAsia="zh-CN"/>
        </w:rPr>
        <w:t>。</w:t>
      </w:r>
    </w:p>
    <w:p w14:paraId="52EB6739">
      <w:pPr>
        <w:tabs>
          <w:tab w:val="center" w:pos="4473"/>
        </w:tabs>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七、政府性基金预算财政拨款支出决算情况说明</w:t>
      </w:r>
    </w:p>
    <w:p w14:paraId="4C2AE345">
      <w:pPr>
        <w:tabs>
          <w:tab w:val="center" w:pos="4473"/>
        </w:tabs>
        <w:spacing w:line="578" w:lineRule="exact"/>
        <w:ind w:firstLine="640" w:firstLineChars="200"/>
        <w:rPr>
          <w:rFonts w:hint="eastAsia" w:ascii="仿宋_GB2312" w:hAnsi="ˎ̥" w:eastAsia="仿宋_GB2312"/>
          <w:sz w:val="32"/>
          <w:szCs w:val="32"/>
        </w:rPr>
      </w:pPr>
      <w:r>
        <w:rPr>
          <w:rFonts w:hint="default" w:ascii="仿宋_GB2312" w:hAnsi="ˎ̥" w:eastAsia="仿宋_GB2312" w:cs="宋体"/>
          <w:color w:val="000000"/>
          <w:kern w:val="0"/>
          <w:sz w:val="32"/>
          <w:szCs w:val="32"/>
        </w:rPr>
        <w:t>202</w:t>
      </w:r>
      <w:r>
        <w:rPr>
          <w:rFonts w:hint="eastAsia" w:ascii="仿宋_GB2312" w:hAnsi="ˎ̥" w:eastAsia="仿宋_GB2312" w:cs="宋体"/>
          <w:color w:val="000000"/>
          <w:kern w:val="0"/>
          <w:sz w:val="32"/>
          <w:szCs w:val="32"/>
          <w:lang w:val="en-US" w:eastAsia="zh-CN"/>
        </w:rPr>
        <w:t>3</w:t>
      </w:r>
      <w:r>
        <w:rPr>
          <w:rFonts w:hint="default" w:ascii="仿宋_GB2312" w:hAnsi="ˎ̥" w:eastAsia="仿宋_GB2312" w:cs="宋体"/>
          <w:color w:val="000000"/>
          <w:kern w:val="0"/>
          <w:sz w:val="32"/>
          <w:szCs w:val="32"/>
        </w:rPr>
        <w:t>年度白沙黎族自治县</w:t>
      </w:r>
      <w:r>
        <w:rPr>
          <w:rFonts w:hint="eastAsia" w:ascii="仿宋_GB2312" w:hAnsi="ˎ̥" w:eastAsia="仿宋_GB2312" w:cs="宋体"/>
          <w:color w:val="000000"/>
          <w:kern w:val="0"/>
          <w:sz w:val="32"/>
          <w:szCs w:val="32"/>
          <w:lang w:val="en-US" w:eastAsia="zh-CN"/>
        </w:rPr>
        <w:t>邦溪镇中心学校</w:t>
      </w:r>
      <w:r>
        <w:rPr>
          <w:rFonts w:hint="default" w:ascii="仿宋_GB2312" w:hAnsi="ˎ̥" w:eastAsia="仿宋_GB2312" w:cs="宋体"/>
          <w:color w:val="000000"/>
          <w:kern w:val="0"/>
          <w:sz w:val="32"/>
          <w:szCs w:val="32"/>
        </w:rPr>
        <w:t>无</w:t>
      </w:r>
      <w:r>
        <w:rPr>
          <w:rFonts w:hint="default" w:ascii="仿宋_GB2312" w:hAnsi="ˎ̥" w:eastAsia="仿宋_GB2312" w:cs="仿宋_GB2312"/>
          <w:color w:val="000000"/>
          <w:kern w:val="0"/>
          <w:sz w:val="32"/>
          <w:szCs w:val="32"/>
        </w:rPr>
        <w:t>政府性基金预算财政拨款支出。</w:t>
      </w:r>
    </w:p>
    <w:p w14:paraId="400ADEBE">
      <w:pPr>
        <w:tabs>
          <w:tab w:val="center" w:pos="4473"/>
        </w:tabs>
        <w:spacing w:line="578"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rPr>
        <w:t>八、国有资本经营预算财政拨款支出决算情况说明</w:t>
      </w:r>
    </w:p>
    <w:p w14:paraId="0F71FFF6">
      <w:pPr>
        <w:tabs>
          <w:tab w:val="center" w:pos="4473"/>
        </w:tabs>
        <w:spacing w:line="578" w:lineRule="exact"/>
        <w:ind w:firstLine="640" w:firstLineChars="200"/>
        <w:rPr>
          <w:rFonts w:hint="default" w:ascii="仿宋_GB2312" w:hAnsi="ˎ̥" w:eastAsia="仿宋_GB2312" w:cs="仿宋_GB2312"/>
          <w:color w:val="000000"/>
          <w:kern w:val="0"/>
          <w:sz w:val="32"/>
          <w:szCs w:val="32"/>
        </w:rPr>
      </w:pPr>
      <w:r>
        <w:rPr>
          <w:rFonts w:hint="default" w:ascii="仿宋_GB2312" w:hAnsi="ˎ̥" w:eastAsia="仿宋_GB2312" w:cs="宋体"/>
          <w:color w:val="000000"/>
          <w:kern w:val="0"/>
          <w:sz w:val="32"/>
          <w:szCs w:val="32"/>
        </w:rPr>
        <w:t>202</w:t>
      </w:r>
      <w:r>
        <w:rPr>
          <w:rFonts w:hint="eastAsia" w:ascii="仿宋_GB2312" w:hAnsi="ˎ̥" w:eastAsia="仿宋_GB2312" w:cs="宋体"/>
          <w:color w:val="000000"/>
          <w:kern w:val="0"/>
          <w:sz w:val="32"/>
          <w:szCs w:val="32"/>
          <w:lang w:val="en-US" w:eastAsia="zh-CN"/>
        </w:rPr>
        <w:t>3</w:t>
      </w:r>
      <w:r>
        <w:rPr>
          <w:rFonts w:hint="default" w:ascii="仿宋_GB2312" w:hAnsi="ˎ̥" w:eastAsia="仿宋_GB2312" w:cs="宋体"/>
          <w:color w:val="000000"/>
          <w:kern w:val="0"/>
          <w:sz w:val="32"/>
          <w:szCs w:val="32"/>
        </w:rPr>
        <w:t>年度白沙黎族自治县</w:t>
      </w:r>
      <w:r>
        <w:rPr>
          <w:rFonts w:hint="eastAsia" w:ascii="仿宋_GB2312" w:hAnsi="ˎ̥" w:eastAsia="仿宋_GB2312" w:cs="宋体"/>
          <w:color w:val="000000"/>
          <w:kern w:val="0"/>
          <w:sz w:val="32"/>
          <w:szCs w:val="32"/>
          <w:lang w:val="en-US" w:eastAsia="zh-CN"/>
        </w:rPr>
        <w:t>邦溪镇中心学校</w:t>
      </w:r>
      <w:r>
        <w:rPr>
          <w:rFonts w:hint="default" w:ascii="仿宋_GB2312" w:hAnsi="ˎ̥" w:eastAsia="仿宋_GB2312" w:cs="仿宋_GB2312"/>
          <w:color w:val="000000"/>
          <w:kern w:val="0"/>
          <w:sz w:val="32"/>
          <w:szCs w:val="32"/>
        </w:rPr>
        <w:t>无国有资本经营预算财政拨款支出。</w:t>
      </w:r>
    </w:p>
    <w:p w14:paraId="7C6E6E60">
      <w:pPr>
        <w:spacing w:line="578" w:lineRule="exact"/>
        <w:ind w:firstLine="627" w:firstLineChars="196"/>
        <w:rPr>
          <w:rFonts w:hint="eastAsia" w:ascii="仿宋_GB2312" w:hAnsi="ˎ̥" w:eastAsia="楷体_GB2312"/>
          <w:sz w:val="32"/>
          <w:szCs w:val="32"/>
        </w:rPr>
      </w:pPr>
      <w:r>
        <w:rPr>
          <w:rFonts w:hint="eastAsia" w:ascii="黑体" w:hAnsi="黑体" w:eastAsia="黑体" w:cs="黑体"/>
          <w:bCs/>
          <w:sz w:val="32"/>
          <w:szCs w:val="32"/>
        </w:rPr>
        <w:t>九、财政拨款“三公”经费支出决算情况说明</w:t>
      </w:r>
    </w:p>
    <w:p w14:paraId="466EBC08">
      <w:pPr>
        <w:tabs>
          <w:tab w:val="center" w:pos="4473"/>
        </w:tabs>
        <w:spacing w:line="578" w:lineRule="exact"/>
        <w:ind w:firstLine="640" w:firstLineChars="200"/>
        <w:rPr>
          <w:rFonts w:hint="eastAsia" w:ascii="仿宋_GB2312" w:hAnsi="ˎ̥" w:eastAsia="仿宋_GB2312"/>
          <w:sz w:val="32"/>
          <w:szCs w:val="32"/>
        </w:rPr>
      </w:pPr>
      <w:r>
        <w:rPr>
          <w:rFonts w:hint="default" w:ascii="仿宋_GB2312" w:hAnsi="ˎ̥" w:eastAsia="仿宋_GB2312" w:cs="宋体"/>
          <w:color w:val="000000"/>
          <w:kern w:val="0"/>
          <w:sz w:val="32"/>
          <w:szCs w:val="32"/>
        </w:rPr>
        <w:t>202</w:t>
      </w:r>
      <w:r>
        <w:rPr>
          <w:rFonts w:hint="eastAsia" w:ascii="仿宋_GB2312" w:hAnsi="ˎ̥" w:eastAsia="仿宋_GB2312" w:cs="宋体"/>
          <w:color w:val="000000"/>
          <w:kern w:val="0"/>
          <w:sz w:val="32"/>
          <w:szCs w:val="32"/>
          <w:lang w:val="en-US" w:eastAsia="zh-CN"/>
        </w:rPr>
        <w:t>3</w:t>
      </w:r>
      <w:r>
        <w:rPr>
          <w:rFonts w:hint="default" w:ascii="仿宋_GB2312" w:hAnsi="ˎ̥" w:eastAsia="仿宋_GB2312" w:cs="宋体"/>
          <w:color w:val="000000"/>
          <w:kern w:val="0"/>
          <w:sz w:val="32"/>
          <w:szCs w:val="32"/>
        </w:rPr>
        <w:t>年度白沙黎族自治县</w:t>
      </w:r>
      <w:r>
        <w:rPr>
          <w:rFonts w:hint="eastAsia" w:ascii="仿宋_GB2312" w:hAnsi="ˎ̥" w:eastAsia="仿宋_GB2312" w:cs="宋体"/>
          <w:color w:val="000000"/>
          <w:kern w:val="0"/>
          <w:sz w:val="32"/>
          <w:szCs w:val="32"/>
          <w:lang w:val="en-US" w:eastAsia="zh-CN"/>
        </w:rPr>
        <w:t>邦溪镇中心学校</w:t>
      </w:r>
      <w:r>
        <w:rPr>
          <w:rFonts w:hint="default" w:ascii="仿宋_GB2312" w:hAnsi="ˎ̥" w:eastAsia="仿宋_GB2312" w:cs="仿宋_GB2312"/>
          <w:color w:val="000000"/>
          <w:kern w:val="0"/>
          <w:sz w:val="32"/>
          <w:szCs w:val="32"/>
        </w:rPr>
        <w:t>无</w:t>
      </w:r>
      <w:r>
        <w:rPr>
          <w:rFonts w:hint="eastAsia" w:ascii="仿宋_GB2312" w:hAnsi="ˎ̥" w:eastAsia="仿宋_GB2312" w:cs="仿宋_GB2312"/>
          <w:color w:val="000000"/>
          <w:kern w:val="0"/>
          <w:sz w:val="32"/>
          <w:szCs w:val="32"/>
          <w:lang w:val="en-US" w:eastAsia="zh-CN"/>
        </w:rPr>
        <w:t>财政拨款“三公”经费</w:t>
      </w:r>
      <w:r>
        <w:rPr>
          <w:rFonts w:hint="default" w:ascii="仿宋_GB2312" w:hAnsi="ˎ̥" w:eastAsia="仿宋_GB2312" w:cs="仿宋_GB2312"/>
          <w:color w:val="000000"/>
          <w:kern w:val="0"/>
          <w:sz w:val="32"/>
          <w:szCs w:val="32"/>
        </w:rPr>
        <w:t>支出。</w:t>
      </w:r>
    </w:p>
    <w:p w14:paraId="4092CC74">
      <w:pPr>
        <w:spacing w:line="578"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十、预算绩效情况说明</w:t>
      </w:r>
    </w:p>
    <w:p w14:paraId="72F4CA19">
      <w:pPr>
        <w:ind w:firstLine="640" w:firstLineChars="200"/>
        <w:rPr>
          <w:rFonts w:ascii="仿宋_GB2312" w:hAnsi="黑体" w:eastAsia="仿宋_GB2312"/>
          <w:sz w:val="32"/>
          <w:szCs w:val="32"/>
        </w:rPr>
      </w:pPr>
      <w:r>
        <w:rPr>
          <w:rFonts w:hint="eastAsia" w:ascii="仿宋_GB2312" w:eastAsia="仿宋_GB2312"/>
          <w:sz w:val="32"/>
          <w:szCs w:val="32"/>
          <w:highlight w:val="none"/>
        </w:rPr>
        <w:t>根据财政预算绩效管理要求，可按照如下格式说明：根据预算管理要求，</w:t>
      </w:r>
      <w:r>
        <w:rPr>
          <w:rFonts w:hint="eastAsia" w:ascii="仿宋_GB2312" w:hAnsi="黑体" w:eastAsia="仿宋_GB2312" w:cs="仿宋_GB2312"/>
          <w:sz w:val="32"/>
          <w:szCs w:val="32"/>
          <w:highlight w:val="none"/>
        </w:rPr>
        <w:t>2023</w:t>
      </w:r>
      <w:r>
        <w:rPr>
          <w:rFonts w:hint="eastAsia" w:ascii="仿宋_GB2312" w:hAnsi="黑体" w:eastAsia="仿宋_GB2312"/>
          <w:sz w:val="32"/>
          <w:szCs w:val="32"/>
          <w:highlight w:val="none"/>
        </w:rPr>
        <w:t>年</w:t>
      </w:r>
      <w:r>
        <w:rPr>
          <w:rFonts w:hint="eastAsia" w:ascii="仿宋_GB2312" w:hAnsi="黑体" w:eastAsia="仿宋_GB2312" w:cs="仿宋_GB2312"/>
          <w:sz w:val="32"/>
          <w:szCs w:val="32"/>
          <w:highlight w:val="none"/>
          <w:lang w:val="en-US" w:eastAsia="zh-CN"/>
        </w:rPr>
        <w:t>白沙黎族自治县邦溪镇中心学校（单位）</w:t>
      </w:r>
      <w:r>
        <w:rPr>
          <w:rFonts w:hint="eastAsia" w:ascii="仿宋_GB2312" w:hAnsi="黑体" w:eastAsia="仿宋_GB2312" w:cs="仿宋_GB2312"/>
          <w:sz w:val="32"/>
          <w:szCs w:val="32"/>
          <w:highlight w:val="none"/>
        </w:rPr>
        <w:t>15个项目实行绩效目标管理，涉及一般公</w:t>
      </w:r>
      <w:r>
        <w:rPr>
          <w:rFonts w:hint="eastAsia" w:ascii="仿宋_GB2312" w:hAnsi="黑体" w:eastAsia="仿宋_GB2312" w:cs="仿宋_GB2312"/>
          <w:sz w:val="32"/>
          <w:szCs w:val="32"/>
        </w:rPr>
        <w:t>共预算</w:t>
      </w:r>
      <w:r>
        <w:rPr>
          <w:rFonts w:hint="eastAsia" w:ascii="仿宋_GB2312" w:hAnsi="黑体" w:eastAsia="仿宋_GB2312" w:cs="仿宋_GB2312"/>
          <w:sz w:val="32"/>
          <w:szCs w:val="32"/>
          <w:lang w:val="en-US" w:eastAsia="zh-CN"/>
        </w:rPr>
        <w:t>1773.30</w:t>
      </w:r>
      <w:r>
        <w:rPr>
          <w:rFonts w:hint="eastAsia" w:ascii="仿宋_GB2312" w:hAnsi="黑体" w:eastAsia="仿宋_GB2312"/>
          <w:sz w:val="32"/>
          <w:szCs w:val="32"/>
        </w:rPr>
        <w:t>万元、政府性基金</w:t>
      </w:r>
      <w:r>
        <w:rPr>
          <w:rFonts w:hint="eastAsia" w:ascii="仿宋_GB2312" w:hAnsi="黑体" w:eastAsia="仿宋_GB2312" w:cs="仿宋_GB2312"/>
          <w:sz w:val="32"/>
          <w:szCs w:val="32"/>
        </w:rPr>
        <w:t>0</w:t>
      </w:r>
      <w:r>
        <w:rPr>
          <w:rFonts w:hint="eastAsia" w:ascii="仿宋_GB2312" w:hAnsi="黑体" w:eastAsia="仿宋_GB2312"/>
          <w:sz w:val="32"/>
          <w:szCs w:val="32"/>
        </w:rPr>
        <w:t>万元。</w:t>
      </w:r>
    </w:p>
    <w:p w14:paraId="58D3D73B">
      <w:pPr>
        <w:numPr>
          <w:ilvl w:val="0"/>
          <w:numId w:val="2"/>
        </w:numPr>
        <w:spacing w:line="578" w:lineRule="exact"/>
        <w:rPr>
          <w:rFonts w:hint="eastAsia" w:ascii="楷体" w:hAnsi="楷体" w:eastAsia="楷体" w:cs="楷体"/>
          <w:bCs/>
          <w:sz w:val="32"/>
          <w:szCs w:val="32"/>
        </w:rPr>
      </w:pPr>
      <w:r>
        <w:rPr>
          <w:rFonts w:hint="eastAsia" w:ascii="楷体" w:hAnsi="楷体" w:eastAsia="楷体" w:cs="楷体"/>
          <w:bCs/>
          <w:sz w:val="32"/>
          <w:szCs w:val="32"/>
        </w:rPr>
        <w:t>部门决算中项目绩效自评结果。</w:t>
      </w:r>
    </w:p>
    <w:p w14:paraId="3DDC6FD0">
      <w:pPr>
        <w:tabs>
          <w:tab w:val="center" w:pos="4473"/>
        </w:tabs>
        <w:spacing w:line="578" w:lineRule="exact"/>
        <w:ind w:firstLine="640" w:firstLineChars="200"/>
        <w:rPr>
          <w:rFonts w:hint="eastAsia" w:ascii="楷体" w:hAnsi="楷体" w:eastAsia="楷体" w:cs="楷体"/>
          <w:bCs/>
          <w:sz w:val="32"/>
          <w:szCs w:val="32"/>
        </w:rPr>
      </w:pPr>
      <w:r>
        <w:rPr>
          <w:rFonts w:hint="default" w:ascii="仿宋_GB2312" w:hAnsi="ˎ̥" w:eastAsia="仿宋_GB2312" w:cs="宋体"/>
          <w:color w:val="000000"/>
          <w:kern w:val="0"/>
          <w:sz w:val="32"/>
          <w:szCs w:val="32"/>
        </w:rPr>
        <w:t>202</w:t>
      </w:r>
      <w:r>
        <w:rPr>
          <w:rFonts w:hint="eastAsia" w:ascii="仿宋_GB2312" w:hAnsi="ˎ̥" w:eastAsia="仿宋_GB2312" w:cs="宋体"/>
          <w:color w:val="000000"/>
          <w:kern w:val="0"/>
          <w:sz w:val="32"/>
          <w:szCs w:val="32"/>
          <w:lang w:val="en-US" w:eastAsia="zh-CN"/>
        </w:rPr>
        <w:t>3</w:t>
      </w:r>
      <w:r>
        <w:rPr>
          <w:rFonts w:hint="default" w:ascii="仿宋_GB2312" w:hAnsi="ˎ̥" w:eastAsia="仿宋_GB2312" w:cs="宋体"/>
          <w:color w:val="000000"/>
          <w:kern w:val="0"/>
          <w:sz w:val="32"/>
          <w:szCs w:val="32"/>
        </w:rPr>
        <w:t>年度白沙黎族自治县</w:t>
      </w:r>
      <w:r>
        <w:rPr>
          <w:rFonts w:hint="eastAsia" w:ascii="仿宋_GB2312" w:hAnsi="ˎ̥" w:eastAsia="仿宋_GB2312" w:cs="宋体"/>
          <w:color w:val="000000"/>
          <w:kern w:val="0"/>
          <w:sz w:val="32"/>
          <w:szCs w:val="32"/>
          <w:lang w:val="en-US" w:eastAsia="zh-CN"/>
        </w:rPr>
        <w:t>邦溪镇中心学校</w:t>
      </w:r>
      <w:r>
        <w:rPr>
          <w:rFonts w:hint="default" w:ascii="仿宋_GB2312" w:hAnsi="ˎ̥" w:eastAsia="仿宋_GB2312" w:cs="仿宋_GB2312"/>
          <w:color w:val="000000"/>
          <w:kern w:val="0"/>
          <w:sz w:val="32"/>
          <w:szCs w:val="32"/>
        </w:rPr>
        <w:t>无</w:t>
      </w:r>
      <w:r>
        <w:rPr>
          <w:rFonts w:hint="eastAsia" w:ascii="楷体" w:hAnsi="楷体" w:eastAsia="楷体" w:cs="楷体"/>
          <w:bCs/>
          <w:sz w:val="32"/>
          <w:szCs w:val="32"/>
        </w:rPr>
        <w:t>部门决算中项目绩效自评</w:t>
      </w:r>
      <w:r>
        <w:rPr>
          <w:rFonts w:hint="eastAsia" w:ascii="楷体" w:hAnsi="楷体" w:eastAsia="楷体" w:cs="楷体"/>
          <w:bCs/>
          <w:sz w:val="32"/>
          <w:szCs w:val="32"/>
          <w:lang w:val="en-US" w:eastAsia="zh-CN"/>
        </w:rPr>
        <w:t>结果</w:t>
      </w:r>
      <w:r>
        <w:rPr>
          <w:rFonts w:hint="default" w:ascii="仿宋_GB2312" w:hAnsi="ˎ̥" w:eastAsia="仿宋_GB2312" w:cs="仿宋_GB2312"/>
          <w:color w:val="000000"/>
          <w:kern w:val="0"/>
          <w:sz w:val="32"/>
          <w:szCs w:val="32"/>
        </w:rPr>
        <w:t>。</w:t>
      </w:r>
    </w:p>
    <w:p w14:paraId="6DD8183F">
      <w:pPr>
        <w:numPr>
          <w:ilvl w:val="0"/>
          <w:numId w:val="2"/>
        </w:numPr>
        <w:spacing w:line="578" w:lineRule="exact"/>
        <w:ind w:left="0" w:leftChars="0" w:firstLine="0" w:firstLineChars="0"/>
        <w:rPr>
          <w:rFonts w:hint="eastAsia" w:ascii="楷体" w:hAnsi="楷体" w:eastAsia="楷体" w:cs="楷体"/>
          <w:bCs/>
          <w:sz w:val="32"/>
          <w:szCs w:val="32"/>
        </w:rPr>
      </w:pPr>
      <w:r>
        <w:rPr>
          <w:rFonts w:hint="eastAsia" w:ascii="楷体" w:hAnsi="楷体" w:eastAsia="楷体" w:cs="楷体"/>
          <w:bCs/>
          <w:sz w:val="32"/>
          <w:szCs w:val="32"/>
        </w:rPr>
        <w:t>部门评价结果。</w:t>
      </w:r>
    </w:p>
    <w:p w14:paraId="6F3CCD14">
      <w:pPr>
        <w:numPr>
          <w:ilvl w:val="0"/>
          <w:numId w:val="0"/>
        </w:numPr>
        <w:spacing w:line="578" w:lineRule="exact"/>
        <w:ind w:leftChars="0" w:firstLine="640" w:firstLineChars="200"/>
        <w:rPr>
          <w:rFonts w:hint="eastAsia" w:ascii="楷体" w:hAnsi="楷体" w:eastAsia="楷体" w:cs="楷体"/>
          <w:bCs/>
          <w:sz w:val="32"/>
          <w:szCs w:val="32"/>
        </w:rPr>
      </w:pPr>
      <w:r>
        <w:rPr>
          <w:rFonts w:hint="default" w:ascii="仿宋_GB2312" w:hAnsi="ˎ̥" w:eastAsia="仿宋_GB2312" w:cs="宋体"/>
          <w:color w:val="000000"/>
          <w:kern w:val="0"/>
          <w:sz w:val="32"/>
          <w:szCs w:val="32"/>
        </w:rPr>
        <w:t>202</w:t>
      </w:r>
      <w:r>
        <w:rPr>
          <w:rFonts w:hint="eastAsia" w:ascii="仿宋_GB2312" w:hAnsi="ˎ̥" w:eastAsia="仿宋_GB2312" w:cs="宋体"/>
          <w:color w:val="000000"/>
          <w:kern w:val="0"/>
          <w:sz w:val="32"/>
          <w:szCs w:val="32"/>
          <w:lang w:val="en-US" w:eastAsia="zh-CN"/>
        </w:rPr>
        <w:t>3</w:t>
      </w:r>
      <w:r>
        <w:rPr>
          <w:rFonts w:hint="default" w:ascii="仿宋_GB2312" w:hAnsi="ˎ̥" w:eastAsia="仿宋_GB2312" w:cs="宋体"/>
          <w:color w:val="000000"/>
          <w:kern w:val="0"/>
          <w:sz w:val="32"/>
          <w:szCs w:val="32"/>
        </w:rPr>
        <w:t>年度白沙黎族自治县</w:t>
      </w:r>
      <w:r>
        <w:rPr>
          <w:rFonts w:hint="eastAsia" w:ascii="仿宋_GB2312" w:hAnsi="ˎ̥" w:eastAsia="仿宋_GB2312" w:cs="宋体"/>
          <w:color w:val="000000"/>
          <w:kern w:val="0"/>
          <w:sz w:val="32"/>
          <w:szCs w:val="32"/>
          <w:lang w:val="en-US" w:eastAsia="zh-CN"/>
        </w:rPr>
        <w:t>邦溪镇中心学校</w:t>
      </w:r>
      <w:r>
        <w:rPr>
          <w:rFonts w:hint="default" w:ascii="仿宋_GB2312" w:hAnsi="宋体" w:eastAsia="仿宋_GB2312" w:cs="仿宋_GB2312"/>
          <w:kern w:val="0"/>
          <w:sz w:val="32"/>
          <w:szCs w:val="32"/>
        </w:rPr>
        <w:t>无部门评价结果</w:t>
      </w:r>
      <w:r>
        <w:rPr>
          <w:rFonts w:hint="eastAsia" w:ascii="楷体" w:hAnsi="楷体" w:eastAsia="楷体" w:cs="楷体"/>
          <w:bCs/>
          <w:sz w:val="32"/>
          <w:szCs w:val="32"/>
        </w:rPr>
        <w:t>。</w:t>
      </w:r>
    </w:p>
    <w:p w14:paraId="5FC460A0">
      <w:pPr>
        <w:spacing w:line="578"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十一、其他重要事项情况说明</w:t>
      </w:r>
    </w:p>
    <w:p w14:paraId="1ED0B5B7">
      <w:pPr>
        <w:spacing w:line="578" w:lineRule="exact"/>
        <w:ind w:firstLine="640" w:firstLineChars="200"/>
        <w:rPr>
          <w:rFonts w:hint="eastAsia" w:ascii="楷体" w:hAnsi="楷体" w:eastAsia="楷体" w:cs="楷体"/>
          <w:bCs/>
          <w:sz w:val="32"/>
          <w:szCs w:val="32"/>
        </w:rPr>
      </w:pPr>
      <w:bookmarkStart w:id="95" w:name="_Toc15565_WPSOffice_Level2"/>
      <w:bookmarkStart w:id="96" w:name="_Toc15262_WPSOffice_Level2"/>
      <w:bookmarkStart w:id="97" w:name="_Toc23598_WPSOffice_Level2"/>
      <w:bookmarkStart w:id="98" w:name="_Toc5978_WPSOffice_Level2"/>
      <w:bookmarkStart w:id="99" w:name="_Toc32639_WPSOffice_Level2"/>
      <w:bookmarkStart w:id="100" w:name="_Toc18325_WPSOffice_Level2"/>
      <w:r>
        <w:rPr>
          <w:rFonts w:hint="eastAsia" w:ascii="楷体" w:hAnsi="楷体" w:eastAsia="楷体" w:cs="楷体"/>
          <w:bCs/>
          <w:sz w:val="32"/>
          <w:szCs w:val="32"/>
        </w:rPr>
        <w:t>（一）机关运行经费支出情况。</w:t>
      </w:r>
      <w:bookmarkEnd w:id="95"/>
      <w:bookmarkEnd w:id="96"/>
      <w:bookmarkEnd w:id="97"/>
      <w:bookmarkEnd w:id="98"/>
      <w:bookmarkEnd w:id="99"/>
      <w:bookmarkEnd w:id="100"/>
    </w:p>
    <w:p w14:paraId="45FFEBC4">
      <w:pPr>
        <w:spacing w:line="578" w:lineRule="exact"/>
        <w:ind w:firstLine="640" w:firstLineChars="200"/>
        <w:rPr>
          <w:rFonts w:hint="eastAsia" w:ascii="仿宋_GB2312" w:hAnsi="ˎ̥" w:eastAsia="仿宋_GB2312"/>
          <w:sz w:val="32"/>
          <w:szCs w:val="32"/>
          <w:lang w:eastAsia="zh-CN"/>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w:t>
      </w:r>
      <w:r>
        <w:rPr>
          <w:rFonts w:hint="eastAsia" w:ascii="仿宋_GB2312" w:hAnsi="黑体" w:eastAsia="仿宋_GB2312" w:cs="仿宋_GB2312"/>
          <w:sz w:val="32"/>
          <w:szCs w:val="32"/>
          <w:highlight w:val="none"/>
          <w:lang w:val="en-US" w:eastAsia="zh-CN"/>
        </w:rPr>
        <w:t>白沙黎族自治县邦溪镇中心学校（单位）</w:t>
      </w:r>
      <w:r>
        <w:rPr>
          <w:rFonts w:hint="eastAsia" w:ascii="仿宋_GB2312" w:hAnsi="ˎ̥" w:eastAsia="仿宋_GB2312"/>
          <w:sz w:val="32"/>
          <w:szCs w:val="32"/>
        </w:rPr>
        <w:t>机关运行经费</w:t>
      </w:r>
      <w:r>
        <w:rPr>
          <w:rFonts w:hint="eastAsia" w:ascii="仿宋_GB2312" w:hAnsi="ˎ̥" w:eastAsia="仿宋_GB2312"/>
          <w:sz w:val="32"/>
          <w:szCs w:val="32"/>
          <w:lang w:val="en-US" w:eastAsia="zh-CN"/>
        </w:rPr>
        <w:t>0</w:t>
      </w:r>
      <w:r>
        <w:rPr>
          <w:rFonts w:hint="eastAsia" w:ascii="仿宋_GB2312" w:hAnsi="ˎ̥" w:eastAsia="仿宋_GB2312"/>
          <w:sz w:val="32"/>
          <w:szCs w:val="32"/>
        </w:rPr>
        <w:t>万元</w:t>
      </w:r>
      <w:r>
        <w:rPr>
          <w:rFonts w:hint="eastAsia" w:ascii="仿宋_GB2312" w:hAnsi="ˎ̥" w:eastAsia="仿宋_GB2312"/>
          <w:sz w:val="32"/>
          <w:szCs w:val="32"/>
          <w:lang w:eastAsia="zh-CN"/>
        </w:rPr>
        <w:t>。</w:t>
      </w:r>
    </w:p>
    <w:p w14:paraId="0DF61602">
      <w:pPr>
        <w:spacing w:line="578" w:lineRule="exact"/>
        <w:ind w:firstLine="640" w:firstLineChars="200"/>
        <w:rPr>
          <w:rFonts w:hint="eastAsia" w:ascii="楷体" w:hAnsi="楷体" w:eastAsia="楷体" w:cs="楷体"/>
          <w:bCs/>
          <w:sz w:val="32"/>
          <w:szCs w:val="32"/>
        </w:rPr>
      </w:pPr>
      <w:bookmarkStart w:id="101" w:name="_Toc3131_WPSOffice_Level2"/>
      <w:bookmarkStart w:id="102" w:name="_Toc30383_WPSOffice_Level2"/>
      <w:bookmarkStart w:id="103" w:name="_Toc25333_WPSOffice_Level2"/>
      <w:bookmarkStart w:id="104" w:name="_Toc23966_WPSOffice_Level2"/>
      <w:bookmarkStart w:id="105" w:name="_Toc32689_WPSOffice_Level2"/>
      <w:bookmarkStart w:id="106" w:name="_Toc13084_WPSOffice_Level2"/>
      <w:r>
        <w:rPr>
          <w:rFonts w:hint="eastAsia" w:ascii="楷体" w:hAnsi="楷体" w:eastAsia="楷体" w:cs="楷体"/>
          <w:bCs/>
          <w:sz w:val="32"/>
          <w:szCs w:val="32"/>
        </w:rPr>
        <w:t>（二）政府采购支出情况。</w:t>
      </w:r>
      <w:bookmarkEnd w:id="101"/>
      <w:bookmarkEnd w:id="102"/>
      <w:bookmarkEnd w:id="103"/>
      <w:bookmarkEnd w:id="104"/>
      <w:bookmarkEnd w:id="105"/>
      <w:bookmarkEnd w:id="106"/>
    </w:p>
    <w:p w14:paraId="4FB550F8">
      <w:pPr>
        <w:spacing w:line="578" w:lineRule="exact"/>
        <w:ind w:firstLine="640" w:firstLineChars="200"/>
        <w:jc w:val="left"/>
        <w:rPr>
          <w:rFonts w:hint="eastAsia" w:ascii="仿宋_GB2312" w:hAnsi="ˎ̥" w:eastAsia="仿宋_GB2312"/>
          <w:sz w:val="32"/>
          <w:szCs w:val="32"/>
        </w:rPr>
      </w:pPr>
      <w:r>
        <w:rPr>
          <w:rFonts w:hint="eastAsia" w:ascii="仿宋_GB2312" w:hAnsi="ˎ̥" w:eastAsia="仿宋_GB2312"/>
          <w:sz w:val="32"/>
          <w:szCs w:val="32"/>
        </w:rPr>
        <w:t>202</w:t>
      </w:r>
      <w:r>
        <w:rPr>
          <w:rFonts w:ascii="仿宋_GB2312" w:hAnsi="ˎ̥" w:eastAsia="仿宋_GB2312"/>
          <w:sz w:val="32"/>
          <w:szCs w:val="32"/>
        </w:rPr>
        <w:t>3</w:t>
      </w:r>
      <w:r>
        <w:rPr>
          <w:rFonts w:hint="eastAsia" w:ascii="仿宋_GB2312" w:hAnsi="ˎ̥" w:eastAsia="仿宋_GB2312"/>
          <w:sz w:val="32"/>
          <w:szCs w:val="32"/>
        </w:rPr>
        <w:t>年度</w:t>
      </w:r>
      <w:r>
        <w:rPr>
          <w:rFonts w:hint="eastAsia" w:ascii="仿宋_GB2312" w:hAnsi="黑体" w:eastAsia="仿宋_GB2312" w:cs="仿宋_GB2312"/>
          <w:sz w:val="32"/>
          <w:szCs w:val="32"/>
          <w:highlight w:val="none"/>
          <w:lang w:val="en-US" w:eastAsia="zh-CN"/>
        </w:rPr>
        <w:t>白沙黎族自治县邦溪镇中心学校</w:t>
      </w:r>
      <w:r>
        <w:rPr>
          <w:rFonts w:hint="eastAsia" w:ascii="仿宋_GB2312" w:hAnsi="ˎ̥" w:eastAsia="仿宋_GB2312"/>
          <w:sz w:val="32"/>
          <w:szCs w:val="32"/>
        </w:rPr>
        <w:t>部门（单位）政府采购支出总额</w:t>
      </w:r>
      <w:r>
        <w:rPr>
          <w:rFonts w:hint="eastAsia" w:ascii="仿宋_GB2312" w:hAnsi="ˎ̥" w:eastAsia="仿宋_GB2312"/>
          <w:sz w:val="32"/>
          <w:szCs w:val="32"/>
          <w:lang w:val="en-US" w:eastAsia="zh-CN"/>
        </w:rPr>
        <w:t>9.65</w:t>
      </w:r>
      <w:r>
        <w:rPr>
          <w:rFonts w:hint="eastAsia" w:ascii="仿宋_GB2312" w:hAnsi="ˎ̥" w:eastAsia="仿宋_GB2312"/>
          <w:sz w:val="32"/>
          <w:szCs w:val="32"/>
        </w:rPr>
        <w:t>万元，其中：政府采购货物支出</w:t>
      </w:r>
      <w:r>
        <w:rPr>
          <w:rFonts w:hint="eastAsia" w:ascii="仿宋_GB2312" w:hAnsi="ˎ̥" w:eastAsia="仿宋_GB2312"/>
          <w:sz w:val="32"/>
          <w:szCs w:val="32"/>
          <w:lang w:val="en-US" w:eastAsia="zh-CN"/>
        </w:rPr>
        <w:t>9.65</w:t>
      </w:r>
      <w:r>
        <w:rPr>
          <w:rFonts w:hint="eastAsia" w:ascii="仿宋_GB2312" w:hAnsi="ˎ̥" w:eastAsia="仿宋_GB2312"/>
          <w:sz w:val="32"/>
          <w:szCs w:val="32"/>
        </w:rPr>
        <w:t>万元、政府采购工程支出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万元、政府采购服务支出</w:t>
      </w:r>
      <w:r>
        <w:rPr>
          <w:rFonts w:hint="eastAsia" w:ascii="仿宋_GB2312" w:hAnsi="ˎ̥" w:eastAsia="仿宋_GB2312"/>
          <w:sz w:val="32"/>
          <w:szCs w:val="32"/>
          <w:lang w:val="en-US" w:eastAsia="zh-CN"/>
        </w:rPr>
        <w:t>0</w:t>
      </w:r>
      <w:r>
        <w:rPr>
          <w:rFonts w:hint="eastAsia" w:ascii="仿宋_GB2312" w:hAnsi="ˎ̥" w:eastAsia="仿宋_GB2312"/>
          <w:sz w:val="32"/>
          <w:szCs w:val="32"/>
        </w:rPr>
        <w:t>万元。授予中小企业合同金额</w:t>
      </w:r>
      <w:r>
        <w:rPr>
          <w:rFonts w:hint="eastAsia" w:ascii="仿宋_GB2312" w:hAnsi="ˎ̥" w:eastAsia="仿宋_GB2312"/>
          <w:sz w:val="32"/>
          <w:szCs w:val="32"/>
          <w:lang w:val="en-US" w:eastAsia="zh-CN"/>
        </w:rPr>
        <w:t>0</w:t>
      </w:r>
      <w:r>
        <w:rPr>
          <w:rFonts w:hint="eastAsia" w:ascii="仿宋_GB2312" w:hAnsi="ˎ̥" w:eastAsia="仿宋_GB2312"/>
          <w:sz w:val="32"/>
          <w:szCs w:val="32"/>
        </w:rPr>
        <w:t>万元，占政府采购支出总额的</w:t>
      </w:r>
      <w:r>
        <w:rPr>
          <w:rFonts w:hint="eastAsia" w:ascii="仿宋_GB2312" w:hAnsi="ˎ̥" w:eastAsia="仿宋_GB2312"/>
          <w:sz w:val="32"/>
          <w:szCs w:val="32"/>
          <w:lang w:val="en-US" w:eastAsia="zh-CN"/>
        </w:rPr>
        <w:t>0</w:t>
      </w:r>
      <w:r>
        <w:rPr>
          <w:rFonts w:hint="eastAsia" w:ascii="仿宋_GB2312" w:hAnsi="ˎ̥" w:eastAsia="仿宋_GB2312"/>
          <w:sz w:val="32"/>
          <w:szCs w:val="32"/>
        </w:rPr>
        <w:t>%，其中：授予小微企业合同金额</w:t>
      </w:r>
      <w:r>
        <w:rPr>
          <w:rFonts w:hint="eastAsia" w:ascii="仿宋_GB2312" w:hAnsi="ˎ̥" w:eastAsia="仿宋_GB2312"/>
          <w:sz w:val="32"/>
          <w:szCs w:val="32"/>
          <w:lang w:val="en-US" w:eastAsia="zh-CN"/>
        </w:rPr>
        <w:t>0</w:t>
      </w:r>
      <w:r>
        <w:rPr>
          <w:rFonts w:hint="eastAsia" w:ascii="仿宋_GB2312" w:hAnsi="ˎ̥" w:eastAsia="仿宋_GB2312"/>
          <w:sz w:val="32"/>
          <w:szCs w:val="32"/>
        </w:rPr>
        <w:t>万元，占</w:t>
      </w:r>
      <w:r>
        <w:rPr>
          <w:rFonts w:hint="eastAsia" w:ascii="仿宋_GB2312" w:hAnsi="仿宋_GB2312" w:eastAsia="仿宋_GB2312" w:cs="仿宋_GB2312"/>
          <w:kern w:val="0"/>
          <w:sz w:val="32"/>
          <w:szCs w:val="32"/>
          <w:lang w:bidi="ar"/>
        </w:rPr>
        <w:t>授予中小企业合同金额</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0</w:t>
      </w:r>
      <w:r>
        <w:rPr>
          <w:rFonts w:hint="eastAsia" w:ascii="仿宋_GB2312" w:hAnsi="ˎ̥" w:eastAsia="仿宋_GB2312"/>
          <w:sz w:val="32"/>
          <w:szCs w:val="32"/>
        </w:rPr>
        <w:t>%。</w:t>
      </w:r>
    </w:p>
    <w:p w14:paraId="6297566F">
      <w:pPr>
        <w:spacing w:line="578" w:lineRule="exact"/>
        <w:ind w:firstLine="640" w:firstLineChars="200"/>
        <w:rPr>
          <w:rFonts w:hint="eastAsia" w:ascii="楷体" w:hAnsi="楷体" w:eastAsia="楷体" w:cs="楷体"/>
          <w:bCs/>
          <w:sz w:val="32"/>
          <w:szCs w:val="32"/>
        </w:rPr>
      </w:pPr>
      <w:bookmarkStart w:id="107" w:name="_Toc10902_WPSOffice_Level2"/>
      <w:bookmarkStart w:id="108" w:name="_Toc6016_WPSOffice_Level2"/>
      <w:bookmarkStart w:id="109" w:name="_Toc527_WPSOffice_Level2"/>
      <w:bookmarkStart w:id="110" w:name="_Toc15129_WPSOffice_Level2"/>
      <w:bookmarkStart w:id="111" w:name="_Toc19989_WPSOffice_Level2"/>
      <w:bookmarkStart w:id="112" w:name="_Toc29584_WPSOffice_Level2"/>
      <w:r>
        <w:rPr>
          <w:rFonts w:hint="eastAsia" w:ascii="楷体" w:hAnsi="楷体" w:eastAsia="楷体" w:cs="楷体"/>
          <w:bCs/>
          <w:sz w:val="32"/>
          <w:szCs w:val="32"/>
        </w:rPr>
        <w:t>（三）国有资产占用情况。</w:t>
      </w:r>
      <w:bookmarkEnd w:id="107"/>
      <w:bookmarkEnd w:id="108"/>
      <w:bookmarkEnd w:id="109"/>
      <w:bookmarkEnd w:id="110"/>
      <w:bookmarkEnd w:id="111"/>
      <w:bookmarkEnd w:id="112"/>
    </w:p>
    <w:p w14:paraId="7D6CFBC3">
      <w:pPr>
        <w:spacing w:line="578" w:lineRule="exact"/>
        <w:ind w:firstLine="640" w:firstLineChars="200"/>
        <w:rPr>
          <w:rFonts w:hint="eastAsia" w:ascii="仿宋_GB2312" w:hAnsi="ˎ̥" w:eastAsia="仿宋_GB2312"/>
          <w:color w:val="000000" w:themeColor="text1"/>
          <w:sz w:val="32"/>
          <w:szCs w:val="32"/>
          <w:highlight w:val="none"/>
          <w14:textFill>
            <w14:solidFill>
              <w14:schemeClr w14:val="tx1"/>
            </w14:solidFill>
          </w14:textFill>
        </w:rPr>
      </w:pPr>
      <w:r>
        <w:rPr>
          <w:rFonts w:hint="eastAsia" w:ascii="仿宋_GB2312" w:hAnsi="ˎ̥" w:eastAsia="仿宋_GB2312"/>
          <w:bCs/>
          <w:sz w:val="32"/>
          <w:szCs w:val="32"/>
        </w:rPr>
        <w:t>截至202</w:t>
      </w:r>
      <w:r>
        <w:rPr>
          <w:rFonts w:ascii="仿宋_GB2312" w:hAnsi="ˎ̥" w:eastAsia="仿宋_GB2312"/>
          <w:bCs/>
          <w:sz w:val="32"/>
          <w:szCs w:val="32"/>
        </w:rPr>
        <w:t>3</w:t>
      </w:r>
      <w:r>
        <w:rPr>
          <w:rFonts w:hint="eastAsia" w:ascii="仿宋_GB2312" w:hAnsi="ˎ̥" w:eastAsia="仿宋_GB2312"/>
          <w:bCs/>
          <w:sz w:val="32"/>
          <w:szCs w:val="32"/>
        </w:rPr>
        <w:t>年12月31日，</w:t>
      </w:r>
      <w:r>
        <w:rPr>
          <w:rFonts w:hint="eastAsia" w:ascii="仿宋_GB2312" w:hAnsi="ˎ̥" w:eastAsia="仿宋_GB2312"/>
          <w:color w:val="000000" w:themeColor="text1"/>
          <w:sz w:val="32"/>
          <w:szCs w:val="32"/>
          <w:highlight w:val="none"/>
          <w:lang w:val="en-US" w:eastAsia="zh-CN"/>
          <w14:textFill>
            <w14:solidFill>
              <w14:schemeClr w14:val="tx1"/>
            </w14:solidFill>
          </w14:textFill>
        </w:rPr>
        <w:t>本部门占用房屋面积</w:t>
      </w:r>
      <w:r>
        <w:rPr>
          <w:rFonts w:hint="eastAsia" w:ascii="仿宋_GB2312" w:hAnsi="ˎ̥" w:eastAsia="仿宋_GB2312"/>
          <w:color w:val="000000" w:themeColor="text1"/>
          <w:sz w:val="32"/>
          <w:szCs w:val="32"/>
          <w:highlight w:val="none"/>
          <w14:textFill>
            <w14:solidFill>
              <w14:schemeClr w14:val="tx1"/>
            </w14:solidFill>
          </w14:textFill>
        </w:rPr>
        <w:t>597</w:t>
      </w:r>
      <w:r>
        <w:rPr>
          <w:rFonts w:hint="eastAsia" w:ascii="仿宋_GB2312" w:hAnsi="ˎ̥" w:eastAsia="仿宋_GB2312"/>
          <w:color w:val="000000" w:themeColor="text1"/>
          <w:sz w:val="32"/>
          <w:szCs w:val="32"/>
          <w:highlight w:val="none"/>
          <w:lang w:val="en-US" w:eastAsia="zh-CN"/>
          <w14:textFill>
            <w14:solidFill>
              <w14:schemeClr w14:val="tx1"/>
            </w14:solidFill>
          </w14:textFill>
        </w:rPr>
        <w:t>平方米，其中：办公用房</w:t>
      </w:r>
      <w:r>
        <w:rPr>
          <w:rFonts w:hint="eastAsia" w:ascii="仿宋_GB2312" w:hAnsi="ˎ̥" w:eastAsia="仿宋_GB2312"/>
          <w:color w:val="000000" w:themeColor="text1"/>
          <w:sz w:val="32"/>
          <w:szCs w:val="32"/>
          <w:highlight w:val="none"/>
          <w14:textFill>
            <w14:solidFill>
              <w14:schemeClr w14:val="tx1"/>
            </w14:solidFill>
          </w14:textFill>
        </w:rPr>
        <w:t>597</w:t>
      </w:r>
      <w:r>
        <w:rPr>
          <w:rFonts w:hint="eastAsia" w:ascii="仿宋_GB2312" w:hAnsi="ˎ̥" w:eastAsia="仿宋_GB2312"/>
          <w:color w:val="000000" w:themeColor="text1"/>
          <w:sz w:val="32"/>
          <w:szCs w:val="32"/>
          <w:highlight w:val="none"/>
          <w:lang w:val="en-US" w:eastAsia="zh-CN"/>
          <w14:textFill>
            <w14:solidFill>
              <w14:schemeClr w14:val="tx1"/>
            </w14:solidFill>
          </w14:textFill>
        </w:rPr>
        <w:t>平方米，业务用房0平方米，其他（不含构筑物）0平方米。</w:t>
      </w:r>
    </w:p>
    <w:p w14:paraId="77F003AD">
      <w:pPr>
        <w:spacing w:line="578" w:lineRule="exact"/>
        <w:ind w:firstLine="640" w:firstLineChars="200"/>
        <w:rPr>
          <w:rFonts w:hint="eastAsia" w:ascii="仿宋_GB2312" w:hAnsi="ˎ̥" w:eastAsia="仿宋_GB2312"/>
          <w:color w:val="000000" w:themeColor="text1"/>
          <w:sz w:val="32"/>
          <w:szCs w:val="32"/>
          <w:highlight w:val="none"/>
          <w:lang w:eastAsia="zh-CN"/>
          <w14:textFill>
            <w14:solidFill>
              <w14:schemeClr w14:val="tx1"/>
            </w14:solidFill>
          </w14:textFill>
        </w:rPr>
      </w:pPr>
      <w:r>
        <w:rPr>
          <w:rFonts w:hint="eastAsia" w:ascii="仿宋_GB2312" w:hAnsi="ˎ̥" w:eastAsia="仿宋_GB2312"/>
          <w:color w:val="000000" w:themeColor="text1"/>
          <w:sz w:val="32"/>
          <w:szCs w:val="32"/>
          <w:highlight w:val="none"/>
          <w14:textFill>
            <w14:solidFill>
              <w14:schemeClr w14:val="tx1"/>
            </w14:solidFill>
          </w14:textFill>
        </w:rPr>
        <w:t>本部门共有车辆</w:t>
      </w:r>
      <w:r>
        <w:rPr>
          <w:rFonts w:hint="eastAsia" w:ascii="仿宋_GB2312" w:hAnsi="ˎ̥" w:eastAsia="仿宋_GB2312"/>
          <w:color w:val="000000" w:themeColor="text1"/>
          <w:sz w:val="32"/>
          <w:szCs w:val="32"/>
          <w:highlight w:val="none"/>
          <w:lang w:val="en-US" w:eastAsia="zh-CN"/>
          <w14:textFill>
            <w14:solidFill>
              <w14:schemeClr w14:val="tx1"/>
            </w14:solidFill>
          </w14:textFill>
        </w:rPr>
        <w:t>0</w:t>
      </w:r>
      <w:r>
        <w:rPr>
          <w:rFonts w:hint="eastAsia" w:ascii="仿宋_GB2312" w:hAnsi="ˎ̥" w:eastAsia="仿宋_GB2312"/>
          <w:color w:val="000000" w:themeColor="text1"/>
          <w:sz w:val="32"/>
          <w:szCs w:val="32"/>
          <w:highlight w:val="none"/>
          <w14:textFill>
            <w14:solidFill>
              <w14:schemeClr w14:val="tx1"/>
            </w14:solidFill>
          </w14:textFill>
        </w:rPr>
        <w:t>辆</w:t>
      </w:r>
      <w:r>
        <w:rPr>
          <w:rFonts w:hint="eastAsia" w:ascii="仿宋_GB2312" w:hAnsi="ˎ̥" w:eastAsia="仿宋_GB2312"/>
          <w:color w:val="000000" w:themeColor="text1"/>
          <w:sz w:val="32"/>
          <w:szCs w:val="32"/>
          <w:highlight w:val="none"/>
          <w:lang w:eastAsia="zh-CN"/>
          <w14:textFill>
            <w14:solidFill>
              <w14:schemeClr w14:val="tx1"/>
            </w14:solidFill>
          </w14:textFill>
        </w:rPr>
        <w:t>。</w:t>
      </w:r>
    </w:p>
    <w:p w14:paraId="06B0CE0F">
      <w:pPr>
        <w:spacing w:line="578" w:lineRule="exact"/>
        <w:ind w:firstLine="640" w:firstLineChars="200"/>
        <w:rPr>
          <w:rFonts w:hint="eastAsia" w:ascii="仿宋_GB2312" w:hAnsi="ˎ̥" w:eastAsia="仿宋_GB2312"/>
          <w:color w:val="000000" w:themeColor="text1"/>
          <w:sz w:val="32"/>
          <w:szCs w:val="32"/>
          <w:highlight w:val="none"/>
          <w14:textFill>
            <w14:solidFill>
              <w14:schemeClr w14:val="tx1"/>
            </w14:solidFill>
          </w14:textFill>
        </w:rPr>
      </w:pPr>
      <w:r>
        <w:rPr>
          <w:rFonts w:hint="eastAsia" w:ascii="仿宋_GB2312" w:hAnsi="ˎ̥" w:eastAsia="仿宋_GB2312"/>
          <w:color w:val="000000" w:themeColor="text1"/>
          <w:sz w:val="32"/>
          <w:szCs w:val="32"/>
          <w:highlight w:val="none"/>
          <w:lang w:eastAsia="zh-CN"/>
          <w14:textFill>
            <w14:solidFill>
              <w14:schemeClr w14:val="tx1"/>
            </w14:solidFill>
          </w14:textFill>
        </w:rPr>
        <w:t>年末在建工程</w:t>
      </w:r>
      <w:r>
        <w:rPr>
          <w:rFonts w:hint="eastAsia" w:ascii="仿宋_GB2312" w:hAnsi="ˎ̥" w:eastAsia="仿宋_GB2312"/>
          <w:color w:val="000000" w:themeColor="text1"/>
          <w:sz w:val="32"/>
          <w:szCs w:val="32"/>
          <w:highlight w:val="none"/>
          <w:lang w:val="en-US" w:eastAsia="zh-CN"/>
          <w14:textFill>
            <w14:solidFill>
              <w14:schemeClr w14:val="tx1"/>
            </w14:solidFill>
          </w14:textFill>
        </w:rPr>
        <w:t>0</w:t>
      </w:r>
      <w:r>
        <w:rPr>
          <w:rFonts w:hint="eastAsia" w:ascii="仿宋_GB2312" w:hAnsi="ˎ̥" w:eastAsia="仿宋_GB2312"/>
          <w:color w:val="000000" w:themeColor="text1"/>
          <w:sz w:val="32"/>
          <w:szCs w:val="32"/>
          <w:highlight w:val="none"/>
          <w:lang w:eastAsia="zh-CN"/>
          <w14:textFill>
            <w14:solidFill>
              <w14:schemeClr w14:val="tx1"/>
            </w14:solidFill>
          </w14:textFill>
        </w:rPr>
        <w:t>万元</w:t>
      </w:r>
      <w:r>
        <w:rPr>
          <w:rFonts w:hint="eastAsia" w:ascii="仿宋_GB2312" w:hAnsi="ˎ̥" w:eastAsia="仿宋_GB2312"/>
          <w:color w:val="000000" w:themeColor="text1"/>
          <w:sz w:val="32"/>
          <w:szCs w:val="32"/>
          <w:highlight w:val="none"/>
          <w14:textFill>
            <w14:solidFill>
              <w14:schemeClr w14:val="tx1"/>
            </w14:solidFill>
          </w14:textFill>
        </w:rPr>
        <w:t>。</w:t>
      </w:r>
      <w:bookmarkStart w:id="113" w:name="_Toc17580_WPSOffice_Level1"/>
      <w:bookmarkStart w:id="114" w:name="_Toc8808_WPSOffice_Level1"/>
      <w:bookmarkStart w:id="115" w:name="_Toc15425_WPSOffice_Level1"/>
      <w:bookmarkStart w:id="116" w:name="_Toc4398_WPSOffice_Level1"/>
      <w:bookmarkStart w:id="117" w:name="_Toc11039_WPSOffice_Level1"/>
      <w:bookmarkStart w:id="118" w:name="_Toc8874_WPSOffice_Level1"/>
    </w:p>
    <w:p w14:paraId="5D4983D3">
      <w:pPr>
        <w:spacing w:line="578" w:lineRule="exact"/>
        <w:ind w:firstLine="640" w:firstLineChars="200"/>
        <w:rPr>
          <w:rFonts w:hint="eastAsia" w:ascii="仿宋_GB2312" w:hAnsi="ˎ̥" w:eastAsia="仿宋_GB2312"/>
          <w:color w:val="000000" w:themeColor="text1"/>
          <w:sz w:val="32"/>
          <w:szCs w:val="32"/>
          <w:highlight w:val="none"/>
          <w14:textFill>
            <w14:solidFill>
              <w14:schemeClr w14:val="tx1"/>
            </w14:solidFill>
          </w14:textFill>
        </w:rPr>
      </w:pPr>
    </w:p>
    <w:p w14:paraId="3301C4CB">
      <w:pPr>
        <w:spacing w:line="578" w:lineRule="exact"/>
        <w:ind w:firstLine="640" w:firstLineChars="200"/>
        <w:rPr>
          <w:rFonts w:hint="eastAsia" w:ascii="仿宋_GB2312" w:hAnsi="ˎ̥" w:eastAsia="仿宋_GB2312"/>
          <w:color w:val="000000" w:themeColor="text1"/>
          <w:sz w:val="32"/>
          <w:szCs w:val="32"/>
          <w:highlight w:val="none"/>
          <w14:textFill>
            <w14:solidFill>
              <w14:schemeClr w14:val="tx1"/>
            </w14:solidFill>
          </w14:textFill>
        </w:rPr>
      </w:pPr>
    </w:p>
    <w:p w14:paraId="2CABA0B8">
      <w:pPr>
        <w:spacing w:line="578" w:lineRule="exact"/>
        <w:ind w:firstLine="2560" w:firstLineChars="800"/>
        <w:jc w:val="both"/>
        <w:rPr>
          <w:rFonts w:hint="eastAsia" w:ascii="黑体" w:hAnsi="ˎ̥" w:eastAsia="黑体"/>
          <w:sz w:val="32"/>
          <w:szCs w:val="32"/>
        </w:rPr>
      </w:pPr>
      <w:r>
        <w:rPr>
          <w:rFonts w:hint="eastAsia" w:ascii="黑体" w:hAnsi="ˎ̥" w:eastAsia="黑体"/>
          <w:sz w:val="32"/>
          <w:szCs w:val="32"/>
        </w:rPr>
        <w:t>第四部分  名词解释</w:t>
      </w:r>
      <w:bookmarkEnd w:id="113"/>
      <w:bookmarkEnd w:id="114"/>
      <w:bookmarkEnd w:id="115"/>
      <w:bookmarkEnd w:id="116"/>
      <w:bookmarkEnd w:id="117"/>
      <w:bookmarkEnd w:id="118"/>
    </w:p>
    <w:p w14:paraId="52B9773F">
      <w:pPr>
        <w:spacing w:line="578" w:lineRule="exact"/>
        <w:jc w:val="center"/>
        <w:rPr>
          <w:rFonts w:hint="eastAsia" w:ascii="黑体" w:hAnsi="ˎ̥" w:eastAsia="黑体"/>
          <w:sz w:val="32"/>
          <w:szCs w:val="32"/>
        </w:rPr>
      </w:pPr>
    </w:p>
    <w:p w14:paraId="2CB7D425">
      <w:pPr>
        <w:numPr>
          <w:ilvl w:val="0"/>
          <w:numId w:val="0"/>
        </w:num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财政拨款收入：指同级政府财政部门当年拨付的各类财政拨款。</w:t>
      </w:r>
    </w:p>
    <w:p w14:paraId="327AD577">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二、上级补助收入：指事业单位从主管部门和上级单位取得的非财政补助收入。</w:t>
      </w:r>
    </w:p>
    <w:p w14:paraId="2D9F2F0A">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三、事业收入：指事业单位开展专业业务活动及辅助活动取得的收入。</w:t>
      </w:r>
    </w:p>
    <w:p w14:paraId="341133E2">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四、经营收入：指事业单位在专业业务活动及其辅助活动之外开展非独立核算经营活动取得的收入。</w:t>
      </w:r>
    </w:p>
    <w:p w14:paraId="5BBE2299">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五、附属单位上缴收入：指事业单位取得附属独立核算单位根据有关规定上缴的收入。</w:t>
      </w:r>
    </w:p>
    <w:p w14:paraId="7184CFA3">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六、其他收入：指除上述“财政拨款收入”“事业收入”“上级补助收入”“经营收入”“附属单位上缴收入”等以外的收入。</w:t>
      </w:r>
    </w:p>
    <w:p w14:paraId="2F75A693">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七、使用非财政拨款结余：指事业单位在当年的“财政拨款收入”“事业收入”“经营收入”“其他收入”等不足以安排当年支出的情况下，使用非同级财政拨款结余资金弥补本年度收支缺口。</w:t>
      </w:r>
    </w:p>
    <w:p w14:paraId="72657275">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八、年初结转和结余：指以前年度尚未完成、结转到本年按有关规定继续使用的资金，或项目已完成等产生的结余资金。</w:t>
      </w:r>
    </w:p>
    <w:p w14:paraId="46E35FA2">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九、结余分配：指事业单位缴纳企业所得税以及从非财政拨款结余或经营结余中提取各类结余的情况。</w:t>
      </w:r>
    </w:p>
    <w:p w14:paraId="536BB398">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十、年末结转和结余：指本年度或以前年度预算安排、因客观条件发生变化无法按原计划实施，需要延迟到以后年度按有关规定继续使用的资金（不包括事业单位非财政拨款结余和专用结余）。</w:t>
      </w:r>
    </w:p>
    <w:p w14:paraId="42A2B740">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十一、基本支出：指为保障机构正常运转、完成日常工作任务而发生的人员支出和公用支出。</w:t>
      </w:r>
    </w:p>
    <w:p w14:paraId="1A889C71">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十二、项目支出：指在基本支出之外为完成特定行政任务和事业发展目标所发生的支出。</w:t>
      </w:r>
    </w:p>
    <w:p w14:paraId="46B65075">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十三、经营支出：指事业单位在专业业务活动及其辅助活动之外开展非独立核算经营活动发生的支出。</w:t>
      </w:r>
    </w:p>
    <w:p w14:paraId="274E2757">
      <w:pPr>
        <w:spacing w:line="578" w:lineRule="exact"/>
        <w:ind w:firstLine="640" w:firstLineChars="200"/>
        <w:rPr>
          <w:rFonts w:hint="eastAsia" w:ascii="仿宋_GB2312" w:hAnsi="ˎ̥" w:eastAsia="仿宋_GB2312"/>
          <w:sz w:val="32"/>
          <w:szCs w:val="32"/>
        </w:rPr>
      </w:pPr>
      <w:r>
        <w:rPr>
          <w:rFonts w:hint="eastAsia" w:ascii="仿宋_GB2312" w:hAnsi="ˎ̥" w:eastAsia="仿宋_GB2312"/>
          <w:sz w:val="32"/>
          <w:szCs w:val="32"/>
        </w:rPr>
        <w:t>十四、“三公”经费：纳入本级财政预决算管理的“三公”经费，是指用一般公共预算财政财政拨款、政府性基金预算财政拨款及国有资本经营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牌照费）及燃料费、维修费、过路过桥费、保险费、安全奖励费用等支出；公务接待费反映单位按规定开支的各类公务接待（含外宾接待）费用。</w:t>
      </w:r>
    </w:p>
    <w:p w14:paraId="64DE482D">
      <w:pPr>
        <w:spacing w:line="578" w:lineRule="exact"/>
        <w:ind w:firstLine="645"/>
      </w:pPr>
      <w:r>
        <w:rPr>
          <w:rFonts w:hint="eastAsia" w:ascii="仿宋_GB2312" w:hAnsi="ˎ̥" w:eastAsia="仿宋_GB2312"/>
          <w:sz w:val="32"/>
          <w:szCs w:val="32"/>
        </w:rPr>
        <w:t>十五、机关运行经费：为保障行政单位（含参照公务员法管理的事业单位）运行使用一般公共预算财政拨款安排的基本支出经费用于购买货物和服务的各项资金，包括办公及印刷费、邮电费、差旅费、会议费、福利费、日常维修费、专用材料及一般设备购置费、办公用房水电费、办公用房取暖费、办公用房物业管理费、公务用车运行维护费以及其他费用等。</w:t>
      </w:r>
    </w:p>
    <w:sectPr>
      <w:footerReference r:id="rId3" w:type="default"/>
      <w:footerReference r:id="rId4" w:type="even"/>
      <w:pgSz w:w="11906" w:h="16838"/>
      <w:pgMar w:top="1258" w:right="1474" w:bottom="130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MingLiU_HKSCS-ExtB">
    <w:panose1 w:val="02020500000000000000"/>
    <w:charset w:val="88"/>
    <w:family w:val="roman"/>
    <w:pitch w:val="default"/>
    <w:sig w:usb0="8000002F" w:usb1="02000008" w:usb2="00000000" w:usb3="00000000" w:csb0="0010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E475B">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18</w:t>
    </w:r>
    <w:r>
      <w:fldChar w:fldCharType="end"/>
    </w:r>
  </w:p>
  <w:p w14:paraId="595B24C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C76CD">
    <w:pPr>
      <w:pStyle w:val="5"/>
      <w:framePr w:wrap="around" w:vAnchor="text" w:hAnchor="margin" w:xAlign="center" w:y="1"/>
      <w:rPr>
        <w:rStyle w:val="10"/>
      </w:rPr>
    </w:pPr>
    <w:r>
      <w:fldChar w:fldCharType="begin"/>
    </w:r>
    <w:r>
      <w:rPr>
        <w:rStyle w:val="10"/>
      </w:rPr>
      <w:instrText xml:space="preserve">PAGE  </w:instrText>
    </w:r>
    <w:r>
      <w:fldChar w:fldCharType="separate"/>
    </w:r>
    <w:r>
      <w:fldChar w:fldCharType="end"/>
    </w:r>
  </w:p>
  <w:p w14:paraId="7713D3C5">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F78CA"/>
    <w:multiLevelType w:val="singleLevel"/>
    <w:tmpl w:val="AB2F78CA"/>
    <w:lvl w:ilvl="0" w:tentative="0">
      <w:start w:val="2"/>
      <w:numFmt w:val="chineseCounting"/>
      <w:suff w:val="nothing"/>
      <w:lvlText w:val="（%1）"/>
      <w:lvlJc w:val="left"/>
      <w:rPr>
        <w:rFonts w:hint="eastAsia"/>
      </w:rPr>
    </w:lvl>
  </w:abstractNum>
  <w:abstractNum w:abstractNumId="1">
    <w:nsid w:val="1B797918"/>
    <w:multiLevelType w:val="singleLevel"/>
    <w:tmpl w:val="1B79791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ODdmMmQyZTY1YzY3NTlmOTg1MGQ4ZTg0ZDJjYzcifQ=="/>
  </w:docVars>
  <w:rsids>
    <w:rsidRoot w:val="297B4783"/>
    <w:rsid w:val="00064A91"/>
    <w:rsid w:val="000718C4"/>
    <w:rsid w:val="000779B0"/>
    <w:rsid w:val="001E4E23"/>
    <w:rsid w:val="001E510D"/>
    <w:rsid w:val="001F28C1"/>
    <w:rsid w:val="001F4EC0"/>
    <w:rsid w:val="00213789"/>
    <w:rsid w:val="002A6E07"/>
    <w:rsid w:val="0034456B"/>
    <w:rsid w:val="003D2F77"/>
    <w:rsid w:val="004C755C"/>
    <w:rsid w:val="004D515A"/>
    <w:rsid w:val="004D5572"/>
    <w:rsid w:val="0050273F"/>
    <w:rsid w:val="00513897"/>
    <w:rsid w:val="00530C81"/>
    <w:rsid w:val="005C43A2"/>
    <w:rsid w:val="005E64FB"/>
    <w:rsid w:val="005F5987"/>
    <w:rsid w:val="00602EED"/>
    <w:rsid w:val="006B0D64"/>
    <w:rsid w:val="00731FC7"/>
    <w:rsid w:val="00740E64"/>
    <w:rsid w:val="00754F6E"/>
    <w:rsid w:val="007A4101"/>
    <w:rsid w:val="008232A9"/>
    <w:rsid w:val="00896ADB"/>
    <w:rsid w:val="009A2744"/>
    <w:rsid w:val="00A54A37"/>
    <w:rsid w:val="00A70448"/>
    <w:rsid w:val="00AA19F3"/>
    <w:rsid w:val="00AC28EE"/>
    <w:rsid w:val="00AC3F0E"/>
    <w:rsid w:val="00B36E61"/>
    <w:rsid w:val="00B409FF"/>
    <w:rsid w:val="00B4133E"/>
    <w:rsid w:val="00B54DE8"/>
    <w:rsid w:val="00B63E9E"/>
    <w:rsid w:val="00BC0439"/>
    <w:rsid w:val="00C04C21"/>
    <w:rsid w:val="00C7436A"/>
    <w:rsid w:val="00CA0F14"/>
    <w:rsid w:val="00CA536B"/>
    <w:rsid w:val="00CB0D1E"/>
    <w:rsid w:val="00CD6E49"/>
    <w:rsid w:val="00CD794A"/>
    <w:rsid w:val="00DB612B"/>
    <w:rsid w:val="00DC2A37"/>
    <w:rsid w:val="00E07782"/>
    <w:rsid w:val="00E70EA3"/>
    <w:rsid w:val="00F0336A"/>
    <w:rsid w:val="00F06DA9"/>
    <w:rsid w:val="00F103D6"/>
    <w:rsid w:val="00F25220"/>
    <w:rsid w:val="00FA2884"/>
    <w:rsid w:val="00FC03DC"/>
    <w:rsid w:val="00FC5708"/>
    <w:rsid w:val="01536744"/>
    <w:rsid w:val="03480BFA"/>
    <w:rsid w:val="0519469B"/>
    <w:rsid w:val="0F01403C"/>
    <w:rsid w:val="0FC80124"/>
    <w:rsid w:val="136F98C7"/>
    <w:rsid w:val="17427E68"/>
    <w:rsid w:val="1C4515B4"/>
    <w:rsid w:val="1CA52F2E"/>
    <w:rsid w:val="1E3630B9"/>
    <w:rsid w:val="228C104B"/>
    <w:rsid w:val="251610A0"/>
    <w:rsid w:val="26EEC2B5"/>
    <w:rsid w:val="29353D69"/>
    <w:rsid w:val="297B4783"/>
    <w:rsid w:val="2B08148B"/>
    <w:rsid w:val="2DDD275B"/>
    <w:rsid w:val="2FBD7C9A"/>
    <w:rsid w:val="343C3F54"/>
    <w:rsid w:val="37555A58"/>
    <w:rsid w:val="37B87D95"/>
    <w:rsid w:val="37FDA7E2"/>
    <w:rsid w:val="39FC6DED"/>
    <w:rsid w:val="3FE61EE5"/>
    <w:rsid w:val="47E1228F"/>
    <w:rsid w:val="4C6877E5"/>
    <w:rsid w:val="4D0400DB"/>
    <w:rsid w:val="4D2D217F"/>
    <w:rsid w:val="4DE634E4"/>
    <w:rsid w:val="4EA86137"/>
    <w:rsid w:val="511F0D8E"/>
    <w:rsid w:val="56CA7FD0"/>
    <w:rsid w:val="5E826D32"/>
    <w:rsid w:val="5F7D3333"/>
    <w:rsid w:val="61385890"/>
    <w:rsid w:val="61CB4439"/>
    <w:rsid w:val="6E361438"/>
    <w:rsid w:val="6E5B33C5"/>
    <w:rsid w:val="6E9D5013"/>
    <w:rsid w:val="6F414CE4"/>
    <w:rsid w:val="6F670F9B"/>
    <w:rsid w:val="75956FFF"/>
    <w:rsid w:val="77C6382D"/>
    <w:rsid w:val="7DB0448C"/>
    <w:rsid w:val="7E5F9AA4"/>
    <w:rsid w:val="8FFC8888"/>
    <w:rsid w:val="A7F73C99"/>
    <w:rsid w:val="BFFE3BF4"/>
    <w:rsid w:val="DFEBDA37"/>
    <w:rsid w:val="EF6FCA1D"/>
    <w:rsid w:val="EFFF57D6"/>
    <w:rsid w:val="FD33A2D0"/>
    <w:rsid w:val="FF7FA20F"/>
    <w:rsid w:val="FFFE81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qFormat/>
    <w:uiPriority w:val="0"/>
    <w:rPr>
      <w:b/>
      <w:bCs/>
    </w:rPr>
  </w:style>
  <w:style w:type="character" w:styleId="10">
    <w:name w:val="page number"/>
    <w:qFormat/>
    <w:uiPriority w:val="0"/>
  </w:style>
  <w:style w:type="character" w:styleId="11">
    <w:name w:val="annotation reference"/>
    <w:qFormat/>
    <w:uiPriority w:val="0"/>
    <w:rPr>
      <w:sz w:val="21"/>
      <w:szCs w:val="21"/>
    </w:rPr>
  </w:style>
  <w:style w:type="character" w:customStyle="1" w:styleId="12">
    <w:name w:val="批注文字 Char"/>
    <w:qFormat/>
    <w:uiPriority w:val="0"/>
    <w:rPr>
      <w:kern w:val="2"/>
      <w:sz w:val="21"/>
      <w:szCs w:val="24"/>
    </w:rPr>
  </w:style>
  <w:style w:type="character" w:customStyle="1" w:styleId="13">
    <w:name w:val="批注框文本 Char"/>
    <w:qFormat/>
    <w:uiPriority w:val="0"/>
    <w:rPr>
      <w:kern w:val="2"/>
      <w:sz w:val="18"/>
      <w:szCs w:val="18"/>
    </w:rPr>
  </w:style>
  <w:style w:type="character" w:customStyle="1" w:styleId="14">
    <w:name w:val="页眉 Char"/>
    <w:qFormat/>
    <w:uiPriority w:val="0"/>
    <w:rPr>
      <w:kern w:val="2"/>
      <w:sz w:val="18"/>
      <w:szCs w:val="18"/>
    </w:rPr>
  </w:style>
  <w:style w:type="character" w:customStyle="1" w:styleId="15">
    <w:name w:val="批注主题 Char"/>
    <w:qFormat/>
    <w:uiPriority w:val="0"/>
    <w:rPr>
      <w:b/>
      <w:bCs/>
      <w:kern w:val="2"/>
      <w:sz w:val="21"/>
      <w:szCs w:val="24"/>
    </w:rPr>
  </w:style>
  <w:style w:type="paragraph" w:customStyle="1" w:styleId="16">
    <w:name w:val="WPSOffice手动目录 1"/>
    <w:qFormat/>
    <w:uiPriority w:val="0"/>
    <w:rPr>
      <w:rFonts w:ascii="Times New Roman" w:hAnsi="Times New Roman" w:eastAsia="宋体" w:cs="Times New Roman"/>
      <w:lang w:val="en-US" w:eastAsia="zh-CN" w:bidi="ar-SA"/>
    </w:rPr>
  </w:style>
  <w:style w:type="paragraph" w:customStyle="1" w:styleId="17">
    <w:name w:val="WPSOffice手动目录 2"/>
    <w:qFormat/>
    <w:uiPriority w:val="0"/>
    <w:pPr>
      <w:ind w:leftChars="200"/>
    </w:pPr>
    <w:rPr>
      <w:rFonts w:ascii="Times New Roman" w:hAnsi="Times New Roman" w:eastAsia="宋体" w:cs="Times New Roman"/>
      <w:lang w:val="en-US" w:eastAsia="zh-CN" w:bidi="ar-SA"/>
    </w:rPr>
  </w:style>
  <w:style w:type="paragraph" w:customStyle="1" w:styleId="18">
    <w:name w:val="正文1 Char Char Char"/>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K:\2024&#24180;&#25991;&#20214;\2023&#20915;&#31639;&#25253;&#34920;\&#30333;&#27801;&#40654;&#26063;&#33258;&#27835;&#21439;&#37030;&#28330;&#38215;&#20013;&#24515;&#23398;&#26657;&#21333;&#20301;2023&#24180;&#24230;&#37096;&#38376;&#20915;&#31639;&#20844;&#24320;&#25253;&#2157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白沙黎族自治县邦溪镇中心学校单位2023年度部门决算公开报告.dot</Template>
  <Pages>11</Pages>
  <Words>4648</Words>
  <Characters>5111</Characters>
  <Lines>67</Lines>
  <Paragraphs>18</Paragraphs>
  <TotalTime>9</TotalTime>
  <ScaleCrop>false</ScaleCrop>
  <LinksUpToDate>false</LinksUpToDate>
  <CharactersWithSpaces>5159</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2024-08-24T02:53:00Z</dcterms:created>
  <dc:creator>Administrator</dc:creator>
  <cp:lastModifiedBy>k09</cp:lastModifiedBy>
  <cp:lastPrinted>2024-08-27T04:49:00Z</cp:lastPrinted>
  <dcterms:modified xsi:type="dcterms:W3CDTF">2024-08-27T08:36:42Z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E81CECFBAD734BEBA2873D396436B6B1_11</vt:lpwstr>
  </property>
</Properties>
</file>