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6A8E8">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 w:val="0"/>
          <w:bCs/>
          <w:sz w:val="36"/>
          <w:szCs w:val="44"/>
        </w:rPr>
      </w:pPr>
      <w:bookmarkStart w:id="0" w:name="_GoBack"/>
      <w:r>
        <w:rPr>
          <w:rFonts w:hint="eastAsia" w:ascii="方正小标宋简体" w:hAnsi="方正小标宋简体" w:eastAsia="方正小标宋简体" w:cs="方正小标宋简体"/>
          <w:b w:val="0"/>
          <w:bCs/>
          <w:sz w:val="36"/>
          <w:szCs w:val="44"/>
          <w:lang w:eastAsia="zh-CN"/>
        </w:rPr>
        <w:t>白沙黎族自治县民族歌舞团</w:t>
      </w:r>
      <w:r>
        <w:rPr>
          <w:rFonts w:hint="eastAsia" w:ascii="方正小标宋简体" w:hAnsi="方正小标宋简体" w:eastAsia="方正小标宋简体" w:cs="方正小标宋简体"/>
          <w:b w:val="0"/>
          <w:bCs/>
          <w:sz w:val="36"/>
          <w:szCs w:val="44"/>
          <w:lang w:val="en-US" w:eastAsia="zh-CN"/>
        </w:rPr>
        <w:t>海南</w:t>
      </w:r>
      <w:r>
        <w:rPr>
          <w:rFonts w:hint="eastAsia" w:ascii="方正小标宋简体" w:hAnsi="方正小标宋简体" w:eastAsia="方正小标宋简体" w:cs="方正小标宋简体"/>
          <w:b w:val="0"/>
          <w:bCs/>
          <w:sz w:val="36"/>
          <w:szCs w:val="44"/>
        </w:rPr>
        <w:t>省</w:t>
      </w:r>
      <w:r>
        <w:rPr>
          <w:rFonts w:hint="eastAsia" w:ascii="方正小标宋简体" w:hAnsi="方正小标宋简体" w:eastAsia="方正小标宋简体" w:cs="方正小标宋简体"/>
          <w:b w:val="0"/>
          <w:bCs/>
          <w:sz w:val="36"/>
          <w:szCs w:val="44"/>
          <w:lang w:val="en-US" w:eastAsia="zh-CN"/>
        </w:rPr>
        <w:t>公共文化服务体系建设补助资金</w:t>
      </w:r>
      <w:r>
        <w:rPr>
          <w:rFonts w:hint="eastAsia" w:ascii="方正小标宋简体" w:hAnsi="方正小标宋简体" w:eastAsia="方正小标宋简体" w:cs="方正小标宋简体"/>
          <w:b w:val="0"/>
          <w:bCs/>
          <w:sz w:val="36"/>
          <w:szCs w:val="44"/>
        </w:rPr>
        <w:t>转移支付20</w:t>
      </w:r>
      <w:r>
        <w:rPr>
          <w:rFonts w:hint="eastAsia" w:ascii="方正小标宋简体" w:hAnsi="方正小标宋简体" w:eastAsia="方正小标宋简体" w:cs="方正小标宋简体"/>
          <w:b w:val="0"/>
          <w:bCs/>
          <w:sz w:val="36"/>
          <w:szCs w:val="44"/>
          <w:lang w:val="en-US" w:eastAsia="zh-CN"/>
        </w:rPr>
        <w:t>2</w:t>
      </w:r>
      <w:r>
        <w:rPr>
          <w:rFonts w:hint="default" w:ascii="方正小标宋简体" w:hAnsi="方正小标宋简体" w:eastAsia="方正小标宋简体" w:cs="方正小标宋简体"/>
          <w:b w:val="0"/>
          <w:bCs/>
          <w:sz w:val="36"/>
          <w:szCs w:val="44"/>
          <w:lang w:val="en" w:eastAsia="zh-CN"/>
        </w:rPr>
        <w:t>5</w:t>
      </w:r>
      <w:r>
        <w:rPr>
          <w:rFonts w:hint="eastAsia" w:ascii="方正小标宋简体" w:hAnsi="方正小标宋简体" w:eastAsia="方正小标宋简体" w:cs="方正小标宋简体"/>
          <w:b w:val="0"/>
          <w:bCs/>
          <w:sz w:val="36"/>
          <w:szCs w:val="44"/>
        </w:rPr>
        <w:t>年度绩效自评报告</w:t>
      </w:r>
    </w:p>
    <w:bookmarkEnd w:id="0"/>
    <w:p w14:paraId="11FF06A4">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hint="eastAsia" w:ascii="黑体" w:hAnsi="黑体" w:eastAsia="黑体" w:cs="黑体"/>
          <w:bCs/>
          <w:szCs w:val="32"/>
        </w:rPr>
      </w:pPr>
    </w:p>
    <w:p w14:paraId="3C9B7BCE">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ascii="黑体" w:hAnsi="黑体" w:eastAsia="黑体" w:cs="黑体"/>
          <w:bCs/>
          <w:szCs w:val="32"/>
        </w:rPr>
      </w:pPr>
      <w:r>
        <w:rPr>
          <w:rFonts w:hint="eastAsia" w:ascii="黑体" w:hAnsi="黑体" w:eastAsia="黑体" w:cs="黑体"/>
          <w:bCs/>
          <w:szCs w:val="32"/>
        </w:rPr>
        <w:t>一、绩效目标分解下达情况</w:t>
      </w:r>
    </w:p>
    <w:p w14:paraId="0C35BB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20" w:leftChars="0" w:firstLine="640" w:firstLineChars="200"/>
        <w:textAlignment w:val="auto"/>
        <w:rPr>
          <w:rFonts w:ascii="仿宋_GB231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eastAsia="zh-CN"/>
        </w:rPr>
        <w:t>根据《海南省财政厅关于提前下达</w:t>
      </w:r>
      <w:r>
        <w:rPr>
          <w:rFonts w:hint="eastAsia" w:ascii="仿宋_GB2312" w:hAnsi="仿宋_GB2312" w:eastAsia="仿宋_GB2312" w:cs="仿宋_GB2312"/>
          <w:sz w:val="32"/>
          <w:szCs w:val="32"/>
          <w:lang w:val="en-US" w:eastAsia="zh-CN"/>
        </w:rPr>
        <w:t>2025年中央支持地方公共文化服务体系建设补助资金预算的通知》（琼财旅〔2024〕1560号）文件，白沙黎族自治县旅游和文化广电体育局调剂给白沙黎族自治县民族歌舞团公共文化服务体系建设专项资金为33.00万元，用于</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lang w:val="en-US" w:eastAsia="zh-CN"/>
        </w:rPr>
        <w:t>2025年文化下乡惠民演出活动66场。以</w:t>
      </w:r>
      <w:r>
        <w:rPr>
          <w:rFonts w:hint="eastAsia" w:ascii="仿宋_GB2312" w:hAnsi="仿宋_GB2312" w:eastAsia="仿宋_GB2312" w:cs="仿宋_GB2312"/>
          <w:b w:val="0"/>
          <w:bCs w:val="0"/>
          <w:i w:val="0"/>
          <w:iCs w:val="0"/>
          <w:smallCaps w:val="0"/>
          <w:strike w:val="0"/>
          <w:color w:val="auto"/>
          <w:spacing w:val="0"/>
          <w:w w:val="100"/>
          <w:position w:val="0"/>
          <w:sz w:val="32"/>
          <w:szCs w:val="32"/>
          <w:lang w:val="en-US" w:eastAsia="zh-CN"/>
        </w:rPr>
        <w:t>宣传党的路线、方针政策,弘扬中华民族优秀传统文化、弘扬时代主旋律，组织各种文化艺术活动，向广大人民群众进行思想道德教育和审美、表美、创美教育，运用文化艺术手段向群众普及科学文化知识，</w:t>
      </w:r>
      <w:r>
        <w:rPr>
          <w:rFonts w:hint="eastAsia" w:ascii="仿宋_GB2312" w:hAnsi="仿宋_GB2312" w:eastAsia="仿宋_GB2312" w:cs="仿宋_GB2312"/>
          <w:color w:val="auto"/>
          <w:kern w:val="0"/>
          <w:sz w:val="32"/>
          <w:szCs w:val="32"/>
          <w:lang w:eastAsia="zh-CN"/>
        </w:rPr>
        <w:t>做</w:t>
      </w:r>
      <w:r>
        <w:rPr>
          <w:rFonts w:hint="eastAsia" w:ascii="仿宋_GB2312" w:hAnsi="仿宋_GB2312" w:eastAsia="仿宋_GB2312" w:cs="仿宋_GB2312"/>
          <w:b w:val="0"/>
          <w:bCs w:val="0"/>
          <w:i w:val="0"/>
          <w:iCs w:val="0"/>
          <w:smallCaps w:val="0"/>
          <w:strike w:val="0"/>
          <w:color w:val="auto"/>
          <w:spacing w:val="0"/>
          <w:w w:val="100"/>
          <w:position w:val="0"/>
          <w:sz w:val="32"/>
          <w:szCs w:val="32"/>
          <w:lang w:val="en-US" w:eastAsia="zh-CN"/>
        </w:rPr>
        <w:t>好群众文艺队伍建设,辅导、培训群众文艺骨干，组建多种门类的群众文艺团队,开展群众文艺创作活动，非物质文化遗产保护、传承和展演工作</w:t>
      </w:r>
      <w:r>
        <w:rPr>
          <w:rFonts w:hint="eastAsia" w:ascii="仿宋_GB2312" w:hAnsi="仿宋_GB2312" w:cs="仿宋_GB2312"/>
          <w:b w:val="0"/>
          <w:bCs w:val="0"/>
          <w:i w:val="0"/>
          <w:iCs w:val="0"/>
          <w:smallCaps w:val="0"/>
          <w:strike w:val="0"/>
          <w:color w:val="auto"/>
          <w:spacing w:val="0"/>
          <w:w w:val="100"/>
          <w:position w:val="0"/>
          <w:sz w:val="32"/>
          <w:szCs w:val="32"/>
          <w:lang w:val="en-US" w:eastAsia="zh-CN"/>
        </w:rPr>
        <w:t>。</w:t>
      </w:r>
      <w:r>
        <w:rPr>
          <w:rFonts w:hint="eastAsia" w:ascii="仿宋_GB2312" w:hAnsi="仿宋_GB2312" w:eastAsia="仿宋_GB2312" w:cs="仿宋_GB2312"/>
          <w:sz w:val="32"/>
          <w:szCs w:val="32"/>
          <w:lang w:val="en-US" w:eastAsia="zh-CN"/>
        </w:rPr>
        <w:t>主要内容包括：围绕“我的中国梦－文化进万家”、“春风村雨”“新农村建设”等内容，以民族歌舞、现代歌舞、黎族乐器演奏、男女声独唱、小组合唱等</w:t>
      </w:r>
      <w:r>
        <w:rPr>
          <w:rFonts w:hint="eastAsia" w:ascii="仿宋_GB2312" w:hAnsi="仿宋_GB2312" w:eastAsia="仿宋_GB2312" w:cs="仿宋_GB2312"/>
          <w:sz w:val="32"/>
          <w:szCs w:val="32"/>
        </w:rPr>
        <w:t>群众喜闻乐见</w:t>
      </w:r>
      <w:r>
        <w:rPr>
          <w:rFonts w:hint="eastAsia" w:ascii="仿宋_GB2312" w:hAnsi="仿宋_GB2312" w:eastAsia="仿宋_GB2312" w:cs="仿宋_GB2312"/>
          <w:sz w:val="32"/>
          <w:szCs w:val="32"/>
          <w:lang w:val="en-US" w:eastAsia="zh-CN"/>
        </w:rPr>
        <w:t>的节目形式开展惠民演出，每场演出时长约100分钟。为提高群众参与度在开展惠民演出过程可融入有奖知识问答环节，如党建、移风易俗、普法等。形式</w:t>
      </w:r>
      <w:r>
        <w:rPr>
          <w:rFonts w:hint="eastAsia" w:ascii="仿宋_GB2312" w:hAnsi="仿宋_GB2312" w:eastAsia="仿宋_GB2312" w:cs="仿宋_GB2312"/>
          <w:sz w:val="32"/>
          <w:szCs w:val="32"/>
        </w:rPr>
        <w:t>深入实施文化惠民工程，丰富和活跃农村群众文化娱乐生活，重点把文艺节目表演向各乡镇、村委会、自然村</w:t>
      </w:r>
      <w:r>
        <w:rPr>
          <w:rFonts w:hint="eastAsia" w:ascii="仿宋_GB2312" w:hAnsi="仿宋_GB2312" w:eastAsia="仿宋_GB2312" w:cs="仿宋_GB2312"/>
          <w:sz w:val="32"/>
          <w:szCs w:val="32"/>
          <w:lang w:eastAsia="zh-CN"/>
        </w:rPr>
        <w:t>靠近</w:t>
      </w:r>
      <w:r>
        <w:rPr>
          <w:rFonts w:hint="eastAsia" w:ascii="仿宋_GB2312" w:hAnsi="仿宋_GB2312" w:eastAsia="仿宋_GB2312" w:cs="仿宋_GB2312"/>
          <w:sz w:val="32"/>
          <w:szCs w:val="32"/>
        </w:rPr>
        <w:t>，为弘扬和践行社会主义核心价值观，丰富人民群众精神文化生活，促进我县文化繁荣发展，赋能乡村振兴，</w:t>
      </w:r>
      <w:r>
        <w:rPr>
          <w:rFonts w:hint="eastAsia" w:ascii="仿宋_GB2312" w:hAnsi="仿宋_GB2312" w:eastAsia="仿宋_GB2312" w:cs="仿宋_GB2312"/>
          <w:sz w:val="32"/>
          <w:szCs w:val="32"/>
          <w:lang w:eastAsia="zh-CN"/>
        </w:rPr>
        <w:t>通过思想深刻、清新质朴、刚健有力的优秀作品滋养人民的审美价值观，</w:t>
      </w:r>
      <w:r>
        <w:rPr>
          <w:rFonts w:hint="eastAsia" w:ascii="仿宋_GB2312" w:hAnsi="仿宋_GB2312" w:eastAsia="仿宋_GB2312" w:cs="仿宋_GB2312"/>
          <w:sz w:val="32"/>
          <w:szCs w:val="32"/>
        </w:rPr>
        <w:t>丰富和活跃新农村群众的文化生活，不断满足人民群众日益增长的文化需求</w:t>
      </w:r>
      <w:r>
        <w:rPr>
          <w:rFonts w:hint="eastAsia" w:ascii="仿宋_GB2312" w:hAnsi="仿宋_GB2312" w:eastAsia="仿宋_GB2312" w:cs="仿宋_GB2312"/>
          <w:sz w:val="32"/>
          <w:szCs w:val="32"/>
          <w:lang w:eastAsia="zh-CN"/>
        </w:rPr>
        <w:t>。</w:t>
      </w:r>
    </w:p>
    <w:p w14:paraId="201C64BD">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ascii="黑体" w:hAnsi="黑体" w:eastAsia="黑体" w:cs="黑体"/>
          <w:bCs/>
          <w:szCs w:val="32"/>
          <w:highlight w:val="none"/>
        </w:rPr>
      </w:pPr>
      <w:r>
        <w:rPr>
          <w:rFonts w:hint="eastAsia" w:ascii="黑体" w:hAnsi="黑体" w:eastAsia="黑体" w:cs="黑体"/>
          <w:bCs/>
          <w:szCs w:val="32"/>
          <w:highlight w:val="none"/>
        </w:rPr>
        <w:t>二、</w:t>
      </w:r>
      <w:r>
        <w:rPr>
          <w:rFonts w:hint="eastAsia" w:ascii="黑体" w:hAnsi="黑体" w:eastAsia="黑体" w:cs="黑体"/>
          <w:bCs/>
          <w:szCs w:val="32"/>
          <w:highlight w:val="none"/>
          <w:lang w:eastAsia="zh-CN"/>
        </w:rPr>
        <w:t>绩效</w:t>
      </w:r>
      <w:r>
        <w:rPr>
          <w:rFonts w:hint="eastAsia" w:ascii="黑体" w:hAnsi="黑体" w:eastAsia="黑体" w:cs="黑体"/>
          <w:bCs/>
          <w:szCs w:val="32"/>
          <w:highlight w:val="none"/>
        </w:rPr>
        <w:t>情况分析</w:t>
      </w:r>
    </w:p>
    <w:p w14:paraId="0CAAD4F0">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outlineLvl w:val="0"/>
        <w:rPr>
          <w:rFonts w:hint="eastAsia" w:ascii="仿宋_GB2312" w:hAnsi="仿宋_GB2312" w:eastAsia="仿宋_GB2312" w:cs="仿宋_GB2312"/>
          <w:b w:val="0"/>
          <w:bCs w:val="0"/>
          <w:szCs w:val="32"/>
          <w:highlight w:val="none"/>
          <w:lang w:eastAsia="zh-CN"/>
        </w:rPr>
      </w:pPr>
      <w:r>
        <w:rPr>
          <w:rFonts w:hint="eastAsia" w:ascii="楷体_GB2312" w:hAnsi="楷体_GB2312" w:eastAsia="楷体_GB2312" w:cs="楷体_GB2312"/>
          <w:b w:val="0"/>
          <w:bCs w:val="0"/>
          <w:szCs w:val="32"/>
          <w:highlight w:val="none"/>
        </w:rPr>
        <w:t>（一）资金投入情况分析</w:t>
      </w:r>
    </w:p>
    <w:p w14:paraId="16DB2E9C">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根据《海南省财政厅关于提前下达</w:t>
      </w:r>
      <w:r>
        <w:rPr>
          <w:rFonts w:hint="eastAsia" w:ascii="仿宋_GB2312" w:hAnsi="仿宋_GB2312" w:eastAsia="仿宋_GB2312" w:cs="仿宋_GB2312"/>
          <w:sz w:val="32"/>
          <w:szCs w:val="32"/>
          <w:lang w:val="en-US" w:eastAsia="zh-CN"/>
        </w:rPr>
        <w:t>2025年中央支持地方公共文化服务体系建设补助资金预算的通知》（琼财旅〔2024〕1560号）文件，本项目2025年可执行预算为</w:t>
      </w:r>
      <w:r>
        <w:rPr>
          <w:rFonts w:hint="eastAsia" w:ascii="仿宋_GB2312" w:hAnsi="仿宋_GB2312" w:cs="仿宋_GB2312"/>
          <w:sz w:val="32"/>
          <w:szCs w:val="32"/>
          <w:lang w:val="en-US" w:eastAsia="zh-CN"/>
        </w:rPr>
        <w:t>33</w:t>
      </w:r>
      <w:r>
        <w:rPr>
          <w:rFonts w:hint="eastAsia" w:ascii="仿宋_GB2312" w:hAnsi="仿宋_GB2312" w:eastAsia="仿宋_GB2312" w:cs="仿宋_GB2312"/>
          <w:sz w:val="32"/>
          <w:szCs w:val="32"/>
          <w:lang w:val="en-US" w:eastAsia="zh-CN"/>
        </w:rPr>
        <w:t>.00万元，</w:t>
      </w:r>
      <w:r>
        <w:rPr>
          <w:rFonts w:hint="eastAsia" w:ascii="仿宋_GB2312" w:hAnsi="仿宋_GB2312" w:eastAsia="仿宋_GB2312" w:cs="仿宋_GB2312"/>
          <w:sz w:val="32"/>
          <w:szCs w:val="32"/>
        </w:rPr>
        <w:t>到位及时率100%，为项目的顺利开展提供了坚实的资金保障。截至202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12月25日</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实际支出</w:t>
      </w:r>
      <w:r>
        <w:rPr>
          <w:rFonts w:hint="eastAsia" w:ascii="仿宋_GB2312" w:hAnsi="仿宋_GB2312" w:eastAsia="仿宋_GB2312" w:cs="仿宋_GB2312"/>
          <w:sz w:val="32"/>
          <w:szCs w:val="32"/>
          <w:lang w:val="en-US" w:eastAsia="zh-CN"/>
        </w:rPr>
        <w:t>32.78万</w:t>
      </w:r>
      <w:r>
        <w:rPr>
          <w:rFonts w:hint="eastAsia" w:ascii="仿宋_GB2312" w:hAnsi="仿宋_GB2312" w:eastAsia="仿宋_GB2312" w:cs="仿宋_GB2312"/>
          <w:sz w:val="32"/>
          <w:szCs w:val="32"/>
        </w:rPr>
        <w:t>元，执行率达</w:t>
      </w:r>
      <w:r>
        <w:rPr>
          <w:rFonts w:hint="eastAsia" w:ascii="仿宋_GB2312" w:hAnsi="仿宋_GB2312" w:eastAsia="仿宋_GB2312" w:cs="仿宋_GB2312"/>
          <w:sz w:val="32"/>
          <w:szCs w:val="32"/>
          <w:lang w:val="en-US" w:eastAsia="zh-CN"/>
        </w:rPr>
        <w:t>99.33</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w:t>
      </w:r>
    </w:p>
    <w:p w14:paraId="3EF0412A">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outlineLvl w:val="0"/>
        <w:rPr>
          <w:rFonts w:hint="eastAsia" w:ascii="楷体_GB2312" w:hAnsi="楷体_GB2312" w:eastAsia="楷体_GB2312" w:cs="楷体_GB2312"/>
          <w:b w:val="0"/>
          <w:bCs w:val="0"/>
          <w:szCs w:val="32"/>
          <w:highlight w:val="none"/>
          <w:lang w:eastAsia="zh-CN"/>
        </w:rPr>
      </w:pPr>
      <w:r>
        <w:rPr>
          <w:rFonts w:hint="eastAsia" w:ascii="楷体_GB2312" w:hAnsi="楷体_GB2312" w:eastAsia="楷体_GB2312" w:cs="楷体_GB2312"/>
          <w:b w:val="0"/>
          <w:bCs w:val="0"/>
          <w:szCs w:val="32"/>
          <w:highlight w:val="none"/>
          <w:lang w:eastAsia="zh-CN"/>
        </w:rPr>
        <w:t>（</w:t>
      </w:r>
      <w:r>
        <w:rPr>
          <w:rFonts w:hint="eastAsia" w:ascii="楷体_GB2312" w:hAnsi="楷体_GB2312" w:eastAsia="楷体_GB2312" w:cs="楷体_GB2312"/>
          <w:b w:val="0"/>
          <w:bCs w:val="0"/>
          <w:szCs w:val="32"/>
          <w:highlight w:val="none"/>
          <w:lang w:val="en-US" w:eastAsia="zh-CN"/>
        </w:rPr>
        <w:t>二</w:t>
      </w:r>
      <w:r>
        <w:rPr>
          <w:rFonts w:hint="eastAsia" w:ascii="楷体_GB2312" w:hAnsi="楷体_GB2312" w:eastAsia="楷体_GB2312" w:cs="楷体_GB2312"/>
          <w:b w:val="0"/>
          <w:bCs w:val="0"/>
          <w:szCs w:val="32"/>
          <w:highlight w:val="none"/>
          <w:lang w:eastAsia="zh-CN"/>
        </w:rPr>
        <w:t>）资金管理情况分析</w:t>
      </w:r>
    </w:p>
    <w:p w14:paraId="0FB18F83">
      <w:pPr>
        <w:ind w:firstLine="640" w:firstLineChars="200"/>
        <w:rPr>
          <w:rFonts w:hint="eastAsia"/>
          <w:sz w:val="32"/>
          <w:szCs w:val="32"/>
        </w:rPr>
      </w:pPr>
      <w:r>
        <w:rPr>
          <w:rFonts w:hint="eastAsia"/>
          <w:sz w:val="32"/>
          <w:szCs w:val="32"/>
          <w:lang w:eastAsia="zh-CN"/>
        </w:rPr>
        <w:t>制定严格的资金管理制度，明确资金使用范围、审批流程和监管机制，资金使用过程中，严格执行财务制度，确保专款专用，杜绝资金挪用、截留等现象。对资金使用情况进行公示，接受社会监督，保障资金使用的透明度和安全性</w:t>
      </w:r>
      <w:r>
        <w:rPr>
          <w:rFonts w:hint="eastAsia"/>
          <w:sz w:val="32"/>
          <w:szCs w:val="32"/>
          <w:lang w:val="en-US" w:eastAsia="zh-CN"/>
        </w:rPr>
        <w:t>，资金拨付具有完整的审批程序，资金支出用途符合预算批复及合同规定的用途，未发现截留、挤占、挪用、虚列支出等情况。</w:t>
      </w:r>
    </w:p>
    <w:p w14:paraId="65057FE3">
      <w:pPr>
        <w:widowControl w:val="0"/>
        <w:numPr>
          <w:ilvl w:val="0"/>
          <w:numId w:val="0"/>
        </w:numPr>
        <w:spacing w:line="360" w:lineRule="auto"/>
        <w:ind w:firstLine="600" w:firstLineChars="200"/>
        <w:jc w:val="both"/>
        <w:rPr>
          <w:rFonts w:hint="eastAsia" w:ascii="仿宋" w:hAnsi="仿宋" w:eastAsia="仿宋" w:cs="黑体"/>
          <w:b w:val="0"/>
          <w:bCs w:val="0"/>
          <w:lang w:val="en-US" w:eastAsia="zh-CN"/>
        </w:rPr>
      </w:pPr>
      <w:r>
        <w:rPr>
          <w:rFonts w:hint="eastAsia" w:ascii="楷体_GB2312" w:hAnsi="楷体_GB2312" w:eastAsia="楷体_GB2312" w:cs="楷体_GB2312"/>
          <w:b w:val="0"/>
          <w:bCs w:val="0"/>
          <w:szCs w:val="32"/>
        </w:rPr>
        <w:t>（</w:t>
      </w:r>
      <w:r>
        <w:rPr>
          <w:rFonts w:hint="eastAsia" w:ascii="楷体_GB2312" w:hAnsi="楷体_GB2312" w:eastAsia="楷体_GB2312" w:cs="楷体_GB2312"/>
          <w:b w:val="0"/>
          <w:bCs w:val="0"/>
          <w:szCs w:val="32"/>
          <w:lang w:eastAsia="zh-CN"/>
        </w:rPr>
        <w:t>三</w:t>
      </w:r>
      <w:r>
        <w:rPr>
          <w:rFonts w:hint="eastAsia" w:ascii="楷体_GB2312" w:hAnsi="楷体_GB2312" w:eastAsia="楷体_GB2312" w:cs="楷体_GB2312"/>
          <w:b w:val="0"/>
          <w:bCs w:val="0"/>
          <w:szCs w:val="32"/>
        </w:rPr>
        <w:t>）总体绩效目标完成情况分析</w:t>
      </w:r>
    </w:p>
    <w:p w14:paraId="5D4B7566">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项目经济性分析</w:t>
      </w:r>
    </w:p>
    <w:p w14:paraId="0FC9FFF5">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（1）项目成本（预算）控制情况</w:t>
      </w:r>
    </w:p>
    <w:p w14:paraId="331D6C23">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eastAsia="仿宋"/>
          <w:sz w:val="32"/>
          <w:szCs w:val="32"/>
          <w:lang w:val="en-US" w:eastAsia="zh-CN"/>
        </w:rPr>
      </w:pPr>
      <w:r>
        <w:rPr>
          <w:rFonts w:hint="eastAsia" w:ascii="仿宋_GB2312" w:hAnsi="仿宋_GB2312" w:eastAsia="仿宋_GB2312" w:cs="仿宋_GB2312"/>
          <w:sz w:val="32"/>
          <w:szCs w:val="32"/>
          <w:lang w:val="en-US" w:eastAsia="zh-CN"/>
        </w:rPr>
        <w:t>2025年度根据</w:t>
      </w:r>
      <w:r>
        <w:rPr>
          <w:rFonts w:hint="eastAsia" w:ascii="仿宋_GB2312" w:hAnsi="仿宋_GB2312" w:eastAsia="仿宋_GB2312" w:cs="仿宋_GB2312"/>
          <w:sz w:val="32"/>
          <w:szCs w:val="32"/>
          <w:lang w:eastAsia="zh-CN"/>
        </w:rPr>
        <w:t>公共文化服务体系建设专项资金下达预算数</w:t>
      </w:r>
      <w:r>
        <w:rPr>
          <w:rFonts w:hint="eastAsia" w:ascii="仿宋_GB2312" w:hAnsi="仿宋_GB2312" w:eastAsia="仿宋_GB2312" w:cs="仿宋_GB2312"/>
          <w:sz w:val="32"/>
          <w:szCs w:val="32"/>
          <w:lang w:val="en-US" w:eastAsia="zh-CN"/>
        </w:rPr>
        <w:t>33.00万元，资金支出32.78万元，支出进度99.33%，支出经费全部用于开展文化下乡惠民演出工作，无挪用情况。</w:t>
      </w:r>
    </w:p>
    <w:p w14:paraId="66E46AE3">
      <w:pPr>
        <w:pStyle w:val="12"/>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项目成本（预算）节约情况</w:t>
      </w:r>
    </w:p>
    <w:p w14:paraId="43082A19">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 w:eastAsia="仿宋"/>
          <w:sz w:val="32"/>
          <w:szCs w:val="32"/>
          <w:lang w:eastAsia="zh-CN"/>
        </w:rPr>
      </w:pPr>
      <w:r>
        <w:rPr>
          <w:rFonts w:hint="eastAsia" w:ascii="仿宋_GB2312" w:hAnsi="仿宋_GB2312" w:eastAsia="仿宋_GB2312" w:cs="仿宋_GB2312"/>
          <w:sz w:val="32"/>
          <w:szCs w:val="32"/>
          <w:lang w:eastAsia="zh-CN"/>
        </w:rPr>
        <w:t>项目成本支出根据实际开展的项目内容支付，严格控制在预算范围内，项目成本得到有效节约。</w:t>
      </w:r>
    </w:p>
    <w:p w14:paraId="471A0DDA">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rPr>
        <w:t>项目的效率性分析</w:t>
      </w:r>
    </w:p>
    <w:p w14:paraId="743B06FA">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（1）项目的实施进度</w:t>
      </w:r>
    </w:p>
    <w:p w14:paraId="0FD944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2"/>
          <w:sz w:val="32"/>
          <w:szCs w:val="32"/>
          <w:lang w:val="en-US" w:eastAsia="zh-CN" w:bidi="ar-SA"/>
        </w:rPr>
        <w:t>严格按照</w:t>
      </w:r>
      <w:r>
        <w:rPr>
          <w:rFonts w:hint="eastAsia" w:ascii="仿宋_GB2312" w:hAnsi="仿宋_GB2312" w:eastAsia="仿宋_GB2312" w:cs="仿宋_GB2312"/>
          <w:b w:val="0"/>
          <w:bCs w:val="0"/>
          <w:color w:val="000000"/>
          <w:sz w:val="32"/>
          <w:szCs w:val="32"/>
          <w:lang w:val="en-US" w:eastAsia="zh-CN"/>
        </w:rPr>
        <w:t>《白沙黎族自治县民族歌舞团</w:t>
      </w:r>
      <w:r>
        <w:rPr>
          <w:rFonts w:hint="eastAsia" w:ascii="仿宋_GB2312" w:hAnsi="仿宋_GB2312" w:eastAsia="仿宋_GB2312" w:cs="仿宋_GB2312"/>
          <w:b w:val="0"/>
          <w:bCs w:val="0"/>
          <w:sz w:val="32"/>
          <w:szCs w:val="32"/>
          <w:highlight w:val="none"/>
          <w:lang w:val="en-US" w:eastAsia="zh-CN"/>
        </w:rPr>
        <w:t>202</w:t>
      </w:r>
      <w:r>
        <w:rPr>
          <w:rFonts w:hint="eastAsia" w:ascii="仿宋_GB2312" w:hAnsi="仿宋_GB2312" w:cs="仿宋_GB2312"/>
          <w:b w:val="0"/>
          <w:bCs w:val="0"/>
          <w:sz w:val="32"/>
          <w:szCs w:val="32"/>
          <w:highlight w:val="none"/>
          <w:lang w:val="en-US" w:eastAsia="zh-CN"/>
        </w:rPr>
        <w:t>5</w:t>
      </w:r>
      <w:r>
        <w:rPr>
          <w:rFonts w:hint="eastAsia" w:ascii="仿宋_GB2312" w:hAnsi="仿宋_GB2312" w:eastAsia="仿宋_GB2312" w:cs="仿宋_GB2312"/>
          <w:b w:val="0"/>
          <w:bCs w:val="0"/>
          <w:sz w:val="32"/>
          <w:szCs w:val="32"/>
          <w:highlight w:val="none"/>
          <w:lang w:val="en-US" w:eastAsia="zh-CN"/>
        </w:rPr>
        <w:t>年文化下乡惠民演出活动</w:t>
      </w:r>
      <w:r>
        <w:rPr>
          <w:rFonts w:hint="eastAsia" w:ascii="仿宋_GB2312" w:hAnsi="仿宋_GB2312" w:eastAsia="仿宋_GB2312" w:cs="仿宋_GB2312"/>
          <w:b w:val="0"/>
          <w:bCs w:val="0"/>
          <w:sz w:val="32"/>
          <w:szCs w:val="32"/>
          <w:highlight w:val="none"/>
          <w:lang w:eastAsia="zh-CN"/>
        </w:rPr>
        <w:t>工作方案</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kern w:val="2"/>
          <w:sz w:val="32"/>
          <w:szCs w:val="32"/>
          <w:lang w:val="en-US" w:eastAsia="zh-CN" w:bidi="ar-SA"/>
        </w:rPr>
        <w:t>，完成66场文化下乡惠民演出工作，完成该项目年初预算的</w:t>
      </w:r>
      <w:r>
        <w:rPr>
          <w:rFonts w:hint="eastAsia" w:ascii="仿宋_GB2312" w:hAnsi="仿宋_GB2312" w:cs="仿宋_GB2312"/>
          <w:b w:val="0"/>
          <w:bCs w:val="0"/>
          <w:color w:val="000000"/>
          <w:kern w:val="2"/>
          <w:sz w:val="32"/>
          <w:szCs w:val="32"/>
          <w:lang w:val="en-US" w:eastAsia="zh-CN" w:bidi="ar-SA"/>
        </w:rPr>
        <w:t>99.33</w:t>
      </w:r>
      <w:r>
        <w:rPr>
          <w:rFonts w:hint="eastAsia" w:ascii="仿宋_GB2312" w:hAnsi="仿宋_GB2312" w:eastAsia="仿宋_GB2312" w:cs="仿宋_GB2312"/>
          <w:b w:val="0"/>
          <w:bCs w:val="0"/>
          <w:color w:val="000000"/>
          <w:kern w:val="2"/>
          <w:sz w:val="32"/>
          <w:szCs w:val="32"/>
          <w:lang w:val="en-US" w:eastAsia="zh-CN" w:bidi="ar-SA"/>
        </w:rPr>
        <w:t>%，根据项目的验收资料，该项活动均达成既定目标。</w:t>
      </w:r>
    </w:p>
    <w:p w14:paraId="2C719011">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项目完成质量</w:t>
      </w:r>
    </w:p>
    <w:p w14:paraId="4FB312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2"/>
          <w:sz w:val="32"/>
          <w:szCs w:val="32"/>
          <w:lang w:val="en-US" w:eastAsia="zh-CN" w:bidi="ar-SA"/>
        </w:rPr>
        <w:t>根据群众满意度调查问卷反馈，对项目实施的满意度为</w:t>
      </w:r>
      <w:r>
        <w:rPr>
          <w:rFonts w:hint="eastAsia" w:ascii="仿宋_GB2312" w:hAnsi="仿宋_GB2312" w:cs="仿宋_GB2312"/>
          <w:b w:val="0"/>
          <w:bCs w:val="0"/>
          <w:color w:val="000000"/>
          <w:kern w:val="2"/>
          <w:sz w:val="32"/>
          <w:szCs w:val="32"/>
          <w:lang w:val="en-US" w:eastAsia="zh-CN" w:bidi="ar-SA"/>
        </w:rPr>
        <w:t>95</w:t>
      </w:r>
      <w:r>
        <w:rPr>
          <w:rFonts w:hint="eastAsia" w:ascii="仿宋_GB2312" w:hAnsi="仿宋_GB2312" w:eastAsia="仿宋_GB2312" w:cs="仿宋_GB2312"/>
          <w:b w:val="0"/>
          <w:bCs w:val="0"/>
          <w:color w:val="000000"/>
          <w:kern w:val="2"/>
          <w:sz w:val="32"/>
          <w:szCs w:val="32"/>
          <w:lang w:val="en-US" w:eastAsia="zh-CN" w:bidi="ar-SA"/>
        </w:rPr>
        <w:t>%，项目完成质量较好。</w:t>
      </w:r>
    </w:p>
    <w:p w14:paraId="59828F82">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3</w:t>
      </w:r>
      <w:r>
        <w:rPr>
          <w:rFonts w:hint="eastAsia" w:ascii="仿宋" w:hAnsi="仿宋" w:eastAsia="仿宋" w:cs="仿宋"/>
          <w:b w:val="0"/>
          <w:bCs/>
          <w:sz w:val="32"/>
          <w:szCs w:val="32"/>
          <w:lang w:val="en-US" w:eastAsia="zh-CN"/>
        </w:rPr>
        <w:t>.</w:t>
      </w:r>
      <w:r>
        <w:rPr>
          <w:rFonts w:hint="eastAsia" w:ascii="仿宋" w:hAnsi="仿宋" w:eastAsia="仿宋" w:cs="仿宋"/>
          <w:b w:val="0"/>
          <w:bCs/>
          <w:sz w:val="32"/>
          <w:szCs w:val="32"/>
        </w:rPr>
        <w:t>项目的效益性分析</w:t>
      </w:r>
    </w:p>
    <w:p w14:paraId="6F26ED2C">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（1）项目预期目标完成程度</w:t>
      </w:r>
    </w:p>
    <w:p w14:paraId="403884D7">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该项目在预算年度内</w:t>
      </w:r>
      <w:r>
        <w:rPr>
          <w:rFonts w:hint="eastAsia" w:ascii="仿宋_GB2312" w:hAnsi="仿宋_GB2312" w:eastAsia="仿宋_GB2312" w:cs="仿宋_GB2312"/>
          <w:sz w:val="32"/>
          <w:szCs w:val="32"/>
        </w:rPr>
        <w:t>丰富和活跃新农村群众的文化生活，不断满足人民群众日益增长</w:t>
      </w:r>
      <w:r>
        <w:rPr>
          <w:rFonts w:hint="eastAsia" w:ascii="仿宋_GB2312" w:hAnsi="仿宋_GB2312" w:eastAsia="仿宋_GB2312" w:cs="仿宋_GB2312"/>
          <w:b w:val="0"/>
          <w:bCs w:val="0"/>
          <w:sz w:val="32"/>
          <w:szCs w:val="32"/>
          <w:lang w:val="en-US" w:eastAsia="zh-CN"/>
        </w:rPr>
        <w:t>的文化生活需求，提高群众满意度，各项目标完成情况良好。</w:t>
      </w:r>
    </w:p>
    <w:p w14:paraId="238BF8FC">
      <w:pPr>
        <w:pStyle w:val="12"/>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项目实施对经济和社会的影响</w:t>
      </w:r>
    </w:p>
    <w:p w14:paraId="1C51F26D">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通过开展文化惠民演出</w:t>
      </w:r>
      <w:r>
        <w:rPr>
          <w:rFonts w:hint="eastAsia" w:ascii="仿宋_GB2312" w:hAnsi="仿宋_GB2312" w:cs="仿宋_GB2312"/>
          <w:sz w:val="32"/>
          <w:szCs w:val="32"/>
          <w:lang w:eastAsia="zh-CN"/>
        </w:rPr>
        <w:t>活动</w:t>
      </w:r>
      <w:r>
        <w:rPr>
          <w:rFonts w:hint="eastAsia" w:ascii="仿宋_GB2312" w:hAnsi="仿宋_GB2312" w:eastAsia="仿宋_GB2312" w:cs="仿宋_GB2312"/>
          <w:sz w:val="32"/>
          <w:szCs w:val="32"/>
          <w:lang w:eastAsia="zh-CN"/>
        </w:rPr>
        <w:t>，向群众输送喜闻乐见的优秀节目，丰富群众的文化生活，提高群众的满意度，幸福感，社会效益成果显著。</w:t>
      </w:r>
    </w:p>
    <w:p w14:paraId="515DB850">
      <w:pPr>
        <w:keepNext w:val="0"/>
        <w:keepLines w:val="0"/>
        <w:pageBreakBefore w:val="0"/>
        <w:widowControl w:val="0"/>
        <w:numPr>
          <w:ilvl w:val="0"/>
          <w:numId w:val="3"/>
        </w:numPr>
        <w:kinsoku/>
        <w:wordWrap/>
        <w:overflowPunct/>
        <w:topLinePunct w:val="0"/>
        <w:autoSpaceDE/>
        <w:autoSpaceDN/>
        <w:bidi w:val="0"/>
        <w:adjustRightInd/>
        <w:snapToGrid w:val="0"/>
        <w:spacing w:line="580" w:lineRule="exact"/>
        <w:ind w:left="0" w:leftChars="0" w:firstLine="560" w:firstLineChars="0"/>
        <w:textAlignment w:val="auto"/>
        <w:outlineLvl w:val="0"/>
        <w:rPr>
          <w:rFonts w:hint="eastAsia" w:ascii="仿宋_GB2312"/>
          <w:b w:val="0"/>
          <w:bCs w:val="0"/>
          <w:szCs w:val="32"/>
        </w:rPr>
      </w:pPr>
      <w:r>
        <w:rPr>
          <w:rFonts w:hint="eastAsia" w:ascii="楷体_GB2312" w:hAnsi="楷体_GB2312" w:eastAsia="楷体_GB2312" w:cs="楷体_GB2312"/>
          <w:b w:val="0"/>
          <w:bCs w:val="0"/>
          <w:szCs w:val="32"/>
        </w:rPr>
        <w:t>绩效指标完成情况分析</w:t>
      </w:r>
    </w:p>
    <w:p w14:paraId="66B82734">
      <w:pPr>
        <w:widowControl w:val="0"/>
        <w:numPr>
          <w:ilvl w:val="0"/>
          <w:numId w:val="0"/>
        </w:numPr>
        <w:spacing w:line="360" w:lineRule="auto"/>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）产出指标</w:t>
      </w:r>
    </w:p>
    <w:p w14:paraId="14F15F79">
      <w:pPr>
        <w:widowControl w:val="0"/>
        <w:numPr>
          <w:ilvl w:val="0"/>
          <w:numId w:val="0"/>
        </w:numPr>
        <w:spacing w:line="360" w:lineRule="auto"/>
        <w:ind w:left="64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数量指标值：开</w:t>
      </w:r>
      <w:r>
        <w:rPr>
          <w:rFonts w:hint="eastAsia" w:ascii="仿宋_GB2312" w:hAnsi="仿宋_GB2312" w:cs="仿宋_GB2312"/>
          <w:sz w:val="32"/>
          <w:szCs w:val="32"/>
          <w:lang w:val="en-US" w:eastAsia="zh-CN"/>
        </w:rPr>
        <w:t>展</w:t>
      </w:r>
      <w:r>
        <w:rPr>
          <w:rFonts w:hint="eastAsia" w:ascii="仿宋_GB2312" w:hAnsi="仿宋_GB2312" w:eastAsia="仿宋_GB2312" w:cs="仿宋_GB2312"/>
          <w:sz w:val="32"/>
          <w:szCs w:val="32"/>
          <w:lang w:eastAsia="zh-CN"/>
        </w:rPr>
        <w:t>文化惠民演出</w:t>
      </w:r>
      <w:r>
        <w:rPr>
          <w:rFonts w:hint="eastAsia" w:ascii="仿宋_GB2312" w:hAnsi="仿宋_GB2312" w:cs="仿宋_GB2312"/>
          <w:sz w:val="32"/>
          <w:szCs w:val="32"/>
          <w:lang w:eastAsia="zh-CN"/>
        </w:rPr>
        <w:t>活动</w:t>
      </w:r>
      <w:r>
        <w:rPr>
          <w:rFonts w:hint="eastAsia" w:ascii="仿宋_GB2312" w:hAnsi="仿宋_GB2312" w:cs="仿宋_GB2312"/>
          <w:sz w:val="32"/>
          <w:szCs w:val="32"/>
          <w:lang w:val="en-US" w:eastAsia="zh-CN"/>
        </w:rPr>
        <w:t>66场</w:t>
      </w:r>
      <w:r>
        <w:rPr>
          <w:rFonts w:hint="eastAsia" w:ascii="仿宋_GB2312" w:hAnsi="仿宋_GB2312" w:eastAsia="仿宋_GB2312" w:cs="仿宋_GB2312"/>
          <w:sz w:val="32"/>
          <w:szCs w:val="32"/>
          <w:lang w:val="en-US" w:eastAsia="zh-CN"/>
        </w:rPr>
        <w:t>。</w:t>
      </w:r>
    </w:p>
    <w:p w14:paraId="48201983">
      <w:pPr>
        <w:widowControl w:val="0"/>
        <w:numPr>
          <w:ilvl w:val="0"/>
          <w:numId w:val="0"/>
        </w:numPr>
        <w:spacing w:line="360" w:lineRule="auto"/>
        <w:ind w:left="64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质量指标值：该项工作开展验收合格率，全年实际完成值为</w:t>
      </w:r>
      <w:r>
        <w:rPr>
          <w:rFonts w:hint="eastAsia" w:ascii="仿宋_GB2312" w:hAnsi="仿宋_GB2312" w:cs="仿宋_GB2312"/>
          <w:sz w:val="32"/>
          <w:szCs w:val="32"/>
          <w:lang w:val="en-US" w:eastAsia="zh-CN"/>
        </w:rPr>
        <w:t>99.33</w:t>
      </w:r>
      <w:r>
        <w:rPr>
          <w:rFonts w:hint="eastAsia" w:ascii="仿宋_GB2312" w:hAnsi="仿宋_GB2312" w:eastAsia="仿宋_GB2312" w:cs="仿宋_GB2312"/>
          <w:sz w:val="32"/>
          <w:szCs w:val="32"/>
          <w:lang w:val="en-US" w:eastAsia="zh-CN"/>
        </w:rPr>
        <w:t>%。</w:t>
      </w:r>
    </w:p>
    <w:p w14:paraId="49FB5E12">
      <w:pPr>
        <w:widowControl w:val="0"/>
        <w:numPr>
          <w:ilvl w:val="0"/>
          <w:numId w:val="0"/>
        </w:numPr>
        <w:spacing w:line="360" w:lineRule="auto"/>
        <w:ind w:left="640"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成本指标：按预算成本完成。</w:t>
      </w:r>
    </w:p>
    <w:p w14:paraId="7E887A78">
      <w:pPr>
        <w:widowControl w:val="0"/>
        <w:numPr>
          <w:ilvl w:val="0"/>
          <w:numId w:val="0"/>
        </w:numPr>
        <w:spacing w:line="360" w:lineRule="auto"/>
        <w:ind w:left="640"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）效益指标</w:t>
      </w:r>
    </w:p>
    <w:p w14:paraId="0B191180">
      <w:pPr>
        <w:widowControl w:val="0"/>
        <w:numPr>
          <w:ilvl w:val="0"/>
          <w:numId w:val="0"/>
        </w:numPr>
        <w:spacing w:line="360" w:lineRule="auto"/>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社会效益指标：</w:t>
      </w:r>
      <w:r>
        <w:rPr>
          <w:rFonts w:hint="eastAsia" w:ascii="仿宋_GB2312" w:hAnsi="仿宋_GB2312" w:eastAsia="仿宋_GB2312" w:cs="仿宋_GB2312"/>
          <w:b w:val="0"/>
          <w:bCs w:val="0"/>
          <w:sz w:val="32"/>
          <w:szCs w:val="32"/>
          <w:highlight w:val="none"/>
          <w:lang w:val="en-US" w:eastAsia="zh-CN"/>
        </w:rPr>
        <w:t>输送优秀文化作品，满足广大群众的精神文化生活需求，提高群众满意度，</w:t>
      </w:r>
      <w:r>
        <w:rPr>
          <w:rFonts w:hint="eastAsia" w:ascii="仿宋_GB2312" w:hAnsi="仿宋_GB2312" w:eastAsia="仿宋_GB2312" w:cs="仿宋_GB2312"/>
          <w:b w:val="0"/>
          <w:bCs w:val="0"/>
          <w:i w:val="0"/>
          <w:iCs w:val="0"/>
          <w:smallCaps w:val="0"/>
          <w:strike w:val="0"/>
          <w:color w:val="auto"/>
          <w:spacing w:val="0"/>
          <w:w w:val="100"/>
          <w:position w:val="0"/>
          <w:sz w:val="32"/>
          <w:szCs w:val="32"/>
          <w:highlight w:val="none"/>
          <w:lang w:val="en-US" w:eastAsia="zh-CN"/>
        </w:rPr>
        <w:t>向广大人民群众</w:t>
      </w:r>
      <w:r>
        <w:rPr>
          <w:rFonts w:hint="eastAsia" w:ascii="仿宋_GB2312" w:hAnsi="仿宋_GB2312" w:eastAsia="仿宋_GB2312" w:cs="仿宋_GB2312"/>
          <w:b w:val="0"/>
          <w:bCs w:val="0"/>
          <w:i w:val="0"/>
          <w:iCs w:val="0"/>
          <w:smallCaps w:val="0"/>
          <w:strike w:val="0"/>
          <w:color w:val="auto"/>
          <w:spacing w:val="0"/>
          <w:w w:val="100"/>
          <w:position w:val="0"/>
          <w:sz w:val="32"/>
          <w:szCs w:val="32"/>
          <w:lang w:val="en-US" w:eastAsia="zh-CN"/>
        </w:rPr>
        <w:t>进行思想道德教育和审美、表美、创美教育，运用文化艺术手段向群众普及科学文化知识</w:t>
      </w:r>
      <w:r>
        <w:rPr>
          <w:rFonts w:hint="eastAsia" w:ascii="仿宋_GB2312" w:hAnsi="仿宋_GB2312" w:cs="仿宋_GB2312"/>
          <w:b w:val="0"/>
          <w:bCs w:val="0"/>
          <w:i w:val="0"/>
          <w:iCs w:val="0"/>
          <w:smallCaps w:val="0"/>
          <w:strike w:val="0"/>
          <w:color w:val="auto"/>
          <w:spacing w:val="0"/>
          <w:w w:val="100"/>
          <w:position w:val="0"/>
          <w:sz w:val="32"/>
          <w:szCs w:val="32"/>
          <w:lang w:val="en-US" w:eastAsia="zh-CN"/>
        </w:rPr>
        <w:t>，</w:t>
      </w:r>
      <w:r>
        <w:rPr>
          <w:rFonts w:hint="eastAsia" w:ascii="仿宋_GB2312" w:hAnsi="仿宋_GB2312" w:eastAsia="仿宋_GB2312" w:cs="仿宋_GB2312"/>
          <w:sz w:val="32"/>
          <w:szCs w:val="32"/>
          <w:lang w:eastAsia="zh-CN"/>
        </w:rPr>
        <w:t>社会效益成果显著</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w:t>
      </w:r>
    </w:p>
    <w:p w14:paraId="2EF20F4B">
      <w:pPr>
        <w:pStyle w:val="1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可持续影响指标:</w:t>
      </w:r>
      <w:r>
        <w:rPr>
          <w:rFonts w:hint="eastAsia" w:ascii="仿宋_GB2312" w:hAnsi="仿宋_GB2312" w:eastAsia="仿宋_GB2312" w:cs="仿宋_GB2312"/>
          <w:sz w:val="32"/>
          <w:szCs w:val="32"/>
          <w:lang w:eastAsia="zh-CN"/>
        </w:rPr>
        <w:t>该项目在预算年度内</w:t>
      </w:r>
      <w:r>
        <w:rPr>
          <w:rFonts w:hint="eastAsia" w:ascii="仿宋_GB2312" w:hAnsi="仿宋_GB2312" w:eastAsia="仿宋_GB2312" w:cs="仿宋_GB2312"/>
          <w:sz w:val="32"/>
          <w:szCs w:val="32"/>
        </w:rPr>
        <w:t>丰富和活跃新农村群众的文化生活，不断满足人民群众日益增长</w:t>
      </w:r>
      <w:r>
        <w:rPr>
          <w:rFonts w:hint="eastAsia" w:ascii="仿宋_GB2312" w:hAnsi="仿宋_GB2312" w:eastAsia="仿宋_GB2312" w:cs="仿宋_GB2312"/>
          <w:b w:val="0"/>
          <w:bCs w:val="0"/>
          <w:sz w:val="32"/>
          <w:szCs w:val="32"/>
          <w:lang w:val="en-US" w:eastAsia="zh-CN"/>
        </w:rPr>
        <w:t>的文化生活需求，持续</w:t>
      </w:r>
      <w:r>
        <w:rPr>
          <w:rFonts w:hint="eastAsia" w:ascii="仿宋_GB2312" w:hAnsi="仿宋_GB2312" w:eastAsia="仿宋_GB2312" w:cs="仿宋_GB2312"/>
          <w:sz w:val="32"/>
          <w:szCs w:val="32"/>
          <w:lang w:val="en-US" w:eastAsia="zh-CN"/>
        </w:rPr>
        <w:t>影响我县文化宣传发展≥9</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w:t>
      </w:r>
    </w:p>
    <w:p w14:paraId="0DEB37EF">
      <w:pPr>
        <w:widowControl w:val="0"/>
        <w:numPr>
          <w:ilvl w:val="0"/>
          <w:numId w:val="0"/>
        </w:numPr>
        <w:spacing w:line="360" w:lineRule="auto"/>
        <w:ind w:left="640" w:leftChars="0"/>
        <w:jc w:val="both"/>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满意度指标</w:t>
      </w:r>
    </w:p>
    <w:p w14:paraId="76498051">
      <w:pPr>
        <w:pStyle w:val="1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仿宋_GB2312" w:eastAsia="仿宋_GB2312" w:cs="仿宋_GB2312"/>
          <w:snapToGrid w:val="0"/>
          <w:sz w:val="32"/>
          <w:szCs w:val="32"/>
          <w:lang w:val="en-US" w:eastAsia="zh-CN"/>
        </w:rPr>
        <w:t>满意度指标</w:t>
      </w:r>
      <w:r>
        <w:rPr>
          <w:rFonts w:hint="eastAsia" w:ascii="仿宋_GB2312" w:hAnsi="仿宋_GB2312" w:eastAsia="仿宋_GB2312" w:cs="仿宋_GB2312"/>
          <w:snapToGrid w:val="0"/>
          <w:sz w:val="32"/>
          <w:szCs w:val="32"/>
        </w:rPr>
        <w:t>：</w:t>
      </w:r>
      <w:r>
        <w:rPr>
          <w:rFonts w:hint="eastAsia" w:ascii="仿宋_GB2312" w:hAnsi="仿宋_GB2312" w:eastAsia="仿宋_GB2312" w:cs="仿宋_GB2312"/>
          <w:sz w:val="32"/>
          <w:szCs w:val="32"/>
          <w:lang w:eastAsia="zh-CN"/>
        </w:rPr>
        <w:t>通过开展文化惠民演出活动，向群众输送喜闻乐见的优秀节目，丰富群众的文化生活，提高群众的满意度，幸福感</w:t>
      </w:r>
      <w:r>
        <w:rPr>
          <w:rFonts w:hint="eastAsia" w:ascii="仿宋_GB2312" w:hAnsi="仿宋_GB2312" w:eastAsia="仿宋_GB2312" w:cs="仿宋_GB2312"/>
          <w:snapToGrid w:val="0"/>
          <w:sz w:val="32"/>
          <w:szCs w:val="32"/>
          <w:lang w:eastAsia="zh-CN"/>
        </w:rPr>
        <w:t>≥9</w:t>
      </w:r>
      <w:r>
        <w:rPr>
          <w:rFonts w:hint="eastAsia" w:ascii="仿宋_GB2312" w:hAnsi="仿宋_GB2312" w:cs="仿宋_GB2312"/>
          <w:snapToGrid w:val="0"/>
          <w:sz w:val="32"/>
          <w:szCs w:val="32"/>
          <w:lang w:val="en-US" w:eastAsia="zh-CN"/>
        </w:rPr>
        <w:t>5</w:t>
      </w:r>
      <w:r>
        <w:rPr>
          <w:rFonts w:hint="eastAsia" w:ascii="仿宋_GB2312" w:hAnsi="仿宋_GB2312" w:eastAsia="仿宋_GB2312" w:cs="仿宋_GB2312"/>
          <w:snapToGrid w:val="0"/>
          <w:sz w:val="32"/>
          <w:szCs w:val="32"/>
          <w:lang w:val="en-US" w:eastAsia="zh-CN"/>
        </w:rPr>
        <w:t>%。</w:t>
      </w:r>
    </w:p>
    <w:p w14:paraId="0E8CD2D2">
      <w:pPr>
        <w:keepNext w:val="0"/>
        <w:keepLines w:val="0"/>
        <w:pageBreakBefore w:val="0"/>
        <w:widowControl w:val="0"/>
        <w:numPr>
          <w:ilvl w:val="0"/>
          <w:numId w:val="4"/>
        </w:numPr>
        <w:kinsoku/>
        <w:wordWrap/>
        <w:overflowPunct/>
        <w:topLinePunct w:val="0"/>
        <w:autoSpaceDE/>
        <w:autoSpaceDN/>
        <w:bidi w:val="0"/>
        <w:adjustRightInd/>
        <w:snapToGrid w:val="0"/>
        <w:spacing w:line="580" w:lineRule="exact"/>
        <w:ind w:firstLine="600" w:firstLineChars="200"/>
        <w:textAlignment w:val="auto"/>
        <w:rPr>
          <w:rFonts w:hint="eastAsia" w:ascii="黑体" w:hAnsi="黑体" w:eastAsia="黑体" w:cs="黑体"/>
          <w:bCs/>
          <w:szCs w:val="32"/>
        </w:rPr>
      </w:pPr>
      <w:r>
        <w:rPr>
          <w:rFonts w:hint="eastAsia" w:ascii="黑体" w:hAnsi="黑体" w:eastAsia="黑体" w:cs="黑体"/>
          <w:bCs/>
          <w:szCs w:val="32"/>
        </w:rPr>
        <w:t>偏离绩效目标的原因和下一步改进措施</w:t>
      </w:r>
    </w:p>
    <w:p w14:paraId="2CD76594">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黑体" w:hAnsi="黑体" w:eastAsia="黑体" w:cs="黑体"/>
          <w:bCs/>
          <w:szCs w:val="32"/>
        </w:rPr>
      </w:pPr>
      <w:r>
        <w:rPr>
          <w:rFonts w:hint="eastAsia" w:ascii="仿宋_GB2312" w:hAnsi="仿宋_GB2312" w:eastAsia="仿宋_GB2312" w:cs="仿宋_GB2312"/>
          <w:bCs/>
          <w:sz w:val="32"/>
          <w:szCs w:val="32"/>
          <w:lang w:val="en-US" w:eastAsia="zh-CN"/>
        </w:rPr>
        <w:t>项目目标已完成，故无偏离绩效目标的原因。</w:t>
      </w:r>
    </w:p>
    <w:p w14:paraId="414D3C49">
      <w:pPr>
        <w:widowControl w:val="0"/>
        <w:numPr>
          <w:ilvl w:val="0"/>
          <w:numId w:val="4"/>
        </w:numPr>
        <w:spacing w:line="360" w:lineRule="auto"/>
        <w:ind w:left="0" w:leftChars="0" w:firstLine="600" w:firstLineChars="200"/>
        <w:jc w:val="both"/>
        <w:rPr>
          <w:rFonts w:hint="eastAsia" w:ascii="黑体" w:hAnsi="黑体" w:eastAsia="黑体" w:cs="黑体"/>
          <w:bCs/>
          <w:szCs w:val="32"/>
        </w:rPr>
      </w:pPr>
      <w:r>
        <w:rPr>
          <w:rFonts w:hint="eastAsia" w:ascii="黑体" w:hAnsi="黑体" w:eastAsia="黑体" w:cs="黑体"/>
          <w:bCs/>
          <w:szCs w:val="32"/>
        </w:rPr>
        <w:t>绩效自评结果拟应用和公开情况</w:t>
      </w:r>
    </w:p>
    <w:p w14:paraId="4C0FFBBB">
      <w:pPr>
        <w:widowControl w:val="0"/>
        <w:numPr>
          <w:ilvl w:val="0"/>
          <w:numId w:val="0"/>
        </w:numPr>
        <w:spacing w:line="360" w:lineRule="auto"/>
        <w:ind w:leftChars="200"/>
        <w:jc w:val="both"/>
        <w:rPr>
          <w:rFonts w:ascii="黑体" w:hAnsi="黑体" w:eastAsia="黑体" w:cs="黑体"/>
          <w:bCs/>
          <w:szCs w:val="32"/>
        </w:rPr>
      </w:pPr>
      <w:r>
        <w:rPr>
          <w:rFonts w:hint="eastAsia" w:ascii="仿宋_GB2312" w:hAnsi="仿宋_GB2312" w:eastAsia="仿宋_GB2312" w:cs="仿宋_GB2312"/>
          <w:b w:val="0"/>
          <w:bCs w:val="0"/>
          <w:sz w:val="32"/>
          <w:szCs w:val="32"/>
          <w:lang w:val="en-US" w:eastAsia="zh-CN"/>
        </w:rPr>
        <w:t>拟将2025年度公共文化服务体系建设专项资金转移支付绩效自评报告公示公告至白沙黎族自治县人民政府网。</w:t>
      </w:r>
    </w:p>
    <w:p w14:paraId="16218FA2">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ascii="黑体" w:hAnsi="黑体" w:eastAsia="黑体" w:cs="黑体"/>
          <w:bCs/>
          <w:szCs w:val="32"/>
        </w:rPr>
      </w:pPr>
      <w:r>
        <w:rPr>
          <w:rFonts w:hint="eastAsia" w:ascii="黑体" w:hAnsi="黑体" w:eastAsia="黑体" w:cs="黑体"/>
          <w:bCs/>
          <w:szCs w:val="32"/>
        </w:rPr>
        <w:t>五、其他需要说明的问题</w:t>
      </w:r>
    </w:p>
    <w:p w14:paraId="0CA3C02C">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hint="eastAsia" w:ascii="黑体" w:hAnsi="黑体" w:eastAsia="黑体" w:cs="黑体"/>
          <w:lang w:val="en" w:eastAsia="zh-CN"/>
        </w:rPr>
      </w:pPr>
      <w:r>
        <w:rPr>
          <w:rFonts w:hint="eastAsia" w:ascii="黑体" w:hAnsi="黑体" w:eastAsia="黑体" w:cs="黑体"/>
          <w:lang w:val="en" w:eastAsia="zh-CN"/>
        </w:rPr>
        <w:t>无</w:t>
      </w:r>
    </w:p>
    <w:p w14:paraId="1CDE3BF3">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hint="eastAsia" w:ascii="黑体" w:hAnsi="黑体" w:eastAsia="黑体" w:cs="黑体"/>
          <w:lang w:val="en"/>
        </w:rPr>
      </w:pPr>
      <w:r>
        <w:rPr>
          <w:rFonts w:hint="eastAsia" w:ascii="黑体" w:hAnsi="黑体" w:eastAsia="黑体" w:cs="黑体"/>
          <w:lang w:val="en"/>
        </w:rPr>
        <w:t>六、附件</w:t>
      </w:r>
    </w:p>
    <w:p w14:paraId="6B5A16B8">
      <w:pPr>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hint="eastAsia" w:ascii="黑体" w:hAnsi="黑体" w:eastAsia="黑体" w:cs="黑体"/>
          <w:lang w:val="en"/>
        </w:rPr>
      </w:pPr>
      <w:r>
        <w:rPr>
          <w:rFonts w:hint="eastAsia"/>
        </w:rPr>
        <w:t>转移支付区域（</w:t>
      </w:r>
      <w:r>
        <w:rPr>
          <w:rFonts w:hint="eastAsia"/>
          <w:lang w:val="en-US" w:eastAsia="zh-CN"/>
        </w:rPr>
        <w:t>2025年文化下乡惠民演出</w:t>
      </w:r>
      <w:r>
        <w:rPr>
          <w:rFonts w:hint="eastAsia"/>
        </w:rPr>
        <w:t>）绩效自评表</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0F68E"/>
    <w:multiLevelType w:val="singleLevel"/>
    <w:tmpl w:val="82A0F68E"/>
    <w:lvl w:ilvl="0" w:tentative="0">
      <w:start w:val="2"/>
      <w:numFmt w:val="decimal"/>
      <w:suff w:val="nothing"/>
      <w:lvlText w:val="（%1）"/>
      <w:lvlJc w:val="left"/>
    </w:lvl>
  </w:abstractNum>
  <w:abstractNum w:abstractNumId="1">
    <w:nsid w:val="D68FE380"/>
    <w:multiLevelType w:val="singleLevel"/>
    <w:tmpl w:val="D68FE380"/>
    <w:lvl w:ilvl="0" w:tentative="0">
      <w:start w:val="2"/>
      <w:numFmt w:val="decimal"/>
      <w:suff w:val="nothing"/>
      <w:lvlText w:val="（%1）"/>
      <w:lvlJc w:val="left"/>
    </w:lvl>
  </w:abstractNum>
  <w:abstractNum w:abstractNumId="2">
    <w:nsid w:val="F204C537"/>
    <w:multiLevelType w:val="singleLevel"/>
    <w:tmpl w:val="F204C537"/>
    <w:lvl w:ilvl="0" w:tentative="0">
      <w:start w:val="3"/>
      <w:numFmt w:val="chineseCounting"/>
      <w:suff w:val="nothing"/>
      <w:lvlText w:val="%1、"/>
      <w:lvlJc w:val="left"/>
      <w:rPr>
        <w:rFonts w:hint="eastAsia"/>
      </w:rPr>
    </w:lvl>
  </w:abstractNum>
  <w:abstractNum w:abstractNumId="3">
    <w:nsid w:val="6CE675E8"/>
    <w:multiLevelType w:val="singleLevel"/>
    <w:tmpl w:val="6CE675E8"/>
    <w:lvl w:ilvl="0" w:tentative="0">
      <w:start w:val="2"/>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50"/>
  <w:drawingGridVerticalSpacing w:val="5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F82"/>
    <w:rsid w:val="000101E1"/>
    <w:rsid w:val="000732DA"/>
    <w:rsid w:val="00075CDC"/>
    <w:rsid w:val="000B1E8F"/>
    <w:rsid w:val="000B6964"/>
    <w:rsid w:val="00103D16"/>
    <w:rsid w:val="00111638"/>
    <w:rsid w:val="00111928"/>
    <w:rsid w:val="0012041C"/>
    <w:rsid w:val="00164D84"/>
    <w:rsid w:val="00173016"/>
    <w:rsid w:val="0017509C"/>
    <w:rsid w:val="001808CA"/>
    <w:rsid w:val="001A4E46"/>
    <w:rsid w:val="001E03FE"/>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922BC"/>
    <w:rsid w:val="009E0D8C"/>
    <w:rsid w:val="00A02AF3"/>
    <w:rsid w:val="00A25077"/>
    <w:rsid w:val="00A566D5"/>
    <w:rsid w:val="00A610CC"/>
    <w:rsid w:val="00A8737E"/>
    <w:rsid w:val="00AA19AF"/>
    <w:rsid w:val="00BC6882"/>
    <w:rsid w:val="00BD3FE0"/>
    <w:rsid w:val="00BE58CF"/>
    <w:rsid w:val="00CA5578"/>
    <w:rsid w:val="00CA7DAA"/>
    <w:rsid w:val="00D04826"/>
    <w:rsid w:val="00D63908"/>
    <w:rsid w:val="00D8718A"/>
    <w:rsid w:val="00D93453"/>
    <w:rsid w:val="00DC524D"/>
    <w:rsid w:val="00E071D6"/>
    <w:rsid w:val="00ED3E0F"/>
    <w:rsid w:val="00F015E4"/>
    <w:rsid w:val="00F525FE"/>
    <w:rsid w:val="00F57F82"/>
    <w:rsid w:val="00F75224"/>
    <w:rsid w:val="00F91EAE"/>
    <w:rsid w:val="00FA086C"/>
    <w:rsid w:val="00FA2093"/>
    <w:rsid w:val="00FA357A"/>
    <w:rsid w:val="037D0BC8"/>
    <w:rsid w:val="0845082D"/>
    <w:rsid w:val="09E965F2"/>
    <w:rsid w:val="0AC0235E"/>
    <w:rsid w:val="0B022B6B"/>
    <w:rsid w:val="0D9C1621"/>
    <w:rsid w:val="0E383B34"/>
    <w:rsid w:val="0EB24252"/>
    <w:rsid w:val="0FF7AA4F"/>
    <w:rsid w:val="139840D3"/>
    <w:rsid w:val="143E091F"/>
    <w:rsid w:val="14865FC8"/>
    <w:rsid w:val="150C2DB0"/>
    <w:rsid w:val="16B85622"/>
    <w:rsid w:val="18742E17"/>
    <w:rsid w:val="1A734BB6"/>
    <w:rsid w:val="1A7D29EA"/>
    <w:rsid w:val="1A855775"/>
    <w:rsid w:val="1C711DED"/>
    <w:rsid w:val="1D994BCF"/>
    <w:rsid w:val="1E761F05"/>
    <w:rsid w:val="1F7BE1E6"/>
    <w:rsid w:val="1FC7205C"/>
    <w:rsid w:val="228B3D05"/>
    <w:rsid w:val="23EC6111"/>
    <w:rsid w:val="26D82788"/>
    <w:rsid w:val="284E74F8"/>
    <w:rsid w:val="2ADB48E8"/>
    <w:rsid w:val="2B5A6973"/>
    <w:rsid w:val="2C6941AB"/>
    <w:rsid w:val="2E4F5FE1"/>
    <w:rsid w:val="2F2E6FE6"/>
    <w:rsid w:val="354379F6"/>
    <w:rsid w:val="36687282"/>
    <w:rsid w:val="367793B2"/>
    <w:rsid w:val="3794FC37"/>
    <w:rsid w:val="38EF7AD8"/>
    <w:rsid w:val="3A8F6FD6"/>
    <w:rsid w:val="3C7F1199"/>
    <w:rsid w:val="3D424389"/>
    <w:rsid w:val="3E1672E6"/>
    <w:rsid w:val="3EB9C2BB"/>
    <w:rsid w:val="3FEF6A07"/>
    <w:rsid w:val="3FFCD4B4"/>
    <w:rsid w:val="415F08D8"/>
    <w:rsid w:val="44E2230F"/>
    <w:rsid w:val="46525628"/>
    <w:rsid w:val="48B51347"/>
    <w:rsid w:val="491B45FA"/>
    <w:rsid w:val="4A55216A"/>
    <w:rsid w:val="4BF81608"/>
    <w:rsid w:val="4FE0696A"/>
    <w:rsid w:val="500470F1"/>
    <w:rsid w:val="546F8569"/>
    <w:rsid w:val="55673508"/>
    <w:rsid w:val="55D4518B"/>
    <w:rsid w:val="57A37240"/>
    <w:rsid w:val="59595A6F"/>
    <w:rsid w:val="597350B8"/>
    <w:rsid w:val="599330CA"/>
    <w:rsid w:val="5A7FCB1F"/>
    <w:rsid w:val="5C1253FD"/>
    <w:rsid w:val="5E52BA77"/>
    <w:rsid w:val="5FEAF7C9"/>
    <w:rsid w:val="60D5009F"/>
    <w:rsid w:val="64AC2E11"/>
    <w:rsid w:val="660721C9"/>
    <w:rsid w:val="661E6C75"/>
    <w:rsid w:val="676025CC"/>
    <w:rsid w:val="67F75FF5"/>
    <w:rsid w:val="681D4831"/>
    <w:rsid w:val="692E4B19"/>
    <w:rsid w:val="69513EF7"/>
    <w:rsid w:val="6A73317F"/>
    <w:rsid w:val="6BF3256F"/>
    <w:rsid w:val="6CE7018A"/>
    <w:rsid w:val="6E3E3F2D"/>
    <w:rsid w:val="715B2F02"/>
    <w:rsid w:val="743E51F2"/>
    <w:rsid w:val="75E77503"/>
    <w:rsid w:val="76A548F2"/>
    <w:rsid w:val="7765772E"/>
    <w:rsid w:val="776F5E62"/>
    <w:rsid w:val="77867685"/>
    <w:rsid w:val="77EE7FE7"/>
    <w:rsid w:val="781F36B6"/>
    <w:rsid w:val="790627AD"/>
    <w:rsid w:val="799A6705"/>
    <w:rsid w:val="79DFF8C4"/>
    <w:rsid w:val="7ADC59FA"/>
    <w:rsid w:val="7AFF2FC3"/>
    <w:rsid w:val="7BF6B4C5"/>
    <w:rsid w:val="7DDD794F"/>
    <w:rsid w:val="7DFA6624"/>
    <w:rsid w:val="7DFD8AD7"/>
    <w:rsid w:val="7DFEFB95"/>
    <w:rsid w:val="7ECD6B9A"/>
    <w:rsid w:val="7FBA576D"/>
    <w:rsid w:val="7FDE47D5"/>
    <w:rsid w:val="7FFC7CB2"/>
    <w:rsid w:val="7FFD003D"/>
    <w:rsid w:val="94BFC172"/>
    <w:rsid w:val="9BFA614C"/>
    <w:rsid w:val="AAFDD6AA"/>
    <w:rsid w:val="BAFE1E17"/>
    <w:rsid w:val="BBDF5B5A"/>
    <w:rsid w:val="BBE428C2"/>
    <w:rsid w:val="BFBF52D7"/>
    <w:rsid w:val="D9C286DF"/>
    <w:rsid w:val="DB275D46"/>
    <w:rsid w:val="DF6E82F1"/>
    <w:rsid w:val="DFCEE0CE"/>
    <w:rsid w:val="DFFF7077"/>
    <w:rsid w:val="EEBF76D9"/>
    <w:rsid w:val="F36EF6AC"/>
    <w:rsid w:val="F6FDCC0E"/>
    <w:rsid w:val="F767D450"/>
    <w:rsid w:val="F76FB1DB"/>
    <w:rsid w:val="F7FBEBBF"/>
    <w:rsid w:val="F9F3FBF0"/>
    <w:rsid w:val="FA39D4FF"/>
    <w:rsid w:val="FB9F8FA2"/>
    <w:rsid w:val="FDB5389F"/>
    <w:rsid w:val="FDFF12BB"/>
    <w:rsid w:val="FEF7954B"/>
    <w:rsid w:val="FFAFB80B"/>
    <w:rsid w:val="FFDF4FA5"/>
    <w:rsid w:val="FFEF29F4"/>
    <w:rsid w:val="FFF9F8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2"/>
    <w:basedOn w:val="1"/>
    <w:next w:val="1"/>
    <w:qFormat/>
    <w:uiPriority w:val="0"/>
    <w:pPr>
      <w:ind w:firstLine="200"/>
      <w:outlineLvl w:val="1"/>
    </w:pPr>
    <w:rPr>
      <w:rFonts w:ascii="楷体_GB2312" w:hAnsi="Calibri" w:eastAsia="楷体_GB2312" w:cs="楷体_GB2312"/>
      <w:b/>
      <w:bC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after="120" w:line="480" w:lineRule="auto"/>
      <w:ind w:left="200" w:leftChars="200"/>
    </w:pPr>
  </w:style>
  <w:style w:type="paragraph" w:styleId="4">
    <w:name w:val="Balloon Text"/>
    <w:basedOn w:val="1"/>
    <w:link w:val="11"/>
    <w:qFormat/>
    <w:uiPriority w:val="0"/>
    <w:rPr>
      <w:sz w:val="18"/>
      <w:szCs w:val="18"/>
    </w:rPr>
  </w:style>
  <w:style w:type="paragraph" w:styleId="5">
    <w:name w:val="footer"/>
    <w:basedOn w:val="1"/>
    <w:link w:val="9"/>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脚 Char"/>
    <w:basedOn w:val="8"/>
    <w:link w:val="5"/>
    <w:qFormat/>
    <w:uiPriority w:val="99"/>
    <w:rPr>
      <w:rFonts w:eastAsia="仿宋_GB2312"/>
      <w:kern w:val="2"/>
      <w:sz w:val="18"/>
      <w:szCs w:val="18"/>
    </w:rPr>
  </w:style>
  <w:style w:type="character" w:customStyle="1" w:styleId="10">
    <w:name w:val="页眉 Char"/>
    <w:basedOn w:val="8"/>
    <w:link w:val="6"/>
    <w:qFormat/>
    <w:uiPriority w:val="0"/>
    <w:rPr>
      <w:rFonts w:eastAsia="仿宋_GB2312"/>
      <w:kern w:val="2"/>
      <w:sz w:val="18"/>
      <w:szCs w:val="18"/>
    </w:rPr>
  </w:style>
  <w:style w:type="character" w:customStyle="1" w:styleId="11">
    <w:name w:val="批注框文本 Char"/>
    <w:basedOn w:val="8"/>
    <w:link w:val="4"/>
    <w:qFormat/>
    <w:uiPriority w:val="0"/>
    <w:rPr>
      <w:rFonts w:eastAsia="仿宋_GB2312"/>
      <w:kern w:val="2"/>
      <w:sz w:val="18"/>
      <w:szCs w:val="18"/>
    </w:rPr>
  </w:style>
  <w:style w:type="paragraph" w:customStyle="1" w:styleId="12">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1872</Words>
  <Characters>1975</Characters>
  <Lines>3</Lines>
  <Paragraphs>1</Paragraphs>
  <TotalTime>18</TotalTime>
  <ScaleCrop>false</ScaleCrop>
  <LinksUpToDate>false</LinksUpToDate>
  <CharactersWithSpaces>1977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2019-02-20T06:26:00Z</dcterms:created>
  <dc:creator>lhn</dc:creator>
  <cp:lastModifiedBy>漾。</cp:lastModifiedBy>
  <cp:lastPrinted>2023-02-27T17:51:00Z</cp:lastPrinted>
  <dcterms:modified xsi:type="dcterms:W3CDTF">2026-04-09T02:49:18Z</dcterms:modified>
  <dc:title>财政支出绩效评价报告</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94D61C15C366445D9DABCED80584EE62</vt:lpwstr>
  </property>
  <property fmtid="{D5CDD505-2E9C-101B-9397-08002B2CF9AE}" pid="4" name="KSOTemplateDocerSaveRecord">
    <vt:lpwstr>eyJoZGlkIjoiMDdkMTIxZDAwOTNjNDZiYmNjMTAyNmM5MzQ2ODAyNWEiLCJ1c2VySWQiOiIzMzczNzg2ODEifQ==</vt:lpwstr>
  </property>
</Properties>
</file>