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3980C">
      <w:pPr>
        <w:keepNext w:val="0"/>
        <w:keepLines w:val="0"/>
        <w:pageBreakBefore w:val="0"/>
        <w:widowControl w:val="0"/>
        <w:kinsoku/>
        <w:wordWrap/>
        <w:overflowPunct/>
        <w:topLinePunct w:val="0"/>
        <w:bidi w:val="0"/>
        <w:adjustRightInd w:val="0"/>
        <w:snapToGrid w:val="0"/>
        <w:spacing w:line="578" w:lineRule="exact"/>
        <w:textAlignment w:val="auto"/>
        <w:rPr>
          <w:rFonts w:hint="default" w:ascii="Times New Roman" w:hAnsi="Times New Roman" w:eastAsia="黑体" w:cs="Times New Roman"/>
          <w:b w:val="0"/>
          <w:bCs w:val="0"/>
          <w:color w:val="auto"/>
          <w:sz w:val="32"/>
          <w:szCs w:val="32"/>
          <w:shd w:val="clear" w:color="auto" w:fill="auto"/>
        </w:rPr>
      </w:pPr>
      <w:r>
        <w:rPr>
          <w:rFonts w:hint="default" w:ascii="Times New Roman" w:hAnsi="Times New Roman" w:eastAsia="黑体" w:cs="Times New Roman"/>
          <w:b w:val="0"/>
          <w:bCs w:val="0"/>
          <w:color w:val="auto"/>
          <w:sz w:val="32"/>
          <w:szCs w:val="32"/>
          <w:shd w:val="clear" w:color="auto" w:fill="auto"/>
        </w:rPr>
        <w:t>附件</w:t>
      </w:r>
      <w:r>
        <w:rPr>
          <w:rFonts w:hint="default" w:ascii="Times New Roman" w:hAnsi="Times New Roman" w:eastAsia="黑体" w:cs="Times New Roman"/>
          <w:b w:val="0"/>
          <w:bCs w:val="0"/>
          <w:color w:val="auto"/>
          <w:sz w:val="32"/>
          <w:szCs w:val="32"/>
          <w:shd w:val="clear" w:color="auto" w:fill="auto"/>
          <w:lang w:val="en-US" w:eastAsia="zh-CN"/>
        </w:rPr>
        <w:t>2</w:t>
      </w:r>
    </w:p>
    <w:p w14:paraId="0AB87536">
      <w:pPr>
        <w:keepNext w:val="0"/>
        <w:keepLines w:val="0"/>
        <w:pageBreakBefore w:val="0"/>
        <w:widowControl w:val="0"/>
        <w:kinsoku/>
        <w:wordWrap/>
        <w:overflowPunct/>
        <w:topLinePunct w:val="0"/>
        <w:bidi w:val="0"/>
        <w:adjustRightInd w:val="0"/>
        <w:snapToGrid w:val="0"/>
        <w:spacing w:line="578" w:lineRule="exact"/>
        <w:ind w:firstLine="720" w:firstLineChars="200"/>
        <w:jc w:val="center"/>
        <w:textAlignment w:val="auto"/>
        <w:rPr>
          <w:rFonts w:hint="default" w:ascii="Times New Roman" w:hAnsi="Times New Roman" w:eastAsia="方正小标宋简体" w:cs="Times New Roman"/>
          <w:b w:val="0"/>
          <w:bCs w:val="0"/>
          <w:color w:val="auto"/>
          <w:sz w:val="36"/>
          <w:szCs w:val="36"/>
          <w:shd w:val="clear" w:color="auto" w:fill="auto"/>
        </w:rPr>
      </w:pPr>
      <w:r>
        <w:rPr>
          <w:rFonts w:hint="default" w:ascii="Times New Roman" w:hAnsi="Times New Roman" w:eastAsia="方正小标宋简体" w:cs="Times New Roman"/>
          <w:b w:val="0"/>
          <w:bCs w:val="0"/>
          <w:color w:val="auto"/>
          <w:sz w:val="36"/>
          <w:szCs w:val="36"/>
          <w:shd w:val="clear" w:color="auto" w:fill="auto"/>
        </w:rPr>
        <w:t>不合格项目说明</w:t>
      </w:r>
    </w:p>
    <w:p w14:paraId="5F6998B4">
      <w:pPr>
        <w:keepNext w:val="0"/>
        <w:keepLines w:val="0"/>
        <w:pageBreakBefore w:val="0"/>
        <w:widowControl w:val="0"/>
        <w:kinsoku/>
        <w:wordWrap/>
        <w:overflowPunct/>
        <w:topLinePunct w:val="0"/>
        <w:bidi w:val="0"/>
        <w:adjustRightInd w:val="0"/>
        <w:snapToGrid w:val="0"/>
        <w:spacing w:line="578" w:lineRule="exact"/>
        <w:ind w:firstLine="720" w:firstLineChars="200"/>
        <w:jc w:val="center"/>
        <w:textAlignment w:val="auto"/>
        <w:rPr>
          <w:rFonts w:hint="default" w:ascii="Times New Roman" w:hAnsi="Times New Roman" w:eastAsia="方正小标宋简体" w:cs="Times New Roman"/>
          <w:b w:val="0"/>
          <w:bCs w:val="0"/>
          <w:color w:val="auto"/>
          <w:sz w:val="36"/>
          <w:szCs w:val="36"/>
          <w:shd w:val="clear" w:color="auto" w:fill="auto"/>
          <w:lang w:val="en-US" w:eastAsia="zh-CN"/>
        </w:rPr>
      </w:pPr>
    </w:p>
    <w:p w14:paraId="035093B7">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shd w:val="clear" w:color="auto" w:fill="auto"/>
          <w:lang w:val="en-US" w:eastAsia="zh-CN"/>
        </w:rPr>
      </w:pPr>
      <w:r>
        <w:rPr>
          <w:rFonts w:hint="default" w:ascii="Times New Roman" w:hAnsi="Times New Roman" w:eastAsia="黑体" w:cs="Times New Roman"/>
          <w:b w:val="0"/>
          <w:bCs w:val="0"/>
          <w:color w:val="auto"/>
          <w:sz w:val="30"/>
          <w:szCs w:val="30"/>
          <w:shd w:val="clear" w:color="auto" w:fill="auto"/>
          <w:lang w:val="en-US" w:eastAsia="zh-CN"/>
        </w:rPr>
        <w:t>一、充电状态主回路保护</w:t>
      </w:r>
    </w:p>
    <w:p w14:paraId="15CCB20C">
      <w:pPr>
        <w:keepNext w:val="0"/>
        <w:keepLines w:val="0"/>
        <w:pageBreakBefore w:val="0"/>
        <w:widowControl w:val="0"/>
        <w:kinsoku/>
        <w:wordWrap/>
        <w:overflowPunct/>
        <w:topLinePunct w:val="0"/>
        <w:bidi w:val="0"/>
        <w:snapToGrid/>
        <w:spacing w:line="578" w:lineRule="exact"/>
        <w:ind w:left="0" w:firstLine="576" w:firstLineChars="200"/>
        <w:textAlignment w:val="auto"/>
        <w:rPr>
          <w:rFonts w:hint="default" w:ascii="Times New Roman" w:hAnsi="Times New Roman" w:eastAsia="黑体" w:cs="Times New Roman"/>
          <w:b w:val="0"/>
          <w:bCs w:val="0"/>
          <w:color w:val="auto"/>
          <w:spacing w:val="-6"/>
          <w:sz w:val="30"/>
          <w:szCs w:val="30"/>
          <w:shd w:val="clear" w:color="auto" w:fill="auto"/>
          <w:lang w:val="en-US" w:eastAsia="zh-CN"/>
        </w:rPr>
      </w:pPr>
      <w:bookmarkStart w:id="0" w:name="_GoBack"/>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充电状态主回路保护可以有效防止充电过程中电动自行车主回路带电。《电动自行车电气安全要求》（GB 42295-2022）标准规定：车辆蓄电池系统在充电状态下，其输出端与主回路应切断，其输出端口(与主回路连接)的电压应为0V(直流)和0V(交流)。该项目不合格是由于电动自行车未单独设置充电回路和主回路，导致充电时主回路存在危险电压，存在人员触电风险。</w:t>
      </w:r>
    </w:p>
    <w:p w14:paraId="7A663C52">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pacing w:val="-6"/>
          <w:sz w:val="30"/>
          <w:szCs w:val="30"/>
          <w:shd w:val="clear" w:color="auto" w:fill="auto"/>
          <w:lang w:val="en-US" w:eastAsia="zh-CN"/>
        </w:rPr>
      </w:pPr>
      <w:r>
        <w:rPr>
          <w:rFonts w:hint="default" w:ascii="Times New Roman" w:hAnsi="Times New Roman" w:eastAsia="黑体" w:cs="Times New Roman"/>
          <w:b w:val="0"/>
          <w:bCs w:val="0"/>
          <w:color w:val="auto"/>
          <w:spacing w:val="-6"/>
          <w:sz w:val="30"/>
          <w:szCs w:val="30"/>
          <w:shd w:val="clear" w:color="auto" w:fill="auto"/>
          <w:lang w:val="en-US" w:eastAsia="zh-CN"/>
        </w:rPr>
        <w:t>二、互认协同充电</w:t>
      </w:r>
    </w:p>
    <w:p w14:paraId="588F63A6">
      <w:pPr>
        <w:keepNext w:val="0"/>
        <w:keepLines w:val="0"/>
        <w:pageBreakBefore w:val="0"/>
        <w:widowControl w:val="0"/>
        <w:kinsoku/>
        <w:wordWrap/>
        <w:overflowPunct/>
        <w:topLinePunct w:val="0"/>
        <w:bidi w:val="0"/>
        <w:snapToGrid/>
        <w:spacing w:line="578" w:lineRule="exact"/>
        <w:ind w:left="0" w:firstLine="576" w:firstLineChars="200"/>
        <w:textAlignment w:val="auto"/>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pP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互认协同充电可以有效防止充电器的误用和混用。《电动自行车电气安全要求》（GB 42295-2022）标准规定：车辆蓄电池系统应有与充电器互认协同充电的功能。蓄电池系统充电应先与充电器进行互认协同识别，通过后才能开始充电工作。不符合标准要求的均为配置铅酸蓄电池的电动自行车，由于车辆充电器与车身充电回路无通讯功能，无法进行互认识别，因此无法避免充电器的误用和混用，一旦错误使用高电压、大电流充电器，可能导致蓄电池系统过充电，存在火灾风险。</w:t>
      </w:r>
    </w:p>
    <w:p w14:paraId="5525ABD6">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eastAsia" w:ascii="Times New Roman" w:hAnsi="Times New Roman" w:eastAsia="黑体" w:cs="Times New Roman"/>
          <w:b w:val="0"/>
          <w:bCs w:val="0"/>
          <w:color w:val="auto"/>
          <w:spacing w:val="-6"/>
          <w:sz w:val="30"/>
          <w:szCs w:val="30"/>
          <w:shd w:val="clear" w:color="auto" w:fill="auto"/>
          <w:lang w:val="en-US" w:eastAsia="zh-CN"/>
        </w:rPr>
      </w:pPr>
      <w:r>
        <w:rPr>
          <w:rFonts w:hint="eastAsia" w:ascii="Times New Roman" w:hAnsi="Times New Roman" w:eastAsia="黑体" w:cs="Times New Roman"/>
          <w:b w:val="0"/>
          <w:bCs w:val="0"/>
          <w:color w:val="auto"/>
          <w:spacing w:val="-6"/>
          <w:sz w:val="30"/>
          <w:szCs w:val="30"/>
          <w:shd w:val="clear" w:color="auto" w:fill="auto"/>
          <w:lang w:val="en-US" w:eastAsia="zh-CN"/>
        </w:rPr>
        <w:t>三、标识与警示语</w:t>
      </w:r>
    </w:p>
    <w:p w14:paraId="43D4461C">
      <w:pPr>
        <w:keepNext w:val="0"/>
        <w:keepLines w:val="0"/>
        <w:pageBreakBefore w:val="0"/>
        <w:numPr>
          <w:ilvl w:val="0"/>
          <w:numId w:val="0"/>
        </w:numPr>
        <w:kinsoku/>
        <w:wordWrap/>
        <w:overflowPunct/>
        <w:topLinePunct w:val="0"/>
        <w:autoSpaceDE/>
        <w:autoSpaceDN/>
        <w:bidi w:val="0"/>
        <w:adjustRightInd/>
        <w:snapToGrid/>
        <w:spacing w:line="240" w:lineRule="auto"/>
        <w:ind w:firstLine="576" w:firstLineChars="200"/>
        <w:jc w:val="both"/>
        <w:textAlignment w:val="auto"/>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pP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标识与警示语</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可以</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方便获取及辨别产品功能信息、警示</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危险</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操作行为。</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《电动自行车电气安全要求》（GB 42295-2022）标准规定：车辆电压高于特低电压35.0</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V（</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直流</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和</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16.0</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V(交流)的主回路和蓄电池系统</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其容易接触带电部分的防护罩等应在易见的位置清晰牢固地标注</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当心触电的图形</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标志</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蓄电池系统的外表面应有醒目的“非专业</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人士</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禁止打开”警示语句</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蓄电池系统的外表面应清晰可见地注明其充电和放电的工作温度范围、最大充电和放电的电流、放电最低终止电压、充电最高终止电压等参数</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以便识别。</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该项目不符合标准的情况和危害：蓄电池系统的外表面没有清晰注明其充电和放电的工作温度范围、最大电流、最低终止电压、最高终止电压等参数，用户可能会在不了解正确操作方式的情况下进行充电或放电，导致电池性能下降、寿命缩短甚至损坏；蓄电池系统没有“非专业人士禁止打开”的警示语句，非专业人员可能会擅自打开或操作，这可能导致系统损坏、短路、火灾等严重后果；车辆电压高于特低电压的主回路和蓄电池系统容易接触带电部分的防护罩上清晰标注“当心触电”的图形标志，非专业人员可能会在不了解风险的情况下误触带电部分，从而引发触电事故，导致人员伤亡。</w:t>
      </w:r>
    </w:p>
    <w:p w14:paraId="24AB581A">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eastAsia" w:ascii="Times New Roman" w:hAnsi="Times New Roman" w:eastAsia="黑体" w:cs="Times New Roman"/>
          <w:b w:val="0"/>
          <w:bCs w:val="0"/>
          <w:color w:val="auto"/>
          <w:spacing w:val="-6"/>
          <w:sz w:val="30"/>
          <w:szCs w:val="30"/>
          <w:shd w:val="clear" w:color="auto" w:fill="auto"/>
          <w:lang w:val="en-US" w:eastAsia="zh-CN"/>
        </w:rPr>
      </w:pPr>
      <w:r>
        <w:rPr>
          <w:rFonts w:hint="eastAsia" w:ascii="Times New Roman" w:hAnsi="Times New Roman" w:eastAsia="黑体" w:cs="Times New Roman"/>
          <w:b w:val="0"/>
          <w:bCs w:val="0"/>
          <w:color w:val="auto"/>
          <w:spacing w:val="-6"/>
          <w:sz w:val="30"/>
          <w:szCs w:val="30"/>
          <w:shd w:val="clear" w:color="auto" w:fill="auto"/>
          <w:lang w:val="en-US" w:eastAsia="zh-CN"/>
        </w:rPr>
        <w:t>四、整车质量</w:t>
      </w:r>
    </w:p>
    <w:p w14:paraId="005F288F">
      <w:pPr>
        <w:keepNext w:val="0"/>
        <w:keepLines w:val="0"/>
        <w:pageBreakBefore w:val="0"/>
        <w:widowControl w:val="0"/>
        <w:numPr>
          <w:ilvl w:val="0"/>
          <w:numId w:val="0"/>
        </w:numPr>
        <w:kinsoku/>
        <w:wordWrap/>
        <w:overflowPunct/>
        <w:topLinePunct w:val="0"/>
        <w:bidi w:val="0"/>
        <w:snapToGrid/>
        <w:spacing w:line="578" w:lineRule="exact"/>
        <w:ind w:firstLine="576" w:firstLineChars="200"/>
        <w:textAlignment w:val="auto"/>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pP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《电动自行车安全技术规范》（GB 17761-2018）</w:t>
      </w:r>
      <w:r>
        <w:rPr>
          <w:rFonts w:hint="default"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标准规定</w:t>
      </w:r>
      <w:r>
        <w:rPr>
          <w:rFonts w:hint="eastAsia" w:ascii="Times New Roman" w:hAnsi="Times New Roman" w:eastAsia="仿宋_GB2312" w:cs="Times New Roman"/>
          <w:b w:val="0"/>
          <w:bCs w:val="0"/>
          <w:i w:val="0"/>
          <w:caps w:val="0"/>
          <w:color w:val="auto"/>
          <w:spacing w:val="-6"/>
          <w:kern w:val="0"/>
          <w:sz w:val="30"/>
          <w:szCs w:val="30"/>
          <w:shd w:val="clear" w:color="auto" w:fill="auto"/>
          <w:vertAlign w:val="baseline"/>
          <w:lang w:val="en-US" w:eastAsia="zh-CN" w:bidi="ar-SA"/>
        </w:rPr>
        <w:t>：整车质量应小于或等于55kg。该项目不符合标准可能是由于电动车体积过大，且未对各个零部件的质量进行有效控制，或者配置的电池重量过重，导致整车质量超过标准限值。整车重量过重，会影响车辆的制动效果，影响行车安全。</w:t>
      </w:r>
    </w:p>
    <w:bookmarkEnd w:id="0"/>
    <w:p w14:paraId="5860937C">
      <w:pPr>
        <w:keepNext w:val="0"/>
        <w:keepLines w:val="0"/>
        <w:pageBreakBefore w:val="0"/>
        <w:widowControl w:val="0"/>
        <w:numPr>
          <w:ilvl w:val="0"/>
          <w:numId w:val="0"/>
        </w:numPr>
        <w:kinsoku/>
        <w:wordWrap/>
        <w:overflowPunct/>
        <w:topLinePunct w:val="0"/>
        <w:bidi w:val="0"/>
        <w:snapToGrid/>
        <w:spacing w:line="578" w:lineRule="exact"/>
        <w:ind w:firstLine="600" w:firstLineChars="200"/>
        <w:textAlignment w:val="auto"/>
        <w:rPr>
          <w:rFonts w:hint="default" w:ascii="Times New Roman" w:hAnsi="Times New Roman" w:eastAsia="仿宋_GB2312" w:cs="Times New Roman"/>
          <w:b w:val="0"/>
          <w:bCs w:val="0"/>
          <w:i w:val="0"/>
          <w:caps w:val="0"/>
          <w:color w:val="auto"/>
          <w:spacing w:val="0"/>
          <w:kern w:val="0"/>
          <w:sz w:val="30"/>
          <w:szCs w:val="30"/>
          <w:shd w:val="clear" w:color="auto" w:fill="auto"/>
          <w:vertAlign w:val="baseline"/>
          <w:lang w:val="en-US" w:eastAsia="zh-CN" w:bidi="ar-SA"/>
        </w:rPr>
      </w:pPr>
    </w:p>
    <w:sectPr>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C5275E-DDE6-49E1-8602-23D68E4CCD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59B1D799-38E2-4802-A0C7-5D24EF94A04B}"/>
  </w:font>
  <w:font w:name="仿宋_GB2312">
    <w:panose1 w:val="02010609030101010101"/>
    <w:charset w:val="86"/>
    <w:family w:val="auto"/>
    <w:pitch w:val="default"/>
    <w:sig w:usb0="00000001" w:usb1="080E0000" w:usb2="00000000" w:usb3="00000000" w:csb0="00040000" w:csb1="00000000"/>
    <w:embedRegular r:id="rId3" w:fontKey="{010AFF4E-6EE5-4AA5-8C28-BB4DBCDF54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lkM2EwM2EyZmY0NDQ0MmJjNmRjNzg4OWMzZjIifQ=="/>
  </w:docVars>
  <w:rsids>
    <w:rsidRoot w:val="CEA33675"/>
    <w:rsid w:val="00641FAE"/>
    <w:rsid w:val="010A3385"/>
    <w:rsid w:val="01521C8D"/>
    <w:rsid w:val="01C60790"/>
    <w:rsid w:val="026A3E27"/>
    <w:rsid w:val="0277327E"/>
    <w:rsid w:val="029500F9"/>
    <w:rsid w:val="029C1412"/>
    <w:rsid w:val="02CA24BB"/>
    <w:rsid w:val="03152FE9"/>
    <w:rsid w:val="03E02952"/>
    <w:rsid w:val="03E75900"/>
    <w:rsid w:val="04827293"/>
    <w:rsid w:val="051B624A"/>
    <w:rsid w:val="05D6E520"/>
    <w:rsid w:val="05E337FC"/>
    <w:rsid w:val="06D00421"/>
    <w:rsid w:val="06E5034F"/>
    <w:rsid w:val="06F2019A"/>
    <w:rsid w:val="072736E8"/>
    <w:rsid w:val="087F1A3E"/>
    <w:rsid w:val="08DA663E"/>
    <w:rsid w:val="091F0FEF"/>
    <w:rsid w:val="09E75653"/>
    <w:rsid w:val="0A066E85"/>
    <w:rsid w:val="0A692560"/>
    <w:rsid w:val="0B16047B"/>
    <w:rsid w:val="0B2D2C27"/>
    <w:rsid w:val="0B607825"/>
    <w:rsid w:val="0B607C96"/>
    <w:rsid w:val="0BFA31FD"/>
    <w:rsid w:val="0D7C07BE"/>
    <w:rsid w:val="0DDB08F9"/>
    <w:rsid w:val="0DE2790E"/>
    <w:rsid w:val="0E0D58BA"/>
    <w:rsid w:val="0FED1ED1"/>
    <w:rsid w:val="10334CEB"/>
    <w:rsid w:val="11AE12F0"/>
    <w:rsid w:val="11F27FF1"/>
    <w:rsid w:val="11FC011F"/>
    <w:rsid w:val="12AF6F40"/>
    <w:rsid w:val="12EA5F3C"/>
    <w:rsid w:val="14072DAB"/>
    <w:rsid w:val="147362A3"/>
    <w:rsid w:val="149B7683"/>
    <w:rsid w:val="14B46A83"/>
    <w:rsid w:val="15686377"/>
    <w:rsid w:val="157C7D44"/>
    <w:rsid w:val="15806971"/>
    <w:rsid w:val="158C2358"/>
    <w:rsid w:val="15F37BF3"/>
    <w:rsid w:val="16017E9D"/>
    <w:rsid w:val="16287735"/>
    <w:rsid w:val="17567711"/>
    <w:rsid w:val="18C63235"/>
    <w:rsid w:val="19092858"/>
    <w:rsid w:val="195E16BF"/>
    <w:rsid w:val="198A5A5A"/>
    <w:rsid w:val="19A759A9"/>
    <w:rsid w:val="19FA0F5A"/>
    <w:rsid w:val="19FE54DB"/>
    <w:rsid w:val="1A87EDB5"/>
    <w:rsid w:val="1C1305C8"/>
    <w:rsid w:val="1C566B72"/>
    <w:rsid w:val="1C662D65"/>
    <w:rsid w:val="1CF9012A"/>
    <w:rsid w:val="1D4D7D64"/>
    <w:rsid w:val="1D9CDAB1"/>
    <w:rsid w:val="1DB3B683"/>
    <w:rsid w:val="1DFE6142"/>
    <w:rsid w:val="1E091925"/>
    <w:rsid w:val="1E161F2C"/>
    <w:rsid w:val="1E2929F8"/>
    <w:rsid w:val="1E462670"/>
    <w:rsid w:val="1E85149C"/>
    <w:rsid w:val="1E8C282B"/>
    <w:rsid w:val="1F0B0AA4"/>
    <w:rsid w:val="1F0C67C0"/>
    <w:rsid w:val="1FAD0CAB"/>
    <w:rsid w:val="200D5491"/>
    <w:rsid w:val="203647FC"/>
    <w:rsid w:val="209D7431"/>
    <w:rsid w:val="20BB01D1"/>
    <w:rsid w:val="20DD3991"/>
    <w:rsid w:val="213845A4"/>
    <w:rsid w:val="214A68E4"/>
    <w:rsid w:val="217C6B87"/>
    <w:rsid w:val="21B06830"/>
    <w:rsid w:val="22F3235A"/>
    <w:rsid w:val="23246C54"/>
    <w:rsid w:val="234D4CE0"/>
    <w:rsid w:val="244D4EF6"/>
    <w:rsid w:val="24816D5B"/>
    <w:rsid w:val="25396E03"/>
    <w:rsid w:val="256E65CD"/>
    <w:rsid w:val="2579669A"/>
    <w:rsid w:val="25D36F81"/>
    <w:rsid w:val="25FB0E67"/>
    <w:rsid w:val="26613389"/>
    <w:rsid w:val="26FA033F"/>
    <w:rsid w:val="271B1AD1"/>
    <w:rsid w:val="284A4F2F"/>
    <w:rsid w:val="288A1B89"/>
    <w:rsid w:val="28F26D17"/>
    <w:rsid w:val="29C2554C"/>
    <w:rsid w:val="2A2102CB"/>
    <w:rsid w:val="2A5E32CD"/>
    <w:rsid w:val="2A6D5636"/>
    <w:rsid w:val="2AB20AB3"/>
    <w:rsid w:val="2AD04030"/>
    <w:rsid w:val="2B885E95"/>
    <w:rsid w:val="2BFA1719"/>
    <w:rsid w:val="2C9F63A9"/>
    <w:rsid w:val="2DA33326"/>
    <w:rsid w:val="2DF743F5"/>
    <w:rsid w:val="2E090714"/>
    <w:rsid w:val="2E563111"/>
    <w:rsid w:val="2EE76BCE"/>
    <w:rsid w:val="2EE773CD"/>
    <w:rsid w:val="2EFE507F"/>
    <w:rsid w:val="2F1D0B53"/>
    <w:rsid w:val="2FCC3997"/>
    <w:rsid w:val="2FD55531"/>
    <w:rsid w:val="3009464F"/>
    <w:rsid w:val="321F5548"/>
    <w:rsid w:val="32AF4BAD"/>
    <w:rsid w:val="32D22F57"/>
    <w:rsid w:val="32F4011F"/>
    <w:rsid w:val="33807630"/>
    <w:rsid w:val="33AE06F6"/>
    <w:rsid w:val="33FB1B8D"/>
    <w:rsid w:val="34590470"/>
    <w:rsid w:val="3494526F"/>
    <w:rsid w:val="34AB5A19"/>
    <w:rsid w:val="35FFBAC7"/>
    <w:rsid w:val="36184342"/>
    <w:rsid w:val="36B87C32"/>
    <w:rsid w:val="37E21305"/>
    <w:rsid w:val="38363A52"/>
    <w:rsid w:val="384B5912"/>
    <w:rsid w:val="38653A79"/>
    <w:rsid w:val="3900273C"/>
    <w:rsid w:val="39CF5EB3"/>
    <w:rsid w:val="3AA2E5E5"/>
    <w:rsid w:val="3AC8778F"/>
    <w:rsid w:val="3AED3BD1"/>
    <w:rsid w:val="3DF5589F"/>
    <w:rsid w:val="3E3F1DCB"/>
    <w:rsid w:val="3EC814C9"/>
    <w:rsid w:val="3F9AA812"/>
    <w:rsid w:val="3FD341E0"/>
    <w:rsid w:val="3FE3D61E"/>
    <w:rsid w:val="3FF67611"/>
    <w:rsid w:val="3FF74F60"/>
    <w:rsid w:val="424A3F74"/>
    <w:rsid w:val="43AF71D5"/>
    <w:rsid w:val="43B6787E"/>
    <w:rsid w:val="43EE30A8"/>
    <w:rsid w:val="43FC1E54"/>
    <w:rsid w:val="44B04773"/>
    <w:rsid w:val="45D85509"/>
    <w:rsid w:val="460C1688"/>
    <w:rsid w:val="462E0053"/>
    <w:rsid w:val="46916EDC"/>
    <w:rsid w:val="477161DB"/>
    <w:rsid w:val="4797B0C6"/>
    <w:rsid w:val="47E33234"/>
    <w:rsid w:val="47EF36B3"/>
    <w:rsid w:val="487A1A86"/>
    <w:rsid w:val="48961A2D"/>
    <w:rsid w:val="49037433"/>
    <w:rsid w:val="499E6BB1"/>
    <w:rsid w:val="49AEBC9C"/>
    <w:rsid w:val="49B900C8"/>
    <w:rsid w:val="4A0C54A0"/>
    <w:rsid w:val="4A18434B"/>
    <w:rsid w:val="4A424F9A"/>
    <w:rsid w:val="4A5101BB"/>
    <w:rsid w:val="4AA0564A"/>
    <w:rsid w:val="4AD352BB"/>
    <w:rsid w:val="4B4F69E6"/>
    <w:rsid w:val="4B6A7D78"/>
    <w:rsid w:val="4BB22927"/>
    <w:rsid w:val="4BDE3E16"/>
    <w:rsid w:val="4BFE6267"/>
    <w:rsid w:val="4C187E6D"/>
    <w:rsid w:val="4CC823D1"/>
    <w:rsid w:val="4CF7EDE8"/>
    <w:rsid w:val="4D111067"/>
    <w:rsid w:val="4D197E75"/>
    <w:rsid w:val="4D6E1DDD"/>
    <w:rsid w:val="4D922C49"/>
    <w:rsid w:val="4D9303E8"/>
    <w:rsid w:val="4F5E6BC9"/>
    <w:rsid w:val="4F740A98"/>
    <w:rsid w:val="502C4483"/>
    <w:rsid w:val="5031142E"/>
    <w:rsid w:val="50C64E79"/>
    <w:rsid w:val="51103F97"/>
    <w:rsid w:val="513D7501"/>
    <w:rsid w:val="513F78E4"/>
    <w:rsid w:val="529C2335"/>
    <w:rsid w:val="52F361D0"/>
    <w:rsid w:val="53D052F8"/>
    <w:rsid w:val="53E9BF6F"/>
    <w:rsid w:val="53F020DA"/>
    <w:rsid w:val="559471D1"/>
    <w:rsid w:val="5614157C"/>
    <w:rsid w:val="56494582"/>
    <w:rsid w:val="565F2DC9"/>
    <w:rsid w:val="56C67981"/>
    <w:rsid w:val="56C73327"/>
    <w:rsid w:val="56D2200D"/>
    <w:rsid w:val="576F146B"/>
    <w:rsid w:val="579B3F05"/>
    <w:rsid w:val="579E547A"/>
    <w:rsid w:val="58492617"/>
    <w:rsid w:val="5882320D"/>
    <w:rsid w:val="58DF4D2A"/>
    <w:rsid w:val="591F7797"/>
    <w:rsid w:val="59444FAC"/>
    <w:rsid w:val="594B5323"/>
    <w:rsid w:val="59701E26"/>
    <w:rsid w:val="59F7060E"/>
    <w:rsid w:val="5A026F22"/>
    <w:rsid w:val="5A4B613A"/>
    <w:rsid w:val="5A4C4641"/>
    <w:rsid w:val="5A855115"/>
    <w:rsid w:val="5AE6390B"/>
    <w:rsid w:val="5B075609"/>
    <w:rsid w:val="5BDA3AC8"/>
    <w:rsid w:val="5BE54F7D"/>
    <w:rsid w:val="5BED5B66"/>
    <w:rsid w:val="5C0326E2"/>
    <w:rsid w:val="5C8D4209"/>
    <w:rsid w:val="5CB0535B"/>
    <w:rsid w:val="5CEB3435"/>
    <w:rsid w:val="5D50591B"/>
    <w:rsid w:val="5E5FEDC6"/>
    <w:rsid w:val="5EF847CD"/>
    <w:rsid w:val="5EF9021B"/>
    <w:rsid w:val="5F597892"/>
    <w:rsid w:val="5F922859"/>
    <w:rsid w:val="603B217D"/>
    <w:rsid w:val="60B80627"/>
    <w:rsid w:val="610E5E63"/>
    <w:rsid w:val="62522352"/>
    <w:rsid w:val="625E7607"/>
    <w:rsid w:val="62965BBE"/>
    <w:rsid w:val="62C30603"/>
    <w:rsid w:val="633E4CD7"/>
    <w:rsid w:val="646C600B"/>
    <w:rsid w:val="648B6096"/>
    <w:rsid w:val="650A75D2"/>
    <w:rsid w:val="66546D57"/>
    <w:rsid w:val="66D40ED9"/>
    <w:rsid w:val="6756CE37"/>
    <w:rsid w:val="67D76DBA"/>
    <w:rsid w:val="67EE1436"/>
    <w:rsid w:val="6833491D"/>
    <w:rsid w:val="68ED5241"/>
    <w:rsid w:val="690169C0"/>
    <w:rsid w:val="6A3301FA"/>
    <w:rsid w:val="6C1F4432"/>
    <w:rsid w:val="6CC17B5C"/>
    <w:rsid w:val="6DEC3919"/>
    <w:rsid w:val="6DF24C5C"/>
    <w:rsid w:val="6EBE77D6"/>
    <w:rsid w:val="6EC802E2"/>
    <w:rsid w:val="6EEE1E91"/>
    <w:rsid w:val="6EEF592F"/>
    <w:rsid w:val="6F950A42"/>
    <w:rsid w:val="6FDBB88A"/>
    <w:rsid w:val="6FE715BE"/>
    <w:rsid w:val="6FED299B"/>
    <w:rsid w:val="6FFF5FA7"/>
    <w:rsid w:val="7037767C"/>
    <w:rsid w:val="704A2F79"/>
    <w:rsid w:val="70721011"/>
    <w:rsid w:val="71CE3A06"/>
    <w:rsid w:val="721241AC"/>
    <w:rsid w:val="72C874E3"/>
    <w:rsid w:val="73F41C3E"/>
    <w:rsid w:val="742020BD"/>
    <w:rsid w:val="74C90CAB"/>
    <w:rsid w:val="75297F75"/>
    <w:rsid w:val="75425809"/>
    <w:rsid w:val="76344F14"/>
    <w:rsid w:val="769523D7"/>
    <w:rsid w:val="76F95E1E"/>
    <w:rsid w:val="76FC596B"/>
    <w:rsid w:val="773B275E"/>
    <w:rsid w:val="775E4966"/>
    <w:rsid w:val="776B5217"/>
    <w:rsid w:val="77EF454B"/>
    <w:rsid w:val="78324FC0"/>
    <w:rsid w:val="78D98972"/>
    <w:rsid w:val="79015521"/>
    <w:rsid w:val="79A78A90"/>
    <w:rsid w:val="7A2025CB"/>
    <w:rsid w:val="7A2B7977"/>
    <w:rsid w:val="7A4A426B"/>
    <w:rsid w:val="7ADE75AC"/>
    <w:rsid w:val="7AFC3C49"/>
    <w:rsid w:val="7AFD5192"/>
    <w:rsid w:val="7B2E2E0F"/>
    <w:rsid w:val="7B521B19"/>
    <w:rsid w:val="7B7155B6"/>
    <w:rsid w:val="7B763486"/>
    <w:rsid w:val="7B77080C"/>
    <w:rsid w:val="7BDFAE97"/>
    <w:rsid w:val="7BEE5A50"/>
    <w:rsid w:val="7C426EE6"/>
    <w:rsid w:val="7C57B109"/>
    <w:rsid w:val="7C964B41"/>
    <w:rsid w:val="7C9BE749"/>
    <w:rsid w:val="7CCF4424"/>
    <w:rsid w:val="7CE86CC4"/>
    <w:rsid w:val="7CEF1130"/>
    <w:rsid w:val="7CF7AA23"/>
    <w:rsid w:val="7D2D230B"/>
    <w:rsid w:val="7D6D4907"/>
    <w:rsid w:val="7DA45C3F"/>
    <w:rsid w:val="7DAB641A"/>
    <w:rsid w:val="7DEF80EC"/>
    <w:rsid w:val="7DF1174F"/>
    <w:rsid w:val="7DFF0736"/>
    <w:rsid w:val="7DFFA920"/>
    <w:rsid w:val="7E1A1BD6"/>
    <w:rsid w:val="7E27BDA1"/>
    <w:rsid w:val="7E8D76B1"/>
    <w:rsid w:val="7EB65A35"/>
    <w:rsid w:val="7EDF138B"/>
    <w:rsid w:val="7EEE088B"/>
    <w:rsid w:val="7F2C0356"/>
    <w:rsid w:val="7F5FE360"/>
    <w:rsid w:val="7F962F62"/>
    <w:rsid w:val="7F9FD165"/>
    <w:rsid w:val="7FA30D0D"/>
    <w:rsid w:val="7FA488D0"/>
    <w:rsid w:val="7FBF74B4"/>
    <w:rsid w:val="7FF94A3A"/>
    <w:rsid w:val="7FFBA8CD"/>
    <w:rsid w:val="7FFF51F5"/>
    <w:rsid w:val="7FFFC0F5"/>
    <w:rsid w:val="82FB8DD7"/>
    <w:rsid w:val="87BFFCF8"/>
    <w:rsid w:val="9FAA0258"/>
    <w:rsid w:val="AB7FA3B5"/>
    <w:rsid w:val="ACEB7819"/>
    <w:rsid w:val="AEDF6E5E"/>
    <w:rsid w:val="AF6F961F"/>
    <w:rsid w:val="B97B69DE"/>
    <w:rsid w:val="B9FF9A48"/>
    <w:rsid w:val="BAF8525C"/>
    <w:rsid w:val="BCDC1BCA"/>
    <w:rsid w:val="BCEFC1A7"/>
    <w:rsid w:val="BCFEC77E"/>
    <w:rsid w:val="BDFB5A9F"/>
    <w:rsid w:val="BEFF50BA"/>
    <w:rsid w:val="BF8B2119"/>
    <w:rsid w:val="BF9F108B"/>
    <w:rsid w:val="BFFA6C04"/>
    <w:rsid w:val="C9D7C34D"/>
    <w:rsid w:val="CEA33675"/>
    <w:rsid w:val="D3F6E079"/>
    <w:rsid w:val="DBFB0647"/>
    <w:rsid w:val="DDFDE1F2"/>
    <w:rsid w:val="DF5B871C"/>
    <w:rsid w:val="DF9D1ABD"/>
    <w:rsid w:val="DFE4E972"/>
    <w:rsid w:val="DFF5C64C"/>
    <w:rsid w:val="DFFF6B72"/>
    <w:rsid w:val="E6E76D43"/>
    <w:rsid w:val="EF3B2403"/>
    <w:rsid w:val="EFFC5856"/>
    <w:rsid w:val="EFFF3AD4"/>
    <w:rsid w:val="F7B4CE9C"/>
    <w:rsid w:val="F7DEA968"/>
    <w:rsid w:val="F7F67FEB"/>
    <w:rsid w:val="F97EB639"/>
    <w:rsid w:val="F9B9BA54"/>
    <w:rsid w:val="F9F3B2CA"/>
    <w:rsid w:val="FAFFC5F5"/>
    <w:rsid w:val="FB4FB3D6"/>
    <w:rsid w:val="FBFF7D2F"/>
    <w:rsid w:val="FD6E76B2"/>
    <w:rsid w:val="FD7BCD90"/>
    <w:rsid w:val="FDBBDC7F"/>
    <w:rsid w:val="FDFFD601"/>
    <w:rsid w:val="FE5B8179"/>
    <w:rsid w:val="FE7FC165"/>
    <w:rsid w:val="FEFE230C"/>
    <w:rsid w:val="FF779F8A"/>
    <w:rsid w:val="FFF09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91"/>
    <w:basedOn w:val="7"/>
    <w:qFormat/>
    <w:uiPriority w:val="0"/>
    <w:rPr>
      <w:rFonts w:hint="eastAsia" w:ascii="宋体" w:hAnsi="宋体" w:eastAsia="宋体" w:cs="宋体"/>
      <w:color w:val="000000"/>
      <w:sz w:val="20"/>
      <w:szCs w:val="20"/>
      <w:u w:val="none"/>
    </w:rPr>
  </w:style>
  <w:style w:type="character" w:customStyle="1" w:styleId="12">
    <w:name w:val="font81"/>
    <w:basedOn w:val="7"/>
    <w:qFormat/>
    <w:uiPriority w:val="0"/>
    <w:rPr>
      <w:rFonts w:hint="eastAsia" w:ascii="宋体" w:hAnsi="宋体" w:eastAsia="宋体" w:cs="宋体"/>
      <w:color w:val="000000"/>
      <w:sz w:val="20"/>
      <w:szCs w:val="20"/>
      <w:u w:val="none"/>
    </w:rPr>
  </w:style>
  <w:style w:type="character" w:customStyle="1" w:styleId="13">
    <w:name w:val="font121"/>
    <w:basedOn w:val="7"/>
    <w:qFormat/>
    <w:uiPriority w:val="0"/>
    <w:rPr>
      <w:rFonts w:hint="default" w:ascii="Times New Roman" w:hAnsi="Times New Roman" w:cs="Times New Roman"/>
      <w:color w:val="000000"/>
      <w:sz w:val="20"/>
      <w:szCs w:val="20"/>
      <w:u w:val="none"/>
    </w:rPr>
  </w:style>
  <w:style w:type="character" w:customStyle="1" w:styleId="14">
    <w:name w:val="font51"/>
    <w:basedOn w:val="7"/>
    <w:qFormat/>
    <w:uiPriority w:val="0"/>
    <w:rPr>
      <w:rFonts w:hint="eastAsia" w:ascii="宋体" w:hAnsi="宋体" w:eastAsia="宋体" w:cs="宋体"/>
      <w:color w:val="000000"/>
      <w:sz w:val="20"/>
      <w:szCs w:val="20"/>
      <w:u w:val="none"/>
    </w:rPr>
  </w:style>
  <w:style w:type="character" w:customStyle="1" w:styleId="15">
    <w:name w:val="font101"/>
    <w:basedOn w:val="7"/>
    <w:qFormat/>
    <w:uiPriority w:val="0"/>
    <w:rPr>
      <w:rFonts w:hint="eastAsia" w:ascii="宋体" w:hAnsi="宋体" w:eastAsia="宋体" w:cs="宋体"/>
      <w:color w:val="000000"/>
      <w:sz w:val="20"/>
      <w:szCs w:val="20"/>
      <w:u w:val="none"/>
    </w:rPr>
  </w:style>
  <w:style w:type="character" w:customStyle="1" w:styleId="16">
    <w:name w:val="font41"/>
    <w:basedOn w:val="7"/>
    <w:qFormat/>
    <w:uiPriority w:val="0"/>
    <w:rPr>
      <w:rFonts w:hint="eastAsia" w:ascii="方正书宋_GBK" w:hAnsi="方正书宋_GBK" w:eastAsia="方正书宋_GBK" w:cs="方正书宋_GBK"/>
      <w:color w:val="000000"/>
      <w:sz w:val="20"/>
      <w:szCs w:val="20"/>
      <w:u w:val="none"/>
    </w:rPr>
  </w:style>
  <w:style w:type="paragraph" w:customStyle="1" w:styleId="17">
    <w:name w:val="列出段落1"/>
    <w:basedOn w:val="1"/>
    <w:qFormat/>
    <w:uiPriority w:val="34"/>
    <w:pPr>
      <w:ind w:firstLine="420" w:firstLineChars="200"/>
    </w:pPr>
  </w:style>
  <w:style w:type="character" w:customStyle="1" w:styleId="18">
    <w:name w:val="font11"/>
    <w:basedOn w:val="7"/>
    <w:qFormat/>
    <w:uiPriority w:val="0"/>
    <w:rPr>
      <w:rFonts w:hint="eastAsia" w:ascii="宋体" w:hAnsi="宋体" w:eastAsia="宋体" w:cs="宋体"/>
      <w:color w:val="000000"/>
      <w:sz w:val="24"/>
      <w:szCs w:val="24"/>
      <w:u w:val="none"/>
    </w:rPr>
  </w:style>
  <w:style w:type="character" w:customStyle="1" w:styleId="19">
    <w:name w:val="font01"/>
    <w:basedOn w:val="7"/>
    <w:qFormat/>
    <w:uiPriority w:val="0"/>
    <w:rPr>
      <w:rFonts w:hint="default" w:ascii="Times New Roman" w:hAnsi="Times New Roman" w:cs="Times New Roman"/>
      <w:color w:val="000000"/>
      <w:sz w:val="24"/>
      <w:szCs w:val="24"/>
      <w:u w:val="none"/>
    </w:rPr>
  </w:style>
  <w:style w:type="character" w:customStyle="1" w:styleId="20">
    <w:name w:val="font31"/>
    <w:basedOn w:val="7"/>
    <w:qFormat/>
    <w:uiPriority w:val="0"/>
    <w:rPr>
      <w:rFonts w:hint="eastAsia" w:ascii="宋体" w:hAnsi="宋体" w:eastAsia="宋体" w:cs="宋体"/>
      <w:color w:val="000000"/>
      <w:sz w:val="24"/>
      <w:szCs w:val="24"/>
      <w:u w:val="none"/>
    </w:rPr>
  </w:style>
  <w:style w:type="character" w:customStyle="1" w:styleId="21">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1070</Characters>
  <Lines>0</Lines>
  <Paragraphs>0</Paragraphs>
  <TotalTime>8</TotalTime>
  <ScaleCrop>false</ScaleCrop>
  <LinksUpToDate>false</LinksUpToDate>
  <CharactersWithSpaces>1074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2022-06-16T16:00:00Z</dcterms:created>
  <dc:creator>scjgj</dc:creator>
  <cp:lastModifiedBy>admin</cp:lastModifiedBy>
  <cp:lastPrinted>2024-07-24T02:05:05Z</cp:lastPrinted>
  <dcterms:modified xsi:type="dcterms:W3CDTF">2024-07-24T02:05:08Z</dcterms:modified>
  <dc:title>北京市安全防护类产品质量监督抽查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7EBC1CD29035489787B923AD621E4F91_13</vt:lpwstr>
  </property>
</Properties>
</file>