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2023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Hans"/>
        </w:rPr>
        <w:t>年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病媒生物防制工作服务经费项目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eastAsia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宋体" w:hAnsi="宋体"/>
          <w:sz w:val="28"/>
          <w:szCs w:val="28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</w:pPr>
      <w:r>
        <w:rPr>
          <w:rFonts w:hint="eastAsia" w:ascii="宋体" w:hAnsi="宋体"/>
          <w:sz w:val="28"/>
          <w:szCs w:val="28"/>
          <w:u w:val="non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  <w:t xml:space="preserve">  评价类型：</w:t>
      </w:r>
      <w:r>
        <w:rPr>
          <w:rFonts w:hint="eastAsia" w:asciiTheme="minorEastAsia" w:hAnsiTheme="minorEastAsia" w:eastAsiaTheme="minorEastAsia" w:cstheme="minorEastAsia"/>
          <w:spacing w:val="-20"/>
          <w:sz w:val="28"/>
          <w:szCs w:val="28"/>
          <w:u w:val="none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  <w:t xml:space="preserve">实施过程评价      </w:t>
      </w:r>
      <w:r>
        <w:rPr>
          <w:rFonts w:hint="eastAsia" w:asciiTheme="minorEastAsia" w:hAnsiTheme="minorEastAsia" w:eastAsiaTheme="minorEastAsia" w:cstheme="minorEastAsia"/>
          <w:spacing w:val="-20"/>
          <w:sz w:val="28"/>
          <w:szCs w:val="28"/>
          <w:u w:val="none"/>
          <w:lang w:eastAsia="zh-CN"/>
        </w:rPr>
        <w:t>☑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  <w:t>完成结果评价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hanging="1400" w:hangingChars="5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项目名称：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病媒生物防制工作服务经费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hanging="2240" w:hangingChars="8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项目单位：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白沙黎族自治县爱国卫生运动服务中心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hanging="1400" w:hangingChars="5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主管部门：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白沙黎族自治县卫生健康委员会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hanging="1400" w:hangingChars="500"/>
        <w:jc w:val="both"/>
        <w:textAlignment w:val="auto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评价时间：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202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日至202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hanging="1400" w:hangingChars="5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  <w:t>组织方式：</w:t>
      </w:r>
      <w:r>
        <w:rPr>
          <w:rFonts w:hint="eastAsia" w:asciiTheme="minorEastAsia" w:hAnsiTheme="minorEastAsia" w:eastAsiaTheme="minorEastAsia" w:cstheme="minorEastAsia"/>
          <w:spacing w:val="-20"/>
          <w:sz w:val="36"/>
          <w:u w:val="none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  <w:t xml:space="preserve">财政部门     </w:t>
      </w:r>
      <w:r>
        <w:rPr>
          <w:rFonts w:hint="eastAsia" w:asciiTheme="minorEastAsia" w:hAnsiTheme="minorEastAsia" w:eastAsiaTheme="minorEastAsia" w:cstheme="minorEastAsia"/>
          <w:spacing w:val="-20"/>
          <w:sz w:val="36"/>
          <w:u w:val="none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  <w:t xml:space="preserve">主管部门     </w:t>
      </w:r>
      <w:r>
        <w:rPr>
          <w:rFonts w:hint="eastAsia" w:asciiTheme="minorEastAsia" w:hAnsiTheme="minorEastAsia" w:eastAsiaTheme="minorEastAsia" w:cstheme="minorEastAsia"/>
          <w:spacing w:val="-20"/>
          <w:sz w:val="36"/>
          <w:u w:val="none"/>
          <w:lang w:eastAsia="zh-CN"/>
        </w:rPr>
        <w:t>☑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  <w:t>项目单位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hanging="1400" w:hangingChars="5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  <w:t xml:space="preserve">     评价机构：</w:t>
      </w:r>
      <w:r>
        <w:rPr>
          <w:rFonts w:hint="eastAsia" w:asciiTheme="minorEastAsia" w:hAnsiTheme="minorEastAsia" w:eastAsiaTheme="minorEastAsia" w:cstheme="minorEastAsia"/>
          <w:spacing w:val="-20"/>
          <w:sz w:val="36"/>
          <w:u w:val="none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  <w:t xml:space="preserve">中介机构     </w:t>
      </w:r>
      <w:r>
        <w:rPr>
          <w:rFonts w:hint="eastAsia" w:asciiTheme="minorEastAsia" w:hAnsiTheme="minorEastAsia" w:eastAsiaTheme="minorEastAsia" w:cstheme="minorEastAsia"/>
          <w:spacing w:val="-20"/>
          <w:sz w:val="36"/>
          <w:u w:val="none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  <w:t xml:space="preserve">专家组     </w:t>
      </w:r>
      <w:r>
        <w:rPr>
          <w:rFonts w:hint="eastAsia" w:asciiTheme="minorEastAsia" w:hAnsiTheme="minorEastAsia" w:eastAsiaTheme="minorEastAsia" w:cstheme="minorEastAsia"/>
          <w:spacing w:val="-20"/>
          <w:sz w:val="36"/>
          <w:u w:val="none"/>
          <w:lang w:eastAsia="zh-CN"/>
        </w:rPr>
        <w:t>☑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  <w:t>项目单位评价组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hanging="1400" w:hangingChars="5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hanging="1400" w:hangingChars="500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评价单位（盖章）：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白沙黎族自治县爱国卫生运动服务中心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hanging="1400" w:hangingChars="500"/>
        <w:jc w:val="center"/>
        <w:textAlignment w:val="auto"/>
        <w:rPr>
          <w:rFonts w:hint="eastAsia" w:asciiTheme="minorEastAsia" w:hAnsiTheme="minorEastAsia" w:eastAsiaTheme="minorEastAsia" w:cstheme="minorEastAsia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上报时间：202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月</w:t>
      </w:r>
    </w:p>
    <w:p>
      <w:pPr>
        <w:pageBreakBefore/>
        <w:spacing w:line="4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项目基本信息</w:t>
      </w:r>
    </w:p>
    <w:p>
      <w:pPr>
        <w:spacing w:line="44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14"/>
        <w:tblW w:w="87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759"/>
        <w:gridCol w:w="581"/>
        <w:gridCol w:w="62"/>
        <w:gridCol w:w="540"/>
        <w:gridCol w:w="536"/>
        <w:gridCol w:w="1098"/>
        <w:gridCol w:w="508"/>
        <w:gridCol w:w="148"/>
        <w:gridCol w:w="419"/>
        <w:gridCol w:w="1049"/>
        <w:gridCol w:w="66"/>
        <w:gridCol w:w="423"/>
        <w:gridCol w:w="458"/>
        <w:gridCol w:w="940"/>
        <w:gridCol w:w="65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1" w:hRule="exact"/>
          <w:jc w:val="center"/>
        </w:trPr>
        <w:tc>
          <w:tcPr>
            <w:tcW w:w="8730" w:type="dxa"/>
            <w:gridSpan w:val="16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1" w:hRule="exact"/>
          <w:jc w:val="center"/>
        </w:trPr>
        <w:tc>
          <w:tcPr>
            <w:tcW w:w="14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项目实施单位</w:t>
            </w:r>
          </w:p>
        </w:tc>
        <w:tc>
          <w:tcPr>
            <w:tcW w:w="324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爱卫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中心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主管部门</w:t>
            </w:r>
          </w:p>
        </w:tc>
        <w:tc>
          <w:tcPr>
            <w:tcW w:w="303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1" w:hRule="exact"/>
          <w:jc w:val="center"/>
        </w:trPr>
        <w:tc>
          <w:tcPr>
            <w:tcW w:w="14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项目负责人</w:t>
            </w:r>
          </w:p>
        </w:tc>
        <w:tc>
          <w:tcPr>
            <w:tcW w:w="324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谢山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303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27725620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1" w:hRule="exact"/>
          <w:jc w:val="center"/>
        </w:trPr>
        <w:tc>
          <w:tcPr>
            <w:tcW w:w="14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地址</w:t>
            </w:r>
          </w:p>
        </w:tc>
        <w:tc>
          <w:tcPr>
            <w:tcW w:w="5245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牙叉中路政府综合楼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4楼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邮编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572800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1" w:hRule="exact"/>
          <w:jc w:val="center"/>
        </w:trPr>
        <w:tc>
          <w:tcPr>
            <w:tcW w:w="14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项目类型</w:t>
            </w:r>
          </w:p>
        </w:tc>
        <w:tc>
          <w:tcPr>
            <w:tcW w:w="7328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经常性项目（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√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）       一次性项目（ </w:t>
            </w:r>
            <w:r>
              <w:rPr>
                <w:rFonts w:hint="eastAsia" w:ascii="Arial" w:hAnsi="Arial" w:eastAsia="仿宋" w:cs="Arial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90" w:hRule="exact"/>
          <w:jc w:val="center"/>
        </w:trPr>
        <w:tc>
          <w:tcPr>
            <w:tcW w:w="1402" w:type="dxa"/>
            <w:gridSpan w:val="3"/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年初预算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（万元）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316.85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实际到位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（万元）</w:t>
            </w:r>
          </w:p>
        </w:tc>
        <w:tc>
          <w:tcPr>
            <w:tcW w:w="1534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46.831</w:t>
            </w:r>
          </w:p>
        </w:tc>
        <w:tc>
          <w:tcPr>
            <w:tcW w:w="188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实际使用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（万元）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46.831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1" w:hRule="exact"/>
          <w:jc w:val="center"/>
        </w:trPr>
        <w:tc>
          <w:tcPr>
            <w:tcW w:w="14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其中：中央资金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其中：中央资金</w:t>
            </w:r>
          </w:p>
        </w:tc>
        <w:tc>
          <w:tcPr>
            <w:tcW w:w="15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8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其中：中央资金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1" w:hRule="exact"/>
          <w:jc w:val="center"/>
        </w:trPr>
        <w:tc>
          <w:tcPr>
            <w:tcW w:w="14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省级资金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省级资金</w:t>
            </w:r>
          </w:p>
        </w:tc>
        <w:tc>
          <w:tcPr>
            <w:tcW w:w="15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8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省级资金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1" w:hRule="exact"/>
          <w:jc w:val="center"/>
        </w:trPr>
        <w:tc>
          <w:tcPr>
            <w:tcW w:w="14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县级资金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316.85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县级资金</w:t>
            </w:r>
          </w:p>
        </w:tc>
        <w:tc>
          <w:tcPr>
            <w:tcW w:w="15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46.831</w:t>
            </w:r>
          </w:p>
        </w:tc>
        <w:tc>
          <w:tcPr>
            <w:tcW w:w="188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县级资金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46.831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1" w:hRule="exact"/>
          <w:jc w:val="center"/>
        </w:trPr>
        <w:tc>
          <w:tcPr>
            <w:tcW w:w="8730" w:type="dxa"/>
            <w:gridSpan w:val="16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二、</w:t>
            </w: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绩效评价指标评分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一级指标</w:t>
            </w: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分值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二级指标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分值</w:t>
            </w:r>
          </w:p>
        </w:tc>
        <w:tc>
          <w:tcPr>
            <w:tcW w:w="1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三级指标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分值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得分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项目决策</w:t>
            </w:r>
          </w:p>
        </w:tc>
        <w:tc>
          <w:tcPr>
            <w:tcW w:w="11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项目目标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</w:t>
            </w:r>
          </w:p>
        </w:tc>
        <w:tc>
          <w:tcPr>
            <w:tcW w:w="1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目标内容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决策过程</w:t>
            </w:r>
          </w:p>
        </w:tc>
        <w:tc>
          <w:tcPr>
            <w:tcW w:w="6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8</w:t>
            </w:r>
          </w:p>
        </w:tc>
        <w:tc>
          <w:tcPr>
            <w:tcW w:w="1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决策依据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决策程序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资金分配</w:t>
            </w:r>
          </w:p>
        </w:tc>
        <w:tc>
          <w:tcPr>
            <w:tcW w:w="6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8</w:t>
            </w:r>
          </w:p>
        </w:tc>
        <w:tc>
          <w:tcPr>
            <w:tcW w:w="1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分配办法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分配结果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75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项目管理</w:t>
            </w:r>
          </w:p>
        </w:tc>
        <w:tc>
          <w:tcPr>
            <w:tcW w:w="1183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25</w:t>
            </w:r>
          </w:p>
        </w:tc>
        <w:tc>
          <w:tcPr>
            <w:tcW w:w="1634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资金到位</w:t>
            </w:r>
          </w:p>
        </w:tc>
        <w:tc>
          <w:tcPr>
            <w:tcW w:w="6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</w:t>
            </w:r>
          </w:p>
        </w:tc>
        <w:tc>
          <w:tcPr>
            <w:tcW w:w="1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到位率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7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到位时效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7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资金管理</w:t>
            </w:r>
          </w:p>
        </w:tc>
        <w:tc>
          <w:tcPr>
            <w:tcW w:w="6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10</w:t>
            </w:r>
          </w:p>
        </w:tc>
        <w:tc>
          <w:tcPr>
            <w:tcW w:w="1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资金使用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7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财务管理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7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组织实施</w:t>
            </w:r>
          </w:p>
        </w:tc>
        <w:tc>
          <w:tcPr>
            <w:tcW w:w="6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10</w:t>
            </w:r>
          </w:p>
        </w:tc>
        <w:tc>
          <w:tcPr>
            <w:tcW w:w="1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组织机构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7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管理制度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9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75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项目绩效</w:t>
            </w:r>
          </w:p>
        </w:tc>
        <w:tc>
          <w:tcPr>
            <w:tcW w:w="1183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55</w:t>
            </w:r>
          </w:p>
        </w:tc>
        <w:tc>
          <w:tcPr>
            <w:tcW w:w="1634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项目产出</w:t>
            </w:r>
          </w:p>
        </w:tc>
        <w:tc>
          <w:tcPr>
            <w:tcW w:w="6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25</w:t>
            </w:r>
          </w:p>
        </w:tc>
        <w:tc>
          <w:tcPr>
            <w:tcW w:w="1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产出数量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11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7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5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产出质量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7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5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产出时效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7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5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产出成本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7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项目效益</w:t>
            </w:r>
          </w:p>
        </w:tc>
        <w:tc>
          <w:tcPr>
            <w:tcW w:w="6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30</w:t>
            </w:r>
          </w:p>
        </w:tc>
        <w:tc>
          <w:tcPr>
            <w:tcW w:w="195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经济效益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7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5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社会效益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7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5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环境效益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7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5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可持续影响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7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5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服务对象满意度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总分</w:t>
            </w: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100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100</w:t>
            </w:r>
          </w:p>
        </w:tc>
        <w:tc>
          <w:tcPr>
            <w:tcW w:w="1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100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89.5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4232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评价等次</w:t>
            </w:r>
          </w:p>
        </w:tc>
        <w:tc>
          <w:tcPr>
            <w:tcW w:w="4498" w:type="dxa"/>
            <w:gridSpan w:val="8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730" w:type="dxa"/>
            <w:gridSpan w:val="16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三、评价人员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40" w:type="dxa"/>
            <w:gridSpan w:val="2"/>
            <w:vAlign w:val="center"/>
          </w:tcPr>
          <w:p>
            <w:pPr>
              <w:tabs>
                <w:tab w:val="left" w:pos="592"/>
              </w:tabs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 名</w:t>
            </w:r>
          </w:p>
        </w:tc>
        <w:tc>
          <w:tcPr>
            <w:tcW w:w="274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职务/职称</w:t>
            </w:r>
          </w:p>
        </w:tc>
        <w:tc>
          <w:tcPr>
            <w:tcW w:w="4646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吴姬璟子</w:t>
            </w:r>
          </w:p>
        </w:tc>
        <w:tc>
          <w:tcPr>
            <w:tcW w:w="2744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主任</w:t>
            </w:r>
          </w:p>
        </w:tc>
        <w:tc>
          <w:tcPr>
            <w:tcW w:w="4646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白沙县爱国卫生运动服务中心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林 帆</w:t>
            </w:r>
          </w:p>
        </w:tc>
        <w:tc>
          <w:tcPr>
            <w:tcW w:w="2744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二级主任科员</w:t>
            </w:r>
          </w:p>
        </w:tc>
        <w:tc>
          <w:tcPr>
            <w:tcW w:w="4646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白沙县爱国卫生运动服务中心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黄少勤</w:t>
            </w:r>
          </w:p>
        </w:tc>
        <w:tc>
          <w:tcPr>
            <w:tcW w:w="2744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办事员</w:t>
            </w:r>
          </w:p>
        </w:tc>
        <w:tc>
          <w:tcPr>
            <w:tcW w:w="4646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白沙县爱国卫生运动服务中心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周 威</w:t>
            </w:r>
          </w:p>
        </w:tc>
        <w:tc>
          <w:tcPr>
            <w:tcW w:w="2744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办事员</w:t>
            </w:r>
          </w:p>
        </w:tc>
        <w:tc>
          <w:tcPr>
            <w:tcW w:w="4646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白沙县爱国卫生运动服务中心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6" w:hRule="atLeast"/>
          <w:jc w:val="center"/>
        </w:trPr>
        <w:tc>
          <w:tcPr>
            <w:tcW w:w="8730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项目单位负责人（签字并盖章）：</w:t>
            </w:r>
          </w:p>
          <w:p>
            <w:pPr>
              <w:ind w:firstLine="6300" w:firstLineChars="3000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ind w:firstLine="6300" w:firstLineChars="3000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ind w:firstLine="6300" w:firstLineChars="3000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ind w:firstLine="6300" w:firstLineChars="300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6300" w:firstLineChars="300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6300" w:firstLineChars="300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6300" w:firstLineChars="300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6300" w:firstLineChars="300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6300" w:firstLineChars="300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6300" w:firstLineChars="300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二〇二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月</w:t>
            </w:r>
          </w:p>
        </w:tc>
      </w:tr>
    </w:tbl>
    <w:p>
      <w:pPr>
        <w:spacing w:line="530" w:lineRule="exact"/>
        <w:ind w:firstLine="221" w:firstLineChars="50"/>
        <w:jc w:val="center"/>
        <w:rPr>
          <w:rFonts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1" w:firstLineChars="5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</w:pPr>
      <w:bookmarkStart w:id="0" w:name="_Toc16603"/>
      <w:bookmarkStart w:id="1" w:name="_Toc608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1" w:firstLineChars="5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1" w:firstLineChars="5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1" w:firstLineChars="5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1" w:firstLineChars="5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1" w:firstLineChars="5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sectPr>
          <w:pgSz w:w="11906" w:h="16838"/>
          <w:pgMar w:top="2098" w:right="1531" w:bottom="1984" w:left="1587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1" w:firstLineChars="5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2023年度病媒生物防制工作服务经费项目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1" w:firstLineChars="5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 xml:space="preserve"> 绩效自评报告</w:t>
      </w:r>
      <w:bookmarkEnd w:id="0"/>
      <w:bookmarkEnd w:id="1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firstLine="567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根据《白沙黎族自治县财政局关于开展2023年度项目支出绩效自评工作的通知》（白财〔2024〕22号）要求，为推进预算绩效管理工作，提高财政资金使用效益，对本单位2023年度“病媒生物防制工作服务”项目开展绩效自评工作。项目绩效评价情况报告如下：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jc w:val="both"/>
        <w:outlineLvl w:val="0"/>
        <w:rPr>
          <w:rFonts w:ascii="黑体" w:hAnsi="黑体" w:eastAsia="黑体" w:cs="黑体"/>
          <w:b/>
          <w:bCs/>
          <w:sz w:val="30"/>
          <w:szCs w:val="30"/>
        </w:rPr>
      </w:pPr>
      <w:bookmarkStart w:id="2" w:name="_Toc23770"/>
      <w:r>
        <w:rPr>
          <w:rFonts w:hint="eastAsia" w:ascii="黑体" w:hAnsi="黑体" w:eastAsia="黑体" w:cs="黑体"/>
          <w:b/>
          <w:bCs/>
          <w:sz w:val="30"/>
          <w:szCs w:val="30"/>
        </w:rPr>
        <w:t>基本情况</w:t>
      </w:r>
      <w:bookmarkEnd w:id="2"/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jc w:val="both"/>
        <w:outlineLvl w:val="1"/>
        <w:rPr>
          <w:rFonts w:hint="eastAsia" w:ascii="楷体_GB2312" w:hAnsi="楷体_GB2312" w:eastAsia="楷体_GB2312" w:cs="楷体_GB2312"/>
          <w:b/>
          <w:bCs/>
          <w:sz w:val="30"/>
          <w:szCs w:val="30"/>
        </w:rPr>
      </w:pPr>
      <w:bookmarkStart w:id="3" w:name="_Toc28343"/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项目概况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项目单位基本情况：白沙黎族自治县爱国卫生运动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服务中心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隶属白沙黎族自治县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卫生健康委员会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，其内设岗位为环境卫生管理岗、卫生教育宣传岗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部门主要职责如下：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1．贯彻国家爱国卫生工作的方针、政策和法规。组织协调、监督、检查全县爱国卫生工作。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2．研究拟订全县爱国卫生事业的发展规划和目标，并组织实施。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负责指导后续农村卫生厕所设施维护管理，协助住建部门开展培训、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检查、验收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．负责完成全县病媒生物防制的工作计划、监测计划的制定以及组织实施、技术指导、业务培训、督导检查等。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．负责组织开展卫生县城、卫生乡（镇）村及卫生先进单位创建工作，并对卫生县城、卫生乡（镇）村、卫生先进单位的创建工作进行技术指导、督导检查。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．组织协调县、有关部门和团体的爱国卫生工作；检查全县爱国卫生工作开展情况，进行卫生效果评价。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．负责完成全县健康教育工作的组织实施、技术指导业务培训、督导检查，制定健康教育工作规划、计划等。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．开展控制吸烟活动，动员创建无烟草广告城市和无吸烟单位。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bookmarkStart w:id="21" w:name="_GoBack"/>
      <w:bookmarkEnd w:id="21"/>
      <w:r>
        <w:rPr>
          <w:rFonts w:hint="eastAsia" w:ascii="Times New Roman" w:hAnsi="Times New Roman" w:eastAsia="仿宋_GB2312" w:cs="Times New Roman"/>
          <w:sz w:val="32"/>
          <w:szCs w:val="32"/>
        </w:rPr>
        <w:t>．承办县政府和上级爱卫会交办的其他工作任务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jc w:val="both"/>
        <w:outlineLvl w:val="1"/>
        <w:rPr>
          <w:rFonts w:hint="eastAsia" w:ascii="楷体_GB2312" w:hAnsi="楷体_GB2312" w:eastAsia="楷体_GB2312" w:cs="楷体_GB2312"/>
          <w:b/>
          <w:bCs/>
          <w:sz w:val="30"/>
          <w:szCs w:val="30"/>
        </w:rPr>
      </w:pPr>
      <w:bookmarkStart w:id="4" w:name="_Toc24517"/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项目年度预算绩效目标和绩效指标设定情况</w:t>
      </w:r>
      <w:bookmarkEnd w:id="4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jc w:val="both"/>
        <w:rPr>
          <w:rFonts w:ascii="仿宋" w:hAnsi="仿宋" w:eastAsia="仿宋" w:cs="Verdana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项目年度目标：</w:t>
      </w:r>
      <w:r>
        <w:rPr>
          <w:rFonts w:hint="eastAsia" w:ascii="仿宋" w:hAnsi="仿宋" w:eastAsia="仿宋" w:cs="Verdana"/>
          <w:sz w:val="32"/>
          <w:szCs w:val="32"/>
        </w:rPr>
        <w:t>完成</w:t>
      </w:r>
      <w:r>
        <w:rPr>
          <w:rFonts w:hint="eastAsia" w:ascii="仿宋" w:hAnsi="仿宋" w:eastAsia="仿宋" w:cs="Verdana"/>
          <w:sz w:val="32"/>
          <w:szCs w:val="32"/>
          <w:lang w:eastAsia="zh-CN"/>
        </w:rPr>
        <w:t>白沙</w:t>
      </w:r>
      <w:r>
        <w:rPr>
          <w:rFonts w:hint="eastAsia" w:ascii="仿宋" w:hAnsi="仿宋" w:eastAsia="仿宋" w:cs="Verdana"/>
          <w:sz w:val="32"/>
          <w:szCs w:val="32"/>
        </w:rPr>
        <w:t>县</w:t>
      </w:r>
      <w:r>
        <w:rPr>
          <w:rFonts w:hint="eastAsia" w:ascii="仿宋" w:hAnsi="仿宋" w:eastAsia="仿宋" w:cs="Verdana"/>
          <w:sz w:val="32"/>
          <w:szCs w:val="32"/>
          <w:lang w:eastAsia="zh-CN"/>
        </w:rPr>
        <w:t>城区区域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及乡镇</w:t>
      </w:r>
      <w:r>
        <w:rPr>
          <w:rFonts w:hint="eastAsia" w:ascii="仿宋" w:hAnsi="仿宋" w:eastAsia="仿宋" w:cs="Verdana"/>
          <w:sz w:val="32"/>
          <w:szCs w:val="32"/>
          <w:lang w:eastAsia="zh-CN"/>
        </w:rPr>
        <w:t>病媒生物防制</w:t>
      </w:r>
      <w:r>
        <w:rPr>
          <w:rFonts w:hint="eastAsia" w:ascii="仿宋" w:hAnsi="仿宋" w:eastAsia="仿宋" w:cs="Verdana"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产出指标-质量指标：</w:t>
      </w:r>
      <w:r>
        <w:rPr>
          <w:rFonts w:hint="eastAsia" w:ascii="仿宋" w:hAnsi="仿宋" w:eastAsia="仿宋" w:cs="Verdana"/>
          <w:sz w:val="32"/>
          <w:szCs w:val="32"/>
        </w:rPr>
        <w:t>完成每年</w:t>
      </w:r>
      <w:r>
        <w:rPr>
          <w:rFonts w:hint="eastAsia" w:ascii="仿宋" w:hAnsi="仿宋" w:eastAsia="仿宋" w:cs="Verdana"/>
          <w:sz w:val="32"/>
          <w:szCs w:val="32"/>
          <w:lang w:eastAsia="zh-CN"/>
        </w:rPr>
        <w:t>病媒生物防制，控制水平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达到国家C级标准要求。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rPr>
          <w:rFonts w:hint="eastAsia" w:ascii="仿宋" w:hAnsi="仿宋" w:eastAsia="仿宋" w:cs="Verdana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产出指标-数量指标：</w:t>
      </w:r>
      <w:r>
        <w:rPr>
          <w:rFonts w:hint="eastAsia" w:ascii="仿宋" w:hAnsi="仿宋" w:eastAsia="仿宋" w:cs="Verdana"/>
          <w:sz w:val="32"/>
          <w:szCs w:val="32"/>
          <w:lang w:val="en-US" w:eastAsia="zh-CN"/>
        </w:rPr>
        <w:t>完成全县11个乡镇</w:t>
      </w:r>
      <w:r>
        <w:rPr>
          <w:rFonts w:hint="eastAsia" w:ascii="仿宋" w:hAnsi="仿宋" w:eastAsia="仿宋" w:cs="Verdana"/>
          <w:sz w:val="32"/>
          <w:szCs w:val="32"/>
          <w:lang w:eastAsia="zh-CN"/>
        </w:rPr>
        <w:t>病媒生物防制，灭蚊、灭蝇等“四害”工作，降低“四害”密度。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效益指标-社会效益指标：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白沙县城区区域及乡镇鼠、蟑、蚊、蝇密度控制水平全部达到国家标准。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jc w:val="both"/>
        <w:outlineLvl w:val="0"/>
        <w:rPr>
          <w:rFonts w:ascii="黑体" w:hAnsi="黑体" w:eastAsia="黑体" w:cs="黑体"/>
          <w:b/>
          <w:bCs/>
          <w:sz w:val="30"/>
          <w:szCs w:val="30"/>
        </w:rPr>
      </w:pPr>
      <w:bookmarkStart w:id="5" w:name="_Toc20503"/>
      <w:r>
        <w:rPr>
          <w:rFonts w:hint="eastAsia" w:ascii="黑体" w:hAnsi="黑体" w:eastAsia="黑体" w:cs="黑体"/>
          <w:b/>
          <w:bCs/>
          <w:sz w:val="30"/>
          <w:szCs w:val="30"/>
        </w:rPr>
        <w:t>项目组织实施情况</w:t>
      </w:r>
      <w:bookmarkEnd w:id="5"/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jc w:val="both"/>
        <w:outlineLvl w:val="1"/>
        <w:rPr>
          <w:rFonts w:hint="eastAsia" w:ascii="楷体_GB2312" w:hAnsi="楷体_GB2312" w:eastAsia="楷体_GB2312" w:cs="楷体_GB2312"/>
          <w:b/>
          <w:bCs/>
          <w:sz w:val="30"/>
          <w:szCs w:val="30"/>
        </w:rPr>
      </w:pPr>
      <w:bookmarkStart w:id="6" w:name="_Toc20064"/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项目组织情况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7" w:name="_Toc22710"/>
      <w:r>
        <w:rPr>
          <w:rFonts w:hint="eastAsia" w:ascii="Times New Roman" w:hAnsi="Times New Roman" w:eastAsia="仿宋_GB2312" w:cs="Times New Roman"/>
          <w:sz w:val="32"/>
          <w:szCs w:val="32"/>
        </w:rPr>
        <w:t>该项目属于经常性项目，项目由县爱卫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组织实施。资金使用实行专款专用。根据上级相关文件开展病媒生物预防控制工作要求，有计划有步骤地开展一系列建设工作。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结合白沙县实际，白沙县城区及乡镇的病媒生物防制工作按照《政府集中采购目录及标准》进行公开招标采购，并按照合同要求聘请第三方公司进行两轮病媒评估。病媒生物防制工作进入一个专业化、市场化、标准化作业的新时期，防制效果明显提升，2023年白沙县城区及乡镇鼠、蟑、蚊、蝇密度控制水平全部达到国家标准。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jc w:val="both"/>
        <w:outlineLvl w:val="1"/>
        <w:rPr>
          <w:rFonts w:hint="eastAsia" w:ascii="楷体_GB2312" w:hAnsi="楷体_GB2312" w:eastAsia="楷体_GB2312" w:cs="楷体_GB2312"/>
          <w:b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项目管理情况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8" w:name="_Toc4435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本项目支出均按照有关规章制定和项目实施完成情况进行支付，并建立相关的管理制度，有专人负责，项目进行前进行集体研究讨论，项目进行时有负责人及时跟踪项目实施情况，并及时提出意见和建议。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jc w:val="both"/>
        <w:outlineLvl w:val="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项目决策及资金使用管理情况</w:t>
      </w:r>
      <w:bookmarkEnd w:id="8"/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02" w:firstLineChars="200"/>
        <w:jc w:val="both"/>
        <w:outlineLvl w:val="1"/>
        <w:rPr>
          <w:rFonts w:hint="eastAsia" w:ascii="楷体_GB2312" w:hAnsi="楷体_GB2312" w:eastAsia="楷体_GB2312" w:cs="楷体_GB2312"/>
          <w:b/>
          <w:bCs/>
          <w:sz w:val="30"/>
          <w:szCs w:val="30"/>
        </w:rPr>
      </w:pPr>
      <w:bookmarkStart w:id="9" w:name="_Toc27405"/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项目决策情况</w:t>
      </w:r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10" w:name="_Toc29663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白沙县巩固国家卫生县城和创建省级卫生镇（乡）暨病媒生物防制服务项目，是民生工程。根据爱国卫生年度工作计划，要做好巩固国家卫生县城复审、推进国家卫生乡镇和省级卫生镇（乡）创建等相关工作，病媒要达到国家C级标准要求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需开展病媒生物防制工作。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02" w:firstLineChars="200"/>
        <w:jc w:val="both"/>
        <w:outlineLvl w:val="1"/>
        <w:rPr>
          <w:rFonts w:hint="eastAsia" w:ascii="楷体_GB2312" w:hAnsi="楷体_GB2312" w:eastAsia="楷体_GB2312" w:cs="楷体_GB2312"/>
          <w:b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项目资金安排情况</w:t>
      </w:r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11" w:name="_Toc30045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项目预算金额316.85万元，实际到位金额46.831万元，资金来源于县财政资金，到位率14.78%。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02" w:firstLineChars="200"/>
        <w:jc w:val="both"/>
        <w:outlineLvl w:val="1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（三）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项目资金使用情况</w:t>
      </w:r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12" w:name="_Toc17207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实际使用资金46.831万元，未使用资金0万元。项目经费严格财务制度和预算支出范围的使用，按照项目计划安排和时间工作情况开支，做到专款专用。经费开支范围包括：鼠、蚊、蝇、蟑螂等病媒生物的预防控制、购置经费等，资金使用与项目内容一致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02" w:firstLineChars="200"/>
        <w:jc w:val="both"/>
        <w:outlineLvl w:val="1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（四）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项目资金管理情况</w:t>
      </w:r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</w:rPr>
      </w:pPr>
      <w:bookmarkStart w:id="13" w:name="_Toc12313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项目经费实行专款专用，项目支出均有相关的授权审批，经费拨付严格审批程序，使用规范，会计核算结果真实、准确，由财政局国库支付中心统一核算，按照项目计划安排和实际工作情况开支，严禁截留、挤占或挪用项目经费的情况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jc w:val="both"/>
        <w:outlineLvl w:val="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项目绩效情况</w:t>
      </w:r>
      <w:bookmarkEnd w:id="13"/>
    </w:p>
    <w:p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jc w:val="both"/>
        <w:outlineLvl w:val="1"/>
        <w:rPr>
          <w:rFonts w:ascii="仿宋" w:hAnsi="仿宋" w:eastAsia="仿宋" w:cs="仿宋"/>
          <w:b/>
          <w:bCs/>
          <w:sz w:val="30"/>
          <w:szCs w:val="30"/>
        </w:rPr>
      </w:pPr>
      <w:bookmarkStart w:id="14" w:name="_Toc15821"/>
      <w:r>
        <w:rPr>
          <w:rFonts w:hint="eastAsia" w:ascii="仿宋" w:hAnsi="仿宋" w:eastAsia="仿宋" w:cs="仿宋"/>
          <w:b/>
          <w:bCs/>
          <w:sz w:val="30"/>
          <w:szCs w:val="30"/>
        </w:rPr>
        <w:t>项目绩效目标完成情况</w:t>
      </w:r>
      <w:bookmarkEnd w:id="14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1.项目的经济性分析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（1）项目成本（预算）控制情况：项目预算金额316.85万元，实际到位金额46.831万元，实际使用金额46.831万元。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（2）项目成本（预算）节约情况：项目预算金额316.85万元，实际使用金额46.831万元。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（1）项目的实施进度：依照项目管理办法有关规定，按合同要求支付病媒公司费用，截止2023年12月31日县城区项目已经全部实施完成，由于财政资金紧缺，服务款未能及时拨付，只支付14.78%。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（2）项目完成质量：高质量地及时完成确保病媒生物密度达到标准，顺利完成各项考评验收，控制县城区及乡镇辖区内流行疫情的发生和传播。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3.项目的有效性分析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（1）项目预期目标完成程度：辖区内病媒生物密度达到C级标准，巩固创卫成果，现已全面达到了项目预期目标。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（2）项目实施对经济和社会的影响：通过聘请专业PCO公司服务，确保了县城区及乡镇辖区内的病媒生物密度达标。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4.项目的可持续性分析</w:t>
      </w:r>
      <w:bookmarkStart w:id="15" w:name="_Toc2063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病媒生物防制工作服务”项目与人民群众生活密切相关，环境治理是病媒生物防制的核心策略之一。通过对潜在的病媒生物繁殖场所进行清理和控制，可以削弱它们的繁殖能力，从而减少疾病传播的机会。常见的环境治理措施包括水体治理、垃圾清理和草坪修剪等，以保持环境整洁和干燥，减少病媒生物的滋生地。病媒生物防制工作对于提升公共健康和环境安全具有重要意义，通过环境治理、生物防治和化学防治等多种策略的综合应用，可以有效控制病媒生物的数量和传播风险。只有通过持续的努力和创新，才能够构建一个更加健康和安全的社会。</w:t>
      </w:r>
    </w:p>
    <w:p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jc w:val="both"/>
        <w:outlineLvl w:val="1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项目绩效目标未完成情况及原因分析</w:t>
      </w:r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16" w:name="_Toc31169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病媒防制工作已按合同要求完成，由于财政资金紧缺，服务款只拨付14.78%。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jc w:val="both"/>
        <w:outlineLvl w:val="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综合评价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情况及评价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结论</w:t>
      </w:r>
      <w:bookmarkEnd w:id="16"/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3" w:firstLineChars="200"/>
        <w:jc w:val="both"/>
        <w:rPr>
          <w:rFonts w:ascii="楷体_GB2312" w:hAnsi="楷体_GB2312" w:eastAsia="楷体_GB2312" w:cs="楷体_GB2312"/>
          <w:color w:val="000000"/>
          <w:sz w:val="28"/>
          <w:szCs w:val="28"/>
        </w:rPr>
      </w:pPr>
      <w:bookmarkStart w:id="17" w:name="_Toc133574673"/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（一）综合评价情况</w:t>
      </w:r>
      <w:bookmarkEnd w:id="17"/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 xml:space="preserve">  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3" w:firstLineChars="200"/>
        <w:jc w:val="both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1.目标内容（分值：4分,得分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指标解释：目标是否明确、细化、量化。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评价标准：目标明确（1分）,目标细化（1分）,目标量化（2分）。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指标得分：全部符合,本指标得2分。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绩效分析：“病媒生物防制工作服务”项目在实施方案中已明确相关目标、细化，未量化成项目相应的实施步骤、工作要求等内容。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3" w:firstLineChars="200"/>
        <w:jc w:val="both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2.决策依据（分值：3分,得分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指标解释：项目是否符合经济社会发展规划和部门年度工作计划；是否根据需要制定中长期实施规划。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评价标准：项目符合经济社会发展规划和部门年度工作计划（2分）,根据需要</w:t>
      </w:r>
      <w:bookmarkStart w:id="18" w:name="_Hlk16227177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制定中长期实施规划</w:t>
      </w:r>
      <w:bookmarkEnd w:id="18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（1分）。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数据来源：《2023年工作计划》、《2023年工作总结》。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指标得分：全部符合,本指标得3分。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绩效分析：白沙县爱国卫生运动服务中心根据“病媒生物防制工作服务”项目符合经济社会发展规划和部门年度工作计划。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3" w:firstLineChars="200"/>
        <w:jc w:val="both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3.决策程序（分值：5分,得分5分）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指标解释：项目是否符合申报条件；申报、批复程序是否符合相关管理办法；项目调整是否履行相应手续。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评价标准：项目符合申报条件（2分）,申报、批复程序符合相关管理办法（2分）,项目实施调整履行相应手续（1分）。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数据来源：国库集中支付申请书。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指标得分：全部符合,本指标得5分。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绩效分析：白沙县爱国卫生运动服务中心符合“病媒生物防制工作服务”项目申报条件,申报、批复程序符合相关管理办法,项目实施履行相应手续。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3" w:firstLineChars="200"/>
        <w:jc w:val="both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4.分配办法（分值：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分,得分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指标解释：是否根据需要制定相关资金管理办法,并在管理办法中明确资金分配办法；资金分配因素是否全面、合理。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评价标准：办法健全、规范（1分）,因素选择全面、合理（3分）。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指标得分：根据评价标准,本指标得4分。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绩效分析：资金分配方法明确办法健全、规范,项目资金使用合理。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3" w:firstLineChars="200"/>
        <w:jc w:val="both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5.分配结果（分值：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分,得分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指标解释：资金分配是否符合相关管理办法；分配结果是否合理。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评价标准：项目符合相关分配办法（1分）,资金分配合理（3分）。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指标得分：根据评价标准,本指标得4分。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绩效分析：已制定项目资金分配办法,项目资金分配合理。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3" w:firstLineChars="200"/>
        <w:jc w:val="both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6.到位率（分值：3分,得分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指标解释：实际到位/计划到位×100%。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评价标准：根据项目实际到位资金占计划的比重计算得分（3分）。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数据来源：账务数据、财务预算。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指标得分：468310.00/3168500.00×100%=100%,到位率14.8%,本指标得1分。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绩效分析：项目实际到位资金占计划的比小于15%。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3" w:firstLineChars="200"/>
        <w:jc w:val="both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7.到位时效（分值：2分,得分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指标解释：资金是否及时到位；若未及时到位,是否影响项目进度。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评价标准：及时到位（2分）,未及时到位但未影响项目进度（1.5分）,未及时到位并影响项目进度（0-1分）。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数据来源：白沙县爱国卫生运动服务中心2023年白沙黎族自治县本级部门预算表。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指标得分：根据评价标准,本指标得1.5分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绩效分析：该项目资金未及时到位,但未影响项目进度。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3" w:firstLineChars="200"/>
        <w:jc w:val="both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8.资金使用（分值：7分,得分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指标解释：是否存在支出依据不合规、虚列项目支出的情况；是否存在截留、挤占、挪用项目资金情况；是否存在超标准开支情况。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评价标准：虚列（套取）扣4-7分,支出依据不合规扣1分,截留、挤占、挪用扣3-6分,超标准开支扣2-5分。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数据来源：项目支出明细表、项目支出凭证。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指标得分：根据评分标准,本指标得7分。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绩效分析：根据项目支出明细与凭证显示,项目支出不存在支出依据不合规、虚列项目支出的情况,不存在截留、挤占、挪用项目资金情况,不存在超标准开支情况。项目资金使用效率较高,资金使用合理合规。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3" w:firstLineChars="200"/>
        <w:jc w:val="both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9.财务管理（分值：3分,得分3分）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指标解释：资金管理、费用支出等制度是否健全,是否严格执行；会计核算是否规范。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评价标准：财务制度健全（1分）,严格执行制度（1分）,会计核算规范（1分）。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指标得分：根据评价标准,本指标得3分。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绩效分析：项目资金按照符合现行的会计管理办法中的资金分配办法执行,会计核算符合相关《会计法》规范要求,白沙县爱国卫生运动服务中心针对此项目建立单独的资金管理、费用支出管理办法,因此得3分。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3" w:firstLineChars="200"/>
        <w:jc w:val="both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10.组织机构（分值：1分,得分1分）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指标解释：机构是否健全、分工是否明确。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评价标准：机构健全、分工明确（1分）。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数据来源：中共白沙黎族自治县机构编制委员会文件《关于部分副科级事业单位机构编制事项调整》的通知（白编〔2019〕4号），中共白沙黎族自治县机构编制委员会文件《关于部分副科级事业单位机构编制事项调整》的通知（白编〔2019〕4号）将县爱国卫生运动委员会办公室行政职能划入县卫生健康委员会，并更名为“白沙黎族自治县爱国卫生运动服务中心”，隶属关系从县政府调整到县卫生健康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指标得分：根据评价标准,本指标得1分。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绩效分析：白沙黎族自治县爱国卫生运动服务中心的内设机构健全,分工明确。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3" w:firstLineChars="200"/>
        <w:jc w:val="both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11.管理制度（分值：9分,得分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指标解释：是否建立健全项目管理制度；是否严格执行相关项目管理制度。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评价标准：建立健全项目管理制度（2分）；严格执行相关项目管理制度（7分）。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指标得分：根据评价标准,本指标得9分。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3" w:firstLineChars="200"/>
        <w:jc w:val="both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12.产出数量（分值：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分,得分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指标解释：项目产出数量是否达到绩效目标。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评价标准：对照年初或调整后的绩效目标评价产出数量（每个子项目1分，子项目得分=各子项完成率*对应分数，完成率超过100%的按100%计算。本指标总分等于各子项目得分之和，满分11分）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数据来源：绩效目标评价表。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指标得分：根据评价标准,本指标得8分。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绩效分析：项目完成结果符合绩效目标设定的产出数量,产出数量完成率较高。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3" w:firstLineChars="200"/>
        <w:jc w:val="both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13.产出质量（分值：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分,得分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指标解释：项目产出质量是否达到绩效目标。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评价标准：对照年初或调整后的绩效目标评价产出质量（按优6分、良4分、中2分、差1分进行评分）。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数据来源：绩效目标评价表。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指标得分：根据评价标准,本指标得4分。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绩效分析：项目完成结果符合绩效目标设定的项目产出质量,项目完成质量良好。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3" w:firstLineChars="200"/>
        <w:jc w:val="both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14.产出时效（分值：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分,得分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指标解释：项目产出时效是否达到绩效目标。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评价标准：对照年初或调整后的绩效目标评价产出时效（按优4分、良2分、中1分、差0分进行评分）。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数据来源：绩效目标评价表。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指标得分：根据评价标准,本指标得4分。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绩效分析：项目完成结果符合绩效目标设定的项目产出时效,项目产出时效较好。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3" w:firstLineChars="200"/>
        <w:jc w:val="both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15.产出成本（分值：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分,得分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指标解释：项目产出成本是否按绩效目标控制。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评价标准：对照年初或调整后的绩效目标评价产出成本（按优4分、良2分、中1分、差0分进行评分）。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数据来源：绩效目标评价表。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指标得分：根据评价标准,本指标得4分。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绩效分析：“病媒生物防制工作服务”项目2023年度预算316.85万元,截止2023年12月31日，实际到位金额46.831万元，实际使用金额46.831万元，项目产出成本在绩效目标控制范围内。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3" w:firstLineChars="200"/>
        <w:jc w:val="both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16.经济效益（分值：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分,得分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指标解释：项目实施是否产生直接或间接经济效益。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评价标准：对照年初或调整后的绩效目标评价经济效益（6分）。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数据来源：《2023年工作总结》。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指标得分：根据评价标准,本指标得6分。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绩效分析：该效益不适用于此项目，此项满分。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3" w:firstLineChars="200"/>
        <w:jc w:val="both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17.社会效益（分值：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分,得分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指标解释：项目实施是否产生社会综合效益（6分）。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评价标准：对照年初或调整后申报的绩效目标评价社会效益。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数据来源：《2023年工作总结》。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指标得分：根据评价标准,本指标得5分。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绩效分析：“病媒生物防制工作服务”项目与人民群众生活密切相关，病媒生物防制工作对于提升公共健康和环境安全具有重要意义，通过环境治理、生物防治和化学防治等多种策略的综合应用，可以有效控制病媒生物的数量和传播风险。只有通过持续的努力和创新，才能够构建一个更加健康和安全的社会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3" w:firstLineChars="200"/>
        <w:jc w:val="both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18.环境效益（分值：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分,得分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指标解释:项目实施是否对环境产生积极或消极影响。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评价标准：对照年初或调整后申报的绩效目标评价环境效益（6分）。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数据来源：《2023年工作总结》。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指标得分：根据评价标准,本指标得6分。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绩效分析：环境治理是病媒生物防制的核心策略之一，通过环境治理、生物防治和化学防治等多种策略的综合应用，可以有效控制病媒生物的数量和传播风险，此项满分。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3" w:firstLineChars="200"/>
        <w:jc w:val="both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19.可持续影响（分值：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分,得分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指标解释：项目实施对人、自然、资源是否带来可持续影响。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评价标准：对照年初或调整后申报的绩效目标评价可持续影响（6分）。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数据来源：《2023年工作总结》。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指标得分：根据评价标准,本指标得6分。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绩效分析：“病媒生物防制工作服务”通过环境治理、生物防治和化学防治等多种策略的综合应用，可以有效控制病媒生物的数量和传播风险。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3" w:firstLineChars="200"/>
        <w:jc w:val="both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.服务对象满意度（分值：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分,得分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指标解释:项目预期服务对象对项目实施的满意程度。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评价标准：对照年初或调整后申报的绩效目标评价服务对象满意度（6分）。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数据来源： “2023年白沙黎族自治县病媒生物防制服务”国家卫生县城技术评估及投诉率。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指标得分：根据评价标准,本指标得6分。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绩效分析：截止2023年到12月31日，累计出动专业技术人员3273人次，处理孳生地（翻盆倒罐）5175处，使用药物14620公斤，累计消杀约6663个点位（其中重点场所2674处），消杀面积约1306万平方米。在创卫巩卫检查方面，白沙县建成区通过国家卫生县城复审的明查暗访检查、通过国家卫生县城的技术评估，病媒生物防制方面取得良好成绩。乡镇在创卫巩卫方面同样取得优良成绩，元门乡、阜龙乡均通过国家卫生乡镇的明查暗访及技术评估。在投诉率方面，据统计2023年投诉病媒方面的问题持续降低，有效开展病媒消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（二）项目绩效自评结论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病媒生物防制项目资金从资金申报、招标采购、资金管理、资金使用、产出效益等方面绩效自评为“良好”得分89.5分。。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outlineLvl w:val="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主要经验及做法、存在的问题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19" w:name="_Toc18665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项目的资金全部是县财政资金，项目的资金支出严格按会计管理办法和项目合同执行，严格按照现行的会计管理办法，做到项目专款专用。项目实施过程中尚有不足之处，主要是未建立项目中长期实施规划，有待进一步完善、改进，针对存在的问题我中心将严格履行程序，完善制度建设、创新机制、规范管理。有望进一步提升病媒生物防制的效果和效率。</w:t>
      </w:r>
    </w:p>
    <w:bookmarkEnd w:id="19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531" w:bottom="1984" w:left="1587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560" w:lineRule="exact"/>
        <w:outlineLvl w:val="0"/>
        <w:rPr>
          <w:rFonts w:ascii="黑体" w:hAnsi="黑体" w:eastAsia="黑体" w:cs="黑体"/>
          <w:b/>
          <w:bCs/>
          <w:sz w:val="30"/>
          <w:szCs w:val="30"/>
        </w:rPr>
      </w:pPr>
      <w:bookmarkStart w:id="20" w:name="_Toc18025"/>
      <w:r>
        <w:rPr>
          <w:rFonts w:hint="eastAsia" w:ascii="黑体" w:hAnsi="黑体" w:eastAsia="黑体" w:cs="黑体"/>
          <w:b/>
          <w:bCs/>
          <w:sz w:val="30"/>
          <w:szCs w:val="30"/>
        </w:rPr>
        <w:t>附件：</w:t>
      </w:r>
      <w:bookmarkEnd w:id="20"/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病媒生物防制工作服务经费项目绩效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评价指标体系表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3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 xml:space="preserve">单位：白沙黎族自治县爱国卫生运动服务中心                                                           绩效等级： 良  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 xml:space="preserve">                                                          </w:t>
      </w:r>
    </w:p>
    <w:tbl>
      <w:tblPr>
        <w:tblStyle w:val="14"/>
        <w:tblW w:w="140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468"/>
        <w:gridCol w:w="766"/>
        <w:gridCol w:w="480"/>
        <w:gridCol w:w="750"/>
        <w:gridCol w:w="496"/>
        <w:gridCol w:w="2838"/>
        <w:gridCol w:w="2775"/>
        <w:gridCol w:w="4070"/>
        <w:gridCol w:w="6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分值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分值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分值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指标解释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评价标准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lang w:bidi="ar"/>
              </w:rPr>
              <w:t>评价依据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项目决策</w:t>
            </w:r>
          </w:p>
        </w:tc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项目目标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目标内容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目标是否明确、细化、量化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目标明确（1分），目标细化（1分），目标量化（2分）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病媒生物防制工作服务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”项目在实施方案中已明确相关目标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、细化，未量化成项目相应的实施步骤、工作要求等内容，该指标得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2分。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决策过程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决策依据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项目立项是否符合法律法规、相关政策、发展规划以及部门职责，用以反映和考核项目立项依据情况。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项目符合经济社会发展规划和部门年度工作计划（2分），根据需要制定中长期实施规划（1分）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“病媒生物防制工作服务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”项目符合经济社会发展规划和部门年度工作计划，该指标得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3分。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决策程序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项目是否符合申报条件；申报、批复程序是否符合相关管理办法；项目调整是否履行相应手续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项目符合申报条件（2分），申报、批复程序符合相关管理办法（2分），项目实施调整履行相应手续（1分）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病媒生物防制工作服务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”项目申报条件,申报、批复程序符合相关管理办法,项目实施履行相应手续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，该指标得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5分。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资金分配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分配办法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是否根据需要制定相关资金管理办法，并在管理办法中明确资金分配办法；资金分配因素是否全面、合理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办法健全、规范（1分），因素选择全面、合理（3分）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资金分配方法明确办法健全、规范,项目资金使用合理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，该指标得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4分。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分配结果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资金分配是否符合相关管理办法；分配结果是否合理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项目符合相关分配办法（1分），资金分配合理（3分）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已制定项目资金分配办法,项目资金分配合理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，该指标得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4分。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项目管理</w:t>
            </w:r>
          </w:p>
        </w:tc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资金到位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到位率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实际到位/计划到位×100%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根据项目实际到位资金占计划的比重计算得分（3分）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项目实际到位资金占计划的比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于1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，该指标得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1分。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到位时效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资金是否及时到位；若未及时到位，是否影响项目进度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及时到位（2分），未及时到位但未影响项目进度（1.5分），未及时到位并影响项目进度（0-1分）。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该项目资金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及时到位,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但未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影响项目进度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，该指标得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1.5分。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资金管理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资金使用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是否存在支出依据不合规、虚列项目支出的情况；是否存在截留、挤占、挪用项目资金情况；是否存在超标准开支情况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虚列（套取）扣4-7分，支出依据不合规扣1分，截留、挤占、挪用扣3-6分，超标准开支扣2-5分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项目支出明细与凭证显示,项目支出不存在支出依据不合规、虚列项目支出的情况,不存在截留、挤占、挪用项目资金情况,不存在超标准开支情况。项目资金使用效率较高,资金使用合理合规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，该指标得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7分。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资金管理、费用支出等制度是否健全，是否严格执行；会计核算是否规范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财务制度健全（1分），严格执行制度（1分），会计核算规范（1分）。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项目资金按照符合现行的会计管理办法中的资金分配办法执行,会计核算符合相关《会计法》规范要求,白沙县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爱国卫生运动服务中心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针对此项目建立单独的资金管理、费用支出管理办法,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该指标得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3分。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组织实施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组织机构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机构是否健全、分工是否明确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机构健全、分工明确（1分）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白沙黎族自治县爱国卫生运动服务中心的内设机构健全,分工明确，该指标得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1分。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管理制度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是否建立健全项目管理制度；是否严格执行相关项目管理制度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建立健全项目管理制度（2分）；严格执行相关项目管理制度（7分）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建立单独的资金管理、费用支出管理办法,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该指标得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9分。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项目绩效</w:t>
            </w:r>
          </w:p>
        </w:tc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项目产出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产出数量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项目产出数量是否达到绩效目标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Style w:val="25"/>
                <w:rFonts w:ascii="仿宋" w:hAnsi="仿宋" w:eastAsia="仿宋" w:cs="仿宋"/>
                <w:sz w:val="21"/>
                <w:szCs w:val="21"/>
                <w:lang w:bidi="ar"/>
              </w:rPr>
              <w:t>对照年初或调整后的绩效目标评价产出数量（每个子项目1分，子项目得分=各子项完成率*对应分数，完成率超过100%的按100%计算。本指标总分等于各子项目得分之和，满分11分）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25"/>
                <w:rFonts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Style w:val="25"/>
                <w:rFonts w:hint="eastAsia" w:ascii="仿宋" w:hAnsi="仿宋" w:eastAsia="仿宋" w:cs="仿宋"/>
                <w:sz w:val="21"/>
                <w:szCs w:val="21"/>
                <w:lang w:bidi="ar"/>
              </w:rPr>
              <w:t>项目完成结果符合绩效目标设定的产出数量,产出数量完成率较高</w:t>
            </w:r>
            <w:r>
              <w:rPr>
                <w:rStyle w:val="25"/>
                <w:rFonts w:hint="eastAsia" w:ascii="仿宋" w:hAnsi="仿宋" w:eastAsia="仿宋" w:cs="仿宋"/>
                <w:sz w:val="21"/>
                <w:szCs w:val="21"/>
                <w:lang w:eastAsia="zh-CN" w:bidi="ar"/>
              </w:rPr>
              <w:t>，该指标得</w:t>
            </w:r>
            <w:r>
              <w:rPr>
                <w:rStyle w:val="2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11分。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产出质量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项目产出质量是否达到绩效目标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Style w:val="25"/>
                <w:rFonts w:ascii="仿宋" w:hAnsi="仿宋" w:eastAsia="仿宋" w:cs="仿宋"/>
                <w:sz w:val="21"/>
                <w:szCs w:val="21"/>
                <w:lang w:bidi="ar"/>
              </w:rPr>
              <w:t>对照年初或调整后的绩效目标评价产出质量（按优6分、良4分、中2分、差1分进行评分）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Style w:val="25"/>
                <w:rFonts w:hint="eastAsia" w:ascii="仿宋" w:hAnsi="仿宋" w:eastAsia="仿宋" w:cs="仿宋"/>
                <w:sz w:val="21"/>
                <w:szCs w:val="21"/>
                <w:lang w:bidi="ar"/>
              </w:rPr>
              <w:t>项目完成结果符合绩效目标设定的项目产出质量,项目完成质量良好</w:t>
            </w:r>
            <w:r>
              <w:rPr>
                <w:rStyle w:val="25"/>
                <w:rFonts w:hint="eastAsia" w:ascii="仿宋" w:hAnsi="仿宋" w:eastAsia="仿宋" w:cs="仿宋"/>
                <w:sz w:val="21"/>
                <w:szCs w:val="21"/>
                <w:lang w:eastAsia="zh-CN" w:bidi="ar"/>
              </w:rPr>
              <w:t>，该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指标得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5分。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产出时效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项目产出时效是否达到绩效目标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Style w:val="25"/>
                <w:rFonts w:ascii="仿宋" w:hAnsi="仿宋" w:eastAsia="仿宋" w:cs="仿宋"/>
                <w:sz w:val="21"/>
                <w:szCs w:val="21"/>
                <w:lang w:bidi="ar"/>
              </w:rPr>
              <w:t>对照年初或调整后的绩效目标评价产出时效（按优4分、良2分、中1分、差0分进行评分）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Style w:val="25"/>
                <w:rFonts w:hint="eastAsia" w:ascii="仿宋" w:hAnsi="仿宋" w:eastAsia="仿宋" w:cs="仿宋"/>
                <w:sz w:val="21"/>
                <w:szCs w:val="21"/>
                <w:lang w:bidi="ar"/>
              </w:rPr>
              <w:t>项目完成结果符合绩效目标设定的项目产出时效,项目产出时效较好</w:t>
            </w:r>
            <w:r>
              <w:rPr>
                <w:rStyle w:val="25"/>
                <w:rFonts w:hint="eastAsia" w:ascii="仿宋" w:hAnsi="仿宋" w:eastAsia="仿宋" w:cs="仿宋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该指标得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4分。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产出成本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项目产出成本是否按绩效目标控制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Style w:val="25"/>
                <w:rFonts w:ascii="仿宋" w:hAnsi="仿宋" w:eastAsia="仿宋" w:cs="仿宋"/>
                <w:sz w:val="21"/>
                <w:szCs w:val="21"/>
                <w:lang w:bidi="ar"/>
              </w:rPr>
              <w:t>对照年初或调整后的绩效目标评价产出成本（按优4分、良2分、中1分、差0分进行评分）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Style w:val="25"/>
                <w:rFonts w:hint="eastAsia" w:ascii="仿宋" w:hAnsi="仿宋" w:eastAsia="仿宋" w:cs="仿宋"/>
                <w:sz w:val="21"/>
                <w:szCs w:val="21"/>
                <w:lang w:bidi="ar"/>
              </w:rPr>
              <w:t>“</w:t>
            </w:r>
            <w:r>
              <w:rPr>
                <w:rStyle w:val="2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病媒生物防制工作服务</w:t>
            </w:r>
            <w:r>
              <w:rPr>
                <w:rStyle w:val="25"/>
                <w:rFonts w:hint="eastAsia" w:ascii="仿宋" w:hAnsi="仿宋" w:eastAsia="仿宋" w:cs="仿宋"/>
                <w:sz w:val="21"/>
                <w:szCs w:val="21"/>
                <w:lang w:bidi="ar"/>
              </w:rPr>
              <w:t>”项目2023年度预算</w:t>
            </w:r>
            <w:r>
              <w:rPr>
                <w:rStyle w:val="2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316.85万</w:t>
            </w:r>
            <w:r>
              <w:rPr>
                <w:rStyle w:val="25"/>
                <w:rFonts w:hint="eastAsia" w:ascii="仿宋" w:hAnsi="仿宋" w:eastAsia="仿宋" w:cs="仿宋"/>
                <w:sz w:val="21"/>
                <w:szCs w:val="21"/>
                <w:lang w:bidi="ar"/>
              </w:rPr>
              <w:t>元,截止2023年12月31日，</w:t>
            </w:r>
            <w:r>
              <w:rPr>
                <w:rStyle w:val="2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实际到位金额46.831万元，实际使用金额46.831万元，</w:t>
            </w:r>
            <w:r>
              <w:rPr>
                <w:rStyle w:val="25"/>
                <w:rFonts w:hint="eastAsia" w:ascii="仿宋" w:hAnsi="仿宋" w:eastAsia="仿宋" w:cs="仿宋"/>
                <w:sz w:val="21"/>
                <w:szCs w:val="21"/>
                <w:lang w:bidi="ar"/>
              </w:rPr>
              <w:t>项目产出成本在绩效目标控制范围内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，该指标得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4分。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项目效果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经济效益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项目实施是否产生直接或间接经济效益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Style w:val="25"/>
                <w:rFonts w:ascii="仿宋" w:hAnsi="仿宋" w:eastAsia="仿宋" w:cs="仿宋"/>
                <w:sz w:val="21"/>
                <w:szCs w:val="21"/>
                <w:lang w:bidi="ar"/>
              </w:rPr>
              <w:t>对照年初或调整后的绩效目标评价经济效益（6分）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Style w:val="25"/>
                <w:rFonts w:hint="eastAsia" w:ascii="仿宋" w:hAnsi="仿宋" w:eastAsia="仿宋" w:cs="仿宋"/>
                <w:sz w:val="21"/>
                <w:szCs w:val="21"/>
                <w:lang w:bidi="ar"/>
              </w:rPr>
              <w:t>该效益不适用于此项目</w:t>
            </w:r>
            <w:r>
              <w:rPr>
                <w:rStyle w:val="25"/>
                <w:rFonts w:hint="eastAsia" w:ascii="仿宋" w:hAnsi="仿宋" w:eastAsia="仿宋" w:cs="仿宋"/>
                <w:sz w:val="21"/>
                <w:szCs w:val="21"/>
                <w:lang w:eastAsia="zh-CN" w:bidi="ar"/>
              </w:rPr>
              <w:t>，该指标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6分。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社会效益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项目实施是否产生社会综合效益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Style w:val="25"/>
                <w:rFonts w:ascii="仿宋" w:hAnsi="仿宋" w:eastAsia="仿宋" w:cs="仿宋"/>
                <w:sz w:val="21"/>
                <w:szCs w:val="21"/>
                <w:lang w:bidi="ar"/>
              </w:rPr>
              <w:t>对照年初或调整后申报的绩效目标评价社会效益（6分）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Style w:val="2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“病媒生物防制工作服务”</w:t>
            </w:r>
            <w:r>
              <w:rPr>
                <w:rStyle w:val="25"/>
                <w:rFonts w:hint="eastAsia" w:ascii="仿宋" w:hAnsi="仿宋" w:eastAsia="仿宋" w:cs="仿宋"/>
                <w:sz w:val="21"/>
                <w:szCs w:val="21"/>
                <w:lang w:bidi="ar"/>
              </w:rPr>
              <w:t>项目与人民群众生活密切相关，</w:t>
            </w:r>
            <w:r>
              <w:rPr>
                <w:rStyle w:val="2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病媒生物防制工作对于提升公共健康和环境安全具有重要意义，通过环境治理、生物防治和化学防治等多种策略的综合应用，可以有效控制病媒生物的数量和传播风险。只有通过持续的努力和创新，才能够构建一个更加健康和安全的社会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该指标得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4分。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环境效益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项目实施是否对环境产生积极或消极影响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Style w:val="25"/>
                <w:rFonts w:ascii="仿宋" w:hAnsi="仿宋" w:eastAsia="仿宋" w:cs="仿宋"/>
                <w:sz w:val="21"/>
                <w:szCs w:val="21"/>
                <w:lang w:bidi="ar"/>
              </w:rPr>
              <w:t>对照年初或调整后申报的绩效目标评价环境效益（6分）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Style w:val="2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环境治理是病媒生物防制的核心策略之一，通过环境治理、生物防治和化学防治等多种策略的综合应用，可以有效控制病媒生物的数量和传播风险，</w:t>
            </w:r>
            <w:r>
              <w:rPr>
                <w:rStyle w:val="25"/>
                <w:rFonts w:hint="eastAsia" w:ascii="仿宋" w:hAnsi="仿宋" w:eastAsia="仿宋" w:cs="仿宋"/>
                <w:sz w:val="21"/>
                <w:szCs w:val="21"/>
                <w:lang w:eastAsia="zh-CN" w:bidi="ar"/>
              </w:rPr>
              <w:t>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指标得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6分。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可持续影响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项目实施对人、自然、资源是否带来可持续影响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Style w:val="25"/>
                <w:rFonts w:ascii="仿宋" w:hAnsi="仿宋" w:eastAsia="仿宋" w:cs="仿宋"/>
                <w:sz w:val="21"/>
                <w:szCs w:val="21"/>
                <w:lang w:bidi="ar"/>
              </w:rPr>
              <w:t>对照年初或调整后申报的绩效目标评价可持续影响（6分）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Style w:val="2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“病媒生物防制工作服务”通过环境治理、生物防治和化学防治等多种策略的综合应用，可以有效控制病媒生物的数量和传播风险，该指标得6分。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服务对象满意度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项目预期服务对象对项目实施的满意程度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Style w:val="25"/>
                <w:rFonts w:ascii="仿宋" w:hAnsi="仿宋" w:eastAsia="仿宋" w:cs="仿宋"/>
                <w:sz w:val="21"/>
                <w:szCs w:val="21"/>
                <w:lang w:bidi="ar"/>
              </w:rPr>
              <w:t>对照年初或调整后申报的绩效目标评价服务对象满意度（6分）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Style w:val="25"/>
                <w:rFonts w:hint="eastAsia" w:ascii="仿宋" w:hAnsi="仿宋" w:eastAsia="仿宋" w:cs="仿宋"/>
                <w:sz w:val="21"/>
                <w:szCs w:val="21"/>
                <w:lang w:bidi="ar"/>
              </w:rPr>
              <w:t>白沙县建成区通过国家卫生县城复审的明查暗访检查、通过了国家卫生县城的技术评估，病媒生物防制方面取得良好成绩。乡镇在创卫巩卫方面同样取得优良成绩，元门乡、阜龙乡均通过国家卫生乡镇的明查暗访及技术评估。在投诉率方面，据统计2023年投诉病媒方面的问题持续降低，有效开展病媒消杀工作。</w:t>
            </w:r>
            <w:r>
              <w:rPr>
                <w:rStyle w:val="25"/>
                <w:rFonts w:hint="eastAsia" w:ascii="仿宋" w:hAnsi="仿宋" w:eastAsia="仿宋" w:cs="仿宋"/>
                <w:sz w:val="21"/>
                <w:szCs w:val="21"/>
                <w:lang w:eastAsia="zh-CN" w:bidi="ar"/>
              </w:rPr>
              <w:t>该指标得</w:t>
            </w:r>
            <w:r>
              <w:rPr>
                <w:rStyle w:val="2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6分。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总分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89.5</w:t>
            </w:r>
          </w:p>
        </w:tc>
      </w:tr>
    </w:tbl>
    <w:p/>
    <w:sectPr>
      <w:pgSz w:w="16838" w:h="11906" w:orient="landscape"/>
      <w:pgMar w:top="1701" w:right="1304" w:bottom="1701" w:left="1304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mon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F36CBD"/>
    <w:multiLevelType w:val="singleLevel"/>
    <w:tmpl w:val="D6F36CB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F6B916C"/>
    <w:multiLevelType w:val="singleLevel"/>
    <w:tmpl w:val="0F6B916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8CCACEE"/>
    <w:multiLevelType w:val="singleLevel"/>
    <w:tmpl w:val="38CCACE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B6BE433"/>
    <w:multiLevelType w:val="singleLevel"/>
    <w:tmpl w:val="6B6BE4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kMzlhZmM2M2E2NTE0ZGU4OTg4MGQwM2IyOWNmZDEifQ=="/>
  </w:docVars>
  <w:rsids>
    <w:rsidRoot w:val="00C150FE"/>
    <w:rsid w:val="002E4590"/>
    <w:rsid w:val="004B0C38"/>
    <w:rsid w:val="007A52CF"/>
    <w:rsid w:val="00B43686"/>
    <w:rsid w:val="00C150FE"/>
    <w:rsid w:val="01747E56"/>
    <w:rsid w:val="035E4919"/>
    <w:rsid w:val="038F211D"/>
    <w:rsid w:val="03C662E5"/>
    <w:rsid w:val="04D93F64"/>
    <w:rsid w:val="05A826B0"/>
    <w:rsid w:val="07860FE4"/>
    <w:rsid w:val="08A848AD"/>
    <w:rsid w:val="095D0AAE"/>
    <w:rsid w:val="0B79343D"/>
    <w:rsid w:val="0CB3217A"/>
    <w:rsid w:val="0E625C06"/>
    <w:rsid w:val="107567E4"/>
    <w:rsid w:val="12141A65"/>
    <w:rsid w:val="12441BA6"/>
    <w:rsid w:val="12704669"/>
    <w:rsid w:val="131B197D"/>
    <w:rsid w:val="139F43E0"/>
    <w:rsid w:val="149337A3"/>
    <w:rsid w:val="15331FD9"/>
    <w:rsid w:val="159D39C7"/>
    <w:rsid w:val="174F0CF1"/>
    <w:rsid w:val="17832749"/>
    <w:rsid w:val="18846779"/>
    <w:rsid w:val="18A33237"/>
    <w:rsid w:val="18ED13F3"/>
    <w:rsid w:val="1941239E"/>
    <w:rsid w:val="1A33354F"/>
    <w:rsid w:val="1A696896"/>
    <w:rsid w:val="1B4B68F9"/>
    <w:rsid w:val="1CCD6EFA"/>
    <w:rsid w:val="1D120DC3"/>
    <w:rsid w:val="1D570900"/>
    <w:rsid w:val="1EC87BE9"/>
    <w:rsid w:val="1F2E38E2"/>
    <w:rsid w:val="1F3C3F2E"/>
    <w:rsid w:val="1F875CE6"/>
    <w:rsid w:val="221768AF"/>
    <w:rsid w:val="22350AE4"/>
    <w:rsid w:val="225612D5"/>
    <w:rsid w:val="23D305B1"/>
    <w:rsid w:val="23DA7C5C"/>
    <w:rsid w:val="250A26CD"/>
    <w:rsid w:val="26303E58"/>
    <w:rsid w:val="266D3A19"/>
    <w:rsid w:val="27D668C5"/>
    <w:rsid w:val="28520641"/>
    <w:rsid w:val="2AB70C30"/>
    <w:rsid w:val="2C870BE6"/>
    <w:rsid w:val="2D655DF8"/>
    <w:rsid w:val="2DA36280"/>
    <w:rsid w:val="312672A5"/>
    <w:rsid w:val="339D2843"/>
    <w:rsid w:val="340E2648"/>
    <w:rsid w:val="355D23D3"/>
    <w:rsid w:val="35ED2F28"/>
    <w:rsid w:val="37BC4C38"/>
    <w:rsid w:val="38F4304F"/>
    <w:rsid w:val="39F85998"/>
    <w:rsid w:val="3AA922CF"/>
    <w:rsid w:val="3BAC4BF5"/>
    <w:rsid w:val="3BBF5758"/>
    <w:rsid w:val="3C27466A"/>
    <w:rsid w:val="406846D5"/>
    <w:rsid w:val="40FB7670"/>
    <w:rsid w:val="43C1540A"/>
    <w:rsid w:val="468A212D"/>
    <w:rsid w:val="46D63D94"/>
    <w:rsid w:val="46EE37D3"/>
    <w:rsid w:val="488178CE"/>
    <w:rsid w:val="49171F5C"/>
    <w:rsid w:val="49A551F3"/>
    <w:rsid w:val="4A06358B"/>
    <w:rsid w:val="4A427DA8"/>
    <w:rsid w:val="4A8F2006"/>
    <w:rsid w:val="4B30329B"/>
    <w:rsid w:val="4BCB5E91"/>
    <w:rsid w:val="4C1930A0"/>
    <w:rsid w:val="4C5E47C7"/>
    <w:rsid w:val="4CE26CEB"/>
    <w:rsid w:val="4D471547"/>
    <w:rsid w:val="4EC66A03"/>
    <w:rsid w:val="50016325"/>
    <w:rsid w:val="50EF5755"/>
    <w:rsid w:val="510C59E7"/>
    <w:rsid w:val="52257E13"/>
    <w:rsid w:val="55A77F90"/>
    <w:rsid w:val="5B3F3BFC"/>
    <w:rsid w:val="5BDE269F"/>
    <w:rsid w:val="61072C2F"/>
    <w:rsid w:val="61162463"/>
    <w:rsid w:val="61F51865"/>
    <w:rsid w:val="62612C54"/>
    <w:rsid w:val="634F128B"/>
    <w:rsid w:val="64127756"/>
    <w:rsid w:val="643B1CA8"/>
    <w:rsid w:val="66075FBF"/>
    <w:rsid w:val="667A42E4"/>
    <w:rsid w:val="674F3AA9"/>
    <w:rsid w:val="67980F53"/>
    <w:rsid w:val="68773EA5"/>
    <w:rsid w:val="68F9404B"/>
    <w:rsid w:val="693B5FAC"/>
    <w:rsid w:val="6A243F51"/>
    <w:rsid w:val="6B5059EA"/>
    <w:rsid w:val="6D111D18"/>
    <w:rsid w:val="6F9C5194"/>
    <w:rsid w:val="72C32AB2"/>
    <w:rsid w:val="74A30F93"/>
    <w:rsid w:val="769413F2"/>
    <w:rsid w:val="77754D7F"/>
    <w:rsid w:val="782557C0"/>
    <w:rsid w:val="78E21FA1"/>
    <w:rsid w:val="79F521A7"/>
    <w:rsid w:val="7A220566"/>
    <w:rsid w:val="7C7400B6"/>
    <w:rsid w:val="7CA529AD"/>
    <w:rsid w:val="7D8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ind w:firstLine="200"/>
      <w:outlineLvl w:val="1"/>
    </w:pPr>
    <w:rPr>
      <w:rFonts w:ascii="楷体_GB2312" w:hAnsi="Calibri" w:eastAsia="楷体_GB2312" w:cs="楷体_GB2312"/>
      <w:b/>
      <w:bCs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 w:val="32"/>
      <w:szCs w:val="20"/>
    </w:rPr>
  </w:style>
  <w:style w:type="paragraph" w:styleId="5">
    <w:name w:val="Body Text"/>
    <w:basedOn w:val="1"/>
    <w:unhideWhenUsed/>
    <w:qFormat/>
    <w:uiPriority w:val="0"/>
    <w:pPr>
      <w:widowControl/>
      <w:spacing w:before="150" w:beforeLines="0" w:after="150" w:afterLines="0" w:line="264" w:lineRule="auto"/>
      <w:ind w:firstLine="567"/>
    </w:pPr>
    <w:rPr>
      <w:rFonts w:hint="eastAsia" w:ascii="华文楷体" w:hAnsi="华文楷体" w:eastAsia="华文楷体" w:cs="黑体"/>
      <w:kern w:val="0"/>
      <w:sz w:val="24"/>
      <w:szCs w:val="20"/>
    </w:rPr>
  </w:style>
  <w:style w:type="paragraph" w:styleId="6">
    <w:name w:val="Body Text Indent"/>
    <w:basedOn w:val="1"/>
    <w:unhideWhenUsed/>
    <w:qFormat/>
    <w:uiPriority w:val="99"/>
    <w:pPr>
      <w:spacing w:beforeLines="0" w:afterLines="0"/>
      <w:ind w:left="105" w:hanging="105"/>
    </w:pPr>
    <w:rPr>
      <w:rFonts w:hint="default"/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5"/>
    <w:next w:val="13"/>
    <w:unhideWhenUsed/>
    <w:qFormat/>
    <w:uiPriority w:val="99"/>
    <w:pPr>
      <w:spacing w:before="0" w:beforeLines="0" w:after="120" w:afterLines="0" w:line="240" w:lineRule="auto"/>
      <w:ind w:firstLine="420" w:firstLineChars="100"/>
    </w:pPr>
    <w:rPr>
      <w:rFonts w:hint="default" w:ascii="Calibri" w:hAnsi="Calibri" w:eastAsia="宋体"/>
      <w:sz w:val="24"/>
      <w:szCs w:val="20"/>
    </w:rPr>
  </w:style>
  <w:style w:type="paragraph" w:styleId="13">
    <w:name w:val="Body Text First Indent 2"/>
    <w:basedOn w:val="6"/>
    <w:next w:val="12"/>
    <w:unhideWhenUsed/>
    <w:qFormat/>
    <w:uiPriority w:val="99"/>
    <w:pPr>
      <w:spacing w:beforeLines="0" w:afterLines="0"/>
      <w:ind w:firstLine="420" w:firstLineChars="200"/>
    </w:pPr>
    <w:rPr>
      <w:rFonts w:hint="default"/>
      <w:sz w:val="32"/>
      <w:szCs w:val="32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FollowedHyperlink"/>
    <w:basedOn w:val="16"/>
    <w:qFormat/>
    <w:uiPriority w:val="0"/>
    <w:rPr>
      <w:color w:val="333333"/>
      <w:u w:val="none"/>
    </w:rPr>
  </w:style>
  <w:style w:type="character" w:styleId="19">
    <w:name w:val="HTML Definition"/>
    <w:basedOn w:val="16"/>
    <w:qFormat/>
    <w:uiPriority w:val="0"/>
    <w:rPr>
      <w:i/>
      <w:iCs/>
    </w:rPr>
  </w:style>
  <w:style w:type="character" w:styleId="20">
    <w:name w:val="Hyperlink"/>
    <w:basedOn w:val="16"/>
    <w:qFormat/>
    <w:uiPriority w:val="0"/>
    <w:rPr>
      <w:color w:val="333333"/>
      <w:u w:val="none"/>
    </w:rPr>
  </w:style>
  <w:style w:type="character" w:styleId="21">
    <w:name w:val="HTML Code"/>
    <w:basedOn w:val="1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Keyboard"/>
    <w:basedOn w:val="1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Sample"/>
    <w:basedOn w:val="16"/>
    <w:qFormat/>
    <w:uiPriority w:val="0"/>
    <w:rPr>
      <w:rFonts w:ascii="monospace" w:hAnsi="monospace" w:eastAsia="monospace" w:cs="monospace"/>
      <w:sz w:val="21"/>
      <w:szCs w:val="21"/>
    </w:rPr>
  </w:style>
  <w:style w:type="paragraph" w:customStyle="1" w:styleId="24">
    <w:name w:val="p14-2"/>
    <w:basedOn w:val="1"/>
    <w:qFormat/>
    <w:uiPriority w:val="0"/>
    <w:pPr>
      <w:spacing w:line="456" w:lineRule="auto"/>
      <w:jc w:val="left"/>
    </w:pPr>
    <w:rPr>
      <w:kern w:val="0"/>
      <w:szCs w:val="21"/>
    </w:rPr>
  </w:style>
  <w:style w:type="character" w:customStyle="1" w:styleId="25">
    <w:name w:val="font21"/>
    <w:basedOn w:val="1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51"/>
    <w:basedOn w:val="16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27">
    <w:name w:val="before"/>
    <w:basedOn w:val="16"/>
    <w:qFormat/>
    <w:uiPriority w:val="0"/>
    <w:rPr>
      <w:rFonts w:ascii="common-icon" w:hAnsi="common-icon" w:eastAsia="common-icon" w:cs="common-icon"/>
      <w:color w:val="CCCCCC"/>
      <w:sz w:val="33"/>
      <w:szCs w:val="33"/>
    </w:rPr>
  </w:style>
  <w:style w:type="character" w:customStyle="1" w:styleId="28">
    <w:name w:val="before1"/>
    <w:basedOn w:val="16"/>
    <w:qFormat/>
    <w:uiPriority w:val="0"/>
    <w:rPr>
      <w:rFonts w:hint="default" w:ascii="common-icon" w:hAnsi="common-icon" w:eastAsia="common-icon" w:cs="common-icon"/>
      <w:color w:val="CCCCCC"/>
      <w:sz w:val="33"/>
      <w:szCs w:val="33"/>
    </w:rPr>
  </w:style>
  <w:style w:type="character" w:customStyle="1" w:styleId="29">
    <w:name w:val="layui-this6"/>
    <w:basedOn w:val="16"/>
    <w:qFormat/>
    <w:uiPriority w:val="0"/>
    <w:rPr>
      <w:bdr w:val="single" w:color="EEEEEE" w:sz="6" w:space="0"/>
      <w:shd w:val="clear" w:fill="FFFFFF"/>
    </w:rPr>
  </w:style>
  <w:style w:type="character" w:customStyle="1" w:styleId="30">
    <w:name w:val="layui-laypage-curr"/>
    <w:basedOn w:val="16"/>
    <w:qFormat/>
    <w:uiPriority w:val="0"/>
  </w:style>
  <w:style w:type="character" w:customStyle="1" w:styleId="31">
    <w:name w:val="first-child"/>
    <w:basedOn w:val="16"/>
    <w:qFormat/>
    <w:uiPriority w:val="0"/>
  </w:style>
  <w:style w:type="character" w:customStyle="1" w:styleId="32">
    <w:name w:val="active3"/>
    <w:basedOn w:val="16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7027</Words>
  <Characters>7308</Characters>
  <Lines>66</Lines>
  <Paragraphs>18</Paragraphs>
  <TotalTime>59</TotalTime>
  <ScaleCrop>false</ScaleCrop>
  <LinksUpToDate>false</LinksUpToDate>
  <CharactersWithSpaces>7621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2023-04-20T00:00:00Z</dcterms:created>
  <dc:creator>Lenovo1</dc:creator>
  <cp:lastModifiedBy>林帆</cp:lastModifiedBy>
  <cp:lastPrinted>2024-04-15T02:52:00Z</cp:lastPrinted>
  <dcterms:modified xsi:type="dcterms:W3CDTF">2024-04-24T03:00:26Z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624C0DC9ADE84F20BAF18B8A6A8851F7_13</vt:lpwstr>
  </property>
</Properties>
</file>