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白沙黎族自治县企业全生命周期服务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工作实施方案</w:t>
      </w:r>
    </w:p>
    <w:p>
      <w:pPr>
        <w:keepNext w:val="0"/>
        <w:keepLines w:val="0"/>
        <w:pageBreakBefore w:val="0"/>
        <w:wordWrap/>
        <w:overflowPunct/>
        <w:topLinePunct w:val="0"/>
        <w:bidi w:val="0"/>
        <w:spacing w:line="560" w:lineRule="exact"/>
        <w:jc w:val="both"/>
        <w:rPr>
          <w:rFonts w:hint="eastAsia"/>
          <w:color w:val="000000" w:themeColor="text1"/>
          <w:highlight w:val="none"/>
          <w:lang w:val="en-US" w:eastAsia="zh-CN"/>
          <w14:textFill>
            <w14:solidFill>
              <w14:schemeClr w14:val="tx1"/>
            </w14:solidFill>
          </w14:textFill>
        </w:rPr>
      </w:pPr>
    </w:p>
    <w:p>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为加快实现市场化法治化国际化营商环境，激发市场主体活力，聚焦“高效办成一件事”，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进一步提高我县政务服务工作的规范化、标准化、便利化水平</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，完善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企业从注册到退出全生命周期全环节、全方位</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服务机制，助力企业高质量发展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，制定本实施方案。</w:t>
      </w:r>
    </w:p>
    <w:p>
      <w:pPr>
        <w:keepNext w:val="0"/>
        <w:keepLines w:val="0"/>
        <w:pageBreakBefore w:val="0"/>
        <w:wordWrap/>
        <w:overflowPunct/>
        <w:topLinePunct w:val="0"/>
        <w:bidi w:val="0"/>
        <w:spacing w:line="560" w:lineRule="exact"/>
        <w:ind w:firstLine="640" w:firstLineChars="200"/>
        <w:jc w:val="both"/>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一、总体要求</w:t>
      </w:r>
    </w:p>
    <w:p>
      <w:pPr>
        <w:keepNext w:val="0"/>
        <w:keepLines w:val="0"/>
        <w:pageBreakBefore w:val="0"/>
        <w:widowControl/>
        <w:suppressLineNumbers w:val="0"/>
        <w:wordWrap/>
        <w:overflowPunct/>
        <w:topLinePunct w:val="0"/>
        <w:bidi w:val="0"/>
        <w:spacing w:line="560" w:lineRule="exact"/>
        <w:ind w:firstLine="640" w:firstLineChars="200"/>
        <w:jc w:val="both"/>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坚持以习近平新时代中国特色社会主义思想为指导，深入落实习近平总书记关于海南工作的系列重要讲话和指示批示精神，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全面落实党的二十大和二十届二中、三中全会精神，完整、准确、全面贯彻以人民为中心的发展理念，</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聚焦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企业全生命周期高频事项、重点环节、重要领域</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，巩固提升“一窗受理”“一次办好”“一网通办”“一业一证”等改革举措，以“高效办”思路推进涉企事项集成化、场景化服务。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通过优化服务流程、创新服务模式、延伸服务触角，全面构建更加便捷、更多层次、更为高效的跨部门联办机制，提升企业办事便利度、体验感和满意度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pPr>
        <w:keepNext w:val="0"/>
        <w:keepLines w:val="0"/>
        <w:pageBreakBefore w:val="0"/>
        <w:wordWrap/>
        <w:overflowPunct/>
        <w:topLinePunct w:val="0"/>
        <w:bidi w:val="0"/>
        <w:spacing w:line="560" w:lineRule="exact"/>
        <w:ind w:firstLine="640" w:firstLineChars="200"/>
        <w:jc w:val="both"/>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二、适用对象</w:t>
      </w:r>
    </w:p>
    <w:p>
      <w:pPr>
        <w:keepNext w:val="0"/>
        <w:keepLines w:val="0"/>
        <w:pageBreakBefore w:val="0"/>
        <w:wordWrap/>
        <w:overflowPunct/>
        <w:topLinePunct w:val="0"/>
        <w:bidi w:val="0"/>
        <w:spacing w:line="560" w:lineRule="exact"/>
        <w:ind w:firstLine="640" w:firstLineChars="200"/>
        <w:jc w:val="both"/>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本方案适用于在我县注册登记的所有企业以及项目所在地位于我县的企业。</w:t>
      </w:r>
    </w:p>
    <w:p>
      <w:pPr>
        <w:keepNext w:val="0"/>
        <w:keepLines w:val="0"/>
        <w:pageBreakBefore w:val="0"/>
        <w:wordWrap/>
        <w:overflowPunct/>
        <w:topLinePunct w:val="0"/>
        <w:bidi w:val="0"/>
        <w:spacing w:line="560" w:lineRule="exact"/>
        <w:ind w:firstLine="640" w:firstLineChars="200"/>
        <w:jc w:val="both"/>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三、任务措施与分工</w:t>
      </w:r>
      <w:bookmarkStart w:id="0" w:name="_GoBack"/>
      <w:bookmarkEnd w:id="0"/>
    </w:p>
    <w:p>
      <w:pPr>
        <w:keepNext w:val="0"/>
        <w:keepLines w:val="0"/>
        <w:pageBreakBefore w:val="0"/>
        <w:widowControl/>
        <w:suppressLineNumbers w:val="0"/>
        <w:wordWrap/>
        <w:overflowPunct/>
        <w:topLinePunct w:val="0"/>
        <w:bidi w:val="0"/>
        <w:spacing w:line="560" w:lineRule="exact"/>
        <w:ind w:firstLine="640" w:firstLineChars="200"/>
        <w:jc w:val="both"/>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（一）准入准营</w:t>
      </w:r>
    </w:p>
    <w:p>
      <w:pPr>
        <w:keepNext w:val="0"/>
        <w:keepLines w:val="0"/>
        <w:pageBreakBefore w:val="0"/>
        <w:widowControl/>
        <w:suppressLineNumbers w:val="0"/>
        <w:wordWrap/>
        <w:overflowPunct/>
        <w:topLinePunct w:val="0"/>
        <w:bidi w:val="0"/>
        <w:spacing w:line="560" w:lineRule="exact"/>
        <w:ind w:firstLine="643" w:firstLineChars="200"/>
        <w:jc w:val="both"/>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企业开办。</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依托“海易办”平台，探索联合受理营业执照申领、银行开户、发票申领、社保登记、住房公积金开户登记等事项，运用电子证照、电子签章、数据共享等公共支撑能力，减少表单填报和材料提交。推行企业电子印章发放应用，实现线上“一次填报、同步办理”。</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县市监局；责任部门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县人社局、县公安局、县</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营商环境建设</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县社保中心、县</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税务局、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白沙住房</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公积金管理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各银行白沙</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支行）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企业准营。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深入推进</w:t>
      </w:r>
      <w:r>
        <w:rPr>
          <w:rFonts w:hint="eastAsia" w:ascii="仿宋_GB2312" w:hAnsi="仿宋_GB2312" w:eastAsia="仿宋_GB2312" w:cs="仿宋_GB2312"/>
          <w:color w:val="000000" w:themeColor="text1"/>
          <w:sz w:val="32"/>
          <w:szCs w:val="32"/>
          <w:highlight w:val="none"/>
          <w14:textFill>
            <w14:solidFill>
              <w14:schemeClr w14:val="tx1"/>
            </w14:solidFill>
          </w14:textFill>
        </w:rPr>
        <w:t>“一业一证”“一证准营”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工作举措</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推广应用</w:t>
      </w:r>
      <w:r>
        <w:rPr>
          <w:rFonts w:hint="eastAsia" w:ascii="仿宋_GB2312" w:hAnsi="仿宋_GB2312" w:eastAsia="仿宋_GB2312" w:cs="仿宋_GB2312"/>
          <w:color w:val="000000" w:themeColor="text1"/>
          <w:sz w:val="32"/>
          <w:szCs w:val="32"/>
          <w:highlight w:val="none"/>
          <w14:textFill>
            <w14:solidFill>
              <w14:schemeClr w14:val="tx1"/>
            </w14:solidFill>
          </w14:textFill>
        </w:rPr>
        <w:t>营业执照和许可证联合办理“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高效办成一件事</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”；推进涉企许可证件在电子营业执照系统的归集，实现联管联展联用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，提升线下线上指导服务效率</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营商环境建设</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旅文</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局、县农业</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农村</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局、县人社局、县卫健</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、县公安局、县住建局、县市监局、县商务局、县消防大队</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县烟草局）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（二）经营发展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员工保障。</w:t>
      </w:r>
      <w:r>
        <w:rPr>
          <w:rFonts w:hint="eastAsia" w:ascii="仿宋_GB2312" w:hAnsi="仿宋_GB2312" w:eastAsia="仿宋_GB2312" w:cs="仿宋_GB2312"/>
          <w:color w:val="000000" w:themeColor="text1"/>
          <w:sz w:val="32"/>
          <w:szCs w:val="32"/>
          <w:highlight w:val="none"/>
          <w14:textFill>
            <w14:solidFill>
              <w14:schemeClr w14:val="tx1"/>
            </w14:solidFill>
          </w14:textFill>
        </w:rPr>
        <w:t>将就业登记、劳动用工备案、社会保险登记事项，以及职工参保登记（医保）、职工医疗保险费、单位医疗保险工资申报、住房公积金缴存等事项集成办理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“企业招用员工”高效办成一件事，</w:t>
      </w:r>
      <w:r>
        <w:rPr>
          <w:rFonts w:hint="eastAsia" w:ascii="仿宋_GB2312" w:hAnsi="仿宋_GB2312" w:eastAsia="仿宋_GB2312" w:cs="仿宋_GB2312"/>
          <w:color w:val="000000" w:themeColor="text1"/>
          <w:sz w:val="32"/>
          <w:szCs w:val="32"/>
          <w:highlight w:val="none"/>
          <w14:textFill>
            <w14:solidFill>
              <w14:schemeClr w14:val="tx1"/>
            </w14:solidFill>
          </w14:textFill>
        </w:rPr>
        <w:t>着力推进“网上办”“掌上办”“就近办”。</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县人社局；责任部门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：县社保中心、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县税务局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白沙住房</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公积金管理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纳税服务。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应用</w:t>
      </w:r>
      <w:r>
        <w:rPr>
          <w:rFonts w:hint="eastAsia" w:ascii="仿宋_GB2312" w:hAnsi="仿宋_GB2312" w:eastAsia="仿宋_GB2312" w:cs="仿宋_GB2312"/>
          <w:color w:val="000000" w:themeColor="text1"/>
          <w:sz w:val="32"/>
          <w:szCs w:val="32"/>
          <w:highlight w:val="none"/>
          <w14:textFill>
            <w14:solidFill>
              <w14:schemeClr w14:val="tx1"/>
            </w14:solidFill>
          </w14:textFill>
        </w:rPr>
        <w:t>电子税务局，拓展“掌上办”服务，提升智能算税、预填申报的便利化水平；完善税费服务诉求解决机制，实现纳税人缴费人诉求扎口管理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优化税费优惠政策精准推送机制，促进税费优惠政策落地落实；推进“征纳互动”线上服务平台的使用，推广“非接触式”办税服务，提升服务效率；加强各单位协同合作，确保社保费及各项非税收入的征收稳定。</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县税务局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责任部门：</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资规</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县营商环境建设局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住建</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县社保中心</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县总工会</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县残联、</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白沙公路分局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财产登记。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深化不动产登记“带押过户”改革，实现“带押过户”业务跨银行、金融机构可办，缩短交易时间、降低交易成本。依托不动产登记系统，完善拓展部门间信息共享集成，实现不动产抵押、预告登记、补换不动产证等高频登记事项即时办结。</w:t>
      </w:r>
      <w:r>
        <w:rPr>
          <w:rFonts w:hint="eastAsia" w:ascii="仿宋_GB2312" w:hAnsi="仿宋_GB2312" w:eastAsia="仿宋_GB2312" w:cs="仿宋_GB2312"/>
          <w:color w:val="000000" w:themeColor="text1"/>
          <w:sz w:val="32"/>
          <w:szCs w:val="32"/>
          <w:highlight w:val="none"/>
          <w14:textFill>
            <w14:solidFill>
              <w14:schemeClr w14:val="tx1"/>
            </w14:solidFill>
          </w14:textFill>
        </w:rPr>
        <w:t>扩大“交房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交</w:t>
      </w:r>
      <w:r>
        <w:rPr>
          <w:rFonts w:hint="eastAsia" w:ascii="仿宋_GB2312" w:hAnsi="仿宋_GB2312" w:eastAsia="仿宋_GB2312" w:cs="仿宋_GB2312"/>
          <w:color w:val="000000" w:themeColor="text1"/>
          <w:sz w:val="32"/>
          <w:szCs w:val="32"/>
          <w:highlight w:val="none"/>
          <w14:textFill>
            <w14:solidFill>
              <w14:schemeClr w14:val="tx1"/>
            </w14:solidFill>
          </w14:textFill>
        </w:rPr>
        <w:t>证”覆盖面。</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县资规局；责任部门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县住建局、县税务局）</w:t>
      </w:r>
    </w:p>
    <w:p>
      <w:pPr>
        <w:keepNext w:val="0"/>
        <w:keepLines w:val="0"/>
        <w:pageBreakBefore w:val="0"/>
        <w:widowControl/>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6.司法服务。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推行“企业发展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+司法服务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”全链条融合服务模式，通过上门走访、入驻服务等方式开展普法、送法活动。建立涉企长期未结案件清理长效机制，对未结案件执行案件实行“回头看、回头查”。优化不动产</w:t>
      </w:r>
      <w:r>
        <w:rPr>
          <w:rFonts w:hint="eastAsia" w:ascii="仿宋_GB2312" w:hAnsi="仿宋_GB2312" w:eastAsia="仿宋_GB2312" w:cs="仿宋_GB2312"/>
          <w:color w:val="000000" w:themeColor="text1"/>
          <w:sz w:val="32"/>
          <w:szCs w:val="32"/>
          <w:highlight w:val="none"/>
          <w14:textFill>
            <w14:solidFill>
              <w14:schemeClr w14:val="tx1"/>
            </w14:solidFill>
          </w14:textFill>
        </w:rPr>
        <w:t>司法处置登记流程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，确保处置过程中的透明性和公正性。</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县司法局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：县资规局、县</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人民法院</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金融服务。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优化企业融资协调工作机制，畅通企业融资渠道，</w:t>
      </w:r>
      <w:r>
        <w:rPr>
          <w:rFonts w:hint="eastAsia" w:ascii="仿宋_GB2312" w:hAnsi="仿宋_GB2312" w:eastAsia="仿宋_GB2312" w:cs="仿宋_GB2312"/>
          <w:color w:val="000000" w:themeColor="text1"/>
          <w:sz w:val="32"/>
          <w:szCs w:val="32"/>
          <w:highlight w:val="none"/>
          <w14:textFill>
            <w14:solidFill>
              <w14:schemeClr w14:val="tx1"/>
            </w14:solidFill>
          </w14:textFill>
        </w:rPr>
        <w:t>鼓励银行机构积极创新产品和服务，为生命周期不同阶段的企业提供差异化信贷支持。</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利用海南省智慧金融综合服务平台宣传推广惠企相关政策，引导企业线上申请贷款，及时满足企业贷款需求；</w:t>
      </w:r>
      <w:r>
        <w:rPr>
          <w:rFonts w:hint="eastAsia" w:ascii="仿宋_GB2312" w:hAnsi="仿宋_GB2312" w:eastAsia="仿宋_GB2312" w:cs="仿宋_GB2312"/>
          <w:color w:val="000000" w:themeColor="text1"/>
          <w:sz w:val="32"/>
          <w:szCs w:val="32"/>
          <w:highlight w:val="none"/>
          <w14:textFill>
            <w14:solidFill>
              <w14:schemeClr w14:val="tx1"/>
            </w14:solidFill>
          </w14:textFill>
        </w:rPr>
        <w:t>推动涉企政务数据共享开放，进一步完善征信体系，拓宽企业直接融资渠道，优化金融信用生态环境。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：白沙金融监管支局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：县发展改革委、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县财政局、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县住建局、县营商环境建设局、县政府办综合事务中心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公共就业专项服务。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组织专场招聘会，</w:t>
      </w:r>
      <w:r>
        <w:rPr>
          <w:rFonts w:hint="eastAsia" w:ascii="仿宋_GB2312" w:hAnsi="仿宋_GB2312" w:eastAsia="仿宋_GB2312" w:cs="仿宋_GB2312"/>
          <w:color w:val="000000" w:themeColor="text1"/>
          <w:sz w:val="32"/>
          <w:szCs w:val="32"/>
          <w:highlight w:val="none"/>
          <w14:textFill>
            <w14:solidFill>
              <w14:schemeClr w14:val="tx1"/>
            </w14:solidFill>
          </w14:textFill>
        </w:rPr>
        <w:t>为用人单位招用就业困难人员和小微企业招用高校毕业生社会保险补贴申领提供个性化、专业化精准服务，持续提高公共就业服务便利度；强化创新创业人才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引进</w:t>
      </w:r>
      <w:r>
        <w:rPr>
          <w:rFonts w:hint="eastAsia" w:ascii="仿宋_GB2312" w:hAnsi="仿宋_GB2312" w:eastAsia="仿宋_GB2312" w:cs="仿宋_GB2312"/>
          <w:color w:val="000000" w:themeColor="text1"/>
          <w:sz w:val="32"/>
          <w:szCs w:val="32"/>
          <w:highlight w:val="none"/>
          <w14:textFill>
            <w14:solidFill>
              <w14:schemeClr w14:val="tx1"/>
            </w14:solidFill>
          </w14:textFill>
        </w:rPr>
        <w:t>和服务，促进人才顺畅有序流动，引导有需求的企业在合法用工的前提下开展灵活用工，提高人力资源配置效率。</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县人社局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；责任部门：县委人才局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60" w:lineRule="exact"/>
        <w:ind w:left="0" w:right="0" w:firstLine="643" w:firstLineChars="200"/>
        <w:jc w:val="left"/>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知识产权保护。</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建立知识产权保护工作机制</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，加强跨部门、跨区域协作；</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持续完善知识产权维权援助机制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，推动知识产权纠纷组织建设，指导建立纠纷排查化解机制，</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提高市场主体知识产权保护的自觉性和能力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加大知识产权质押融资政策宣传及动员本辖区有融资需求的企业申请入库。</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县市监局；责任部门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县司法局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县人民法院、</w:t>
      </w:r>
      <w:r>
        <w:rPr>
          <w:rFonts w:hint="eastAsia" w:ascii="仿宋_GB2312" w:hAnsi="仿宋_GB2312" w:eastAsia="仿宋_GB2312" w:cs="仿宋_GB2312"/>
          <w:b/>
          <w:bCs/>
          <w:strike w:val="0"/>
          <w:dstrike w:val="0"/>
          <w:color w:val="000000" w:themeColor="text1"/>
          <w:sz w:val="32"/>
          <w:szCs w:val="32"/>
          <w:highlight w:val="none"/>
          <w:lang w:eastAsia="zh-CN"/>
          <w14:textFill>
            <w14:solidFill>
              <w14:schemeClr w14:val="tx1"/>
            </w14:solidFill>
          </w14:textFill>
        </w:rPr>
        <w:t>白沙金融监管支局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numPr>
          <w:ilvl w:val="-1"/>
          <w:numId w:val="0"/>
        </w:numPr>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信用修复。</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推广应用“信用修复一件事”，以“修复提醒”落实主动告知、一次性告知，依法提供各类“暖心服务”，强化指导和帮办代办服务，有效助力经营主体信用“不失信”“快修复”，以良好“信用”增企业发展“信心”。</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（牵头部门：县营商环境建设局；责任部门：县市监局、县综合执法局、县人民法院、县消防大队、</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税务局、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征稽</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p>
    <w:p>
      <w:pPr>
        <w:keepNext w:val="0"/>
        <w:keepLines w:val="0"/>
        <w:pageBreakBefore w:val="0"/>
        <w:widowControl/>
        <w:numPr>
          <w:ilvl w:val="-1"/>
          <w:numId w:val="0"/>
        </w:numPr>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11.政策支持。</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积极探索更多招商引资的惠企政策，实现“政策找企业”，常态化开展政策解读活动。持续利用“海易兑”平台，充分发挥“互联网+”优势，通过数据共享，流程再造，实现惠企政策高效发布、查询和兑付。</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商务局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：县委宣传部、</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县发展改革委、</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县旅文局、县农业</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农村</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县住建局、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县营商环境建设局、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县林业局、县电商中心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val="0"/>
        <w:numPr>
          <w:ilvl w:val="-1"/>
          <w:numId w:val="0"/>
        </w:numPr>
        <w:kinsoku/>
        <w:wordWrap/>
        <w:overflowPunct/>
        <w:topLinePunct w:val="0"/>
        <w:autoSpaceDE w:val="0"/>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（三）项目建设</w:t>
      </w:r>
    </w:p>
    <w:p>
      <w:pPr>
        <w:keepNext w:val="0"/>
        <w:keepLines w:val="0"/>
        <w:pageBreakBefore w:val="0"/>
        <w:widowControl w:val="0"/>
        <w:numPr>
          <w:ilvl w:val="-1"/>
          <w:numId w:val="0"/>
        </w:numPr>
        <w:kinsoku/>
        <w:wordWrap/>
        <w:overflowPunct/>
        <w:topLinePunct w:val="0"/>
        <w:autoSpaceDE w:val="0"/>
        <w:autoSpaceDN/>
        <w:bidi w:val="0"/>
        <w:adjustRightInd/>
        <w:snapToGrid/>
        <w:spacing w:line="560" w:lineRule="exact"/>
        <w:ind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highlight w:val="none"/>
          <w:shd w:val="clear"/>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12.</w:t>
      </w:r>
      <w:r>
        <w:rPr>
          <w:rFonts w:hint="eastAsia" w:ascii="仿宋_GB2312" w:hAnsi="仿宋_GB2312" w:eastAsia="仿宋_GB2312" w:cs="仿宋_GB2312"/>
          <w:b/>
          <w:bCs/>
          <w:i w:val="0"/>
          <w:iCs w:val="0"/>
          <w:caps w:val="0"/>
          <w:color w:val="000000" w:themeColor="text1"/>
          <w:spacing w:val="0"/>
          <w:sz w:val="32"/>
          <w:szCs w:val="32"/>
          <w:highlight w:val="none"/>
          <w:shd w:val="clear"/>
          <w:lang w:eastAsia="zh-CN"/>
          <w14:textFill>
            <w14:solidFill>
              <w14:schemeClr w14:val="tx1"/>
            </w14:solidFill>
          </w14:textFill>
        </w:rPr>
        <w:t>备案</w:t>
      </w:r>
      <w:r>
        <w:rPr>
          <w:rFonts w:hint="eastAsia" w:ascii="仿宋_GB2312" w:hAnsi="仿宋_GB2312" w:eastAsia="仿宋_GB2312" w:cs="仿宋_GB2312"/>
          <w:b/>
          <w:bCs/>
          <w:i w:val="0"/>
          <w:iCs w:val="0"/>
          <w:caps w:val="0"/>
          <w:color w:val="000000" w:themeColor="text1"/>
          <w:spacing w:val="0"/>
          <w:sz w:val="32"/>
          <w:szCs w:val="32"/>
          <w:highlight w:val="none"/>
          <w:shd w:val="clear"/>
          <w:lang w:val="en-US" w:eastAsia="zh-CN"/>
          <w14:textFill>
            <w14:solidFill>
              <w14:schemeClr w14:val="tx1"/>
            </w14:solidFill>
          </w14:textFill>
        </w:rPr>
        <w:t>/核准</w:t>
      </w:r>
      <w:r>
        <w:rPr>
          <w:rFonts w:hint="eastAsia" w:ascii="仿宋_GB2312" w:hAnsi="仿宋_GB2312" w:eastAsia="仿宋_GB2312" w:cs="仿宋_GB2312"/>
          <w:b/>
          <w:bCs/>
          <w:i w:val="0"/>
          <w:iCs w:val="0"/>
          <w:caps w:val="0"/>
          <w:color w:val="000000" w:themeColor="text1"/>
          <w:spacing w:val="0"/>
          <w:sz w:val="32"/>
          <w:szCs w:val="32"/>
          <w:highlight w:val="none"/>
          <w:shd w:val="cle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14:textFill>
            <w14:solidFill>
              <w14:schemeClr w14:val="tx1"/>
            </w14:solidFill>
          </w14:textFill>
        </w:rPr>
        <w:t>将项目代码作为整个建设周期的唯一身份标识，推动工程建设项目审批系统与投资项目在线审批平台的业务协同和信息共享。持续推进工程建设项目“开工一件事”“多证联发”“拿地即开工”等改革举措，进一步压缩审批时限，加快推进工程建设项目落地。</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（牵头部门</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县</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营商环境建设</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局；责任部门</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：县发展改革委</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、县资规局、县住建局、县商务局）</w:t>
      </w:r>
    </w:p>
    <w:p>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lang w:eastAsia="zh-CN"/>
          <w14:textFill>
            <w14:solidFill>
              <w14:schemeClr w14:val="tx1"/>
            </w14:solidFill>
          </w14:textFill>
        </w:rPr>
        <w:t>1</w:t>
      </w:r>
      <w:r>
        <w:rPr>
          <w:rFonts w:hint="eastAsia" w:ascii="仿宋_GB2312" w:hAnsi="仿宋_GB2312" w:eastAsia="仿宋_GB2312" w:cs="仿宋_GB2312"/>
          <w:b/>
          <w:bCs/>
          <w:i w:val="0"/>
          <w:iCs w:val="0"/>
          <w:caps w:val="0"/>
          <w:color w:val="000000" w:themeColor="text1"/>
          <w:spacing w:val="0"/>
          <w:sz w:val="32"/>
          <w:szCs w:val="32"/>
          <w:highlight w:val="none"/>
          <w:shd w:val="clear"/>
          <w:lang w:val="en-US" w:eastAsia="zh-CN"/>
          <w14:textFill>
            <w14:solidFill>
              <w14:schemeClr w14:val="tx1"/>
            </w14:solidFill>
          </w14:textFill>
        </w:rPr>
        <w:t>3.项目</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规划。</w:t>
      </w:r>
      <w:r>
        <w:rPr>
          <w:rFonts w:hint="eastAsia" w:ascii="仿宋_GB2312" w:hAnsi="Calibri" w:eastAsia="仿宋_GB2312" w:cs="仿宋_GB2312"/>
          <w:color w:val="000000" w:themeColor="text1"/>
          <w:kern w:val="2"/>
          <w:sz w:val="32"/>
          <w:szCs w:val="32"/>
          <w:highlight w:val="none"/>
          <w:lang w:val="en-US" w:eastAsia="zh-CN" w:bidi="ar"/>
          <w14:textFill>
            <w14:solidFill>
              <w14:schemeClr w14:val="tx1"/>
            </w14:solidFill>
          </w14:textFill>
        </w:rPr>
        <w:t>简化简易项目规划审批手续，进一步扩大《白沙黎族自治县建设工程规划许可及乡村建设规划许可“零审批”事项清单》。</w:t>
      </w:r>
      <w:r>
        <w:rPr>
          <w:rFonts w:hint="eastAsia" w:ascii="仿宋_GB2312" w:hAnsi="Calibri" w:eastAsia="仿宋_GB2312" w:cs="仿宋_GB2312"/>
          <w:b/>
          <w:bCs/>
          <w:color w:val="000000" w:themeColor="text1"/>
          <w:kern w:val="2"/>
          <w:sz w:val="32"/>
          <w:szCs w:val="32"/>
          <w:highlight w:val="none"/>
          <w:lang w:val="en-US" w:eastAsia="zh-CN" w:bidi="ar"/>
          <w14:textFill>
            <w14:solidFill>
              <w14:schemeClr w14:val="tx1"/>
            </w14:solidFill>
          </w14:textFill>
        </w:rPr>
        <w:t>（牵头部门：县资规局；责任部门：县发展改革委、县住建局、县营商环境建设局）</w:t>
      </w:r>
    </w:p>
    <w:p>
      <w:pPr>
        <w:keepNext w:val="0"/>
        <w:keepLines w:val="0"/>
        <w:pageBreakBefore w:val="0"/>
        <w:widowControl w:val="0"/>
        <w:numPr>
          <w:ilvl w:val="-1"/>
          <w:numId w:val="0"/>
        </w:numPr>
        <w:kinsoku/>
        <w:wordWrap/>
        <w:overflowPunct/>
        <w:topLinePunct w:val="0"/>
        <w:autoSpaceDE w:val="0"/>
        <w:autoSpaceDN/>
        <w:bidi w:val="0"/>
        <w:adjustRightInd/>
        <w:snapToGrid/>
        <w:spacing w:line="560" w:lineRule="exact"/>
        <w:ind w:firstLine="643" w:firstLineChars="200"/>
        <w:jc w:val="both"/>
        <w:textAlignment w:val="auto"/>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14.供地保障。</w:t>
      </w:r>
      <w:r>
        <w:rPr>
          <w:rFonts w:hint="eastAsia" w:ascii="仿宋_GB2312" w:hAnsi="仿宋_GB2312" w:eastAsia="仿宋_GB2312" w:cs="仿宋_GB2312"/>
          <w:i w:val="0"/>
          <w:iCs w:val="0"/>
          <w:caps w:val="0"/>
          <w:color w:val="000000" w:themeColor="text1"/>
          <w:spacing w:val="0"/>
          <w:sz w:val="32"/>
          <w:szCs w:val="32"/>
          <w:highlight w:val="none"/>
          <w:shd w:val="clear"/>
          <w:lang w:val="en-US" w:eastAsia="zh-CN"/>
          <w14:textFill>
            <w14:solidFill>
              <w14:schemeClr w14:val="tx1"/>
            </w14:solidFill>
          </w14:textFill>
        </w:rPr>
        <w:t>深化“土地超市”应用，</w:t>
      </w:r>
      <w:r>
        <w:rPr>
          <w:rFonts w:hint="eastAsia" w:ascii="仿宋_GB2312" w:hAnsi="仿宋_GB2312" w:eastAsia="仿宋_GB2312" w:cs="仿宋_GB2312"/>
          <w:i w:val="0"/>
          <w:iCs w:val="0"/>
          <w:caps w:val="0"/>
          <w:color w:val="000000" w:themeColor="text1"/>
          <w:spacing w:val="0"/>
          <w:sz w:val="32"/>
          <w:szCs w:val="32"/>
          <w:highlight w:val="none"/>
          <w:shd w:val="clear"/>
          <w:lang w:eastAsia="zh-CN"/>
          <w14:textFill>
            <w14:solidFill>
              <w14:schemeClr w14:val="tx1"/>
            </w14:solidFill>
          </w14:textFill>
        </w:rPr>
        <w:t>将“土地超市”平台与土地交易平台、项目策划生成平台、工程建设项目审批管理系统平台对接，实现“批、供、用、管、查”业务协同和全生命周期信息监管。（</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牵头部门</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县资规局；责任部门</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：县发展改革委、</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县住建局</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县</w:t>
      </w:r>
      <w:r>
        <w:rPr>
          <w:rFonts w:hint="eastAsia" w:ascii="仿宋_GB2312" w:hAnsi="仿宋_GB2312" w:eastAsia="仿宋_GB2312" w:cs="仿宋_GB2312"/>
          <w:b/>
          <w:bCs/>
          <w:i w:val="0"/>
          <w:iCs w:val="0"/>
          <w:caps w:val="0"/>
          <w:color w:val="000000" w:themeColor="text1"/>
          <w:spacing w:val="0"/>
          <w:sz w:val="32"/>
          <w:szCs w:val="32"/>
          <w:highlight w:val="none"/>
          <w:shd w:val="clear" w:fill="auto"/>
          <w:lang w:eastAsia="zh-CN"/>
          <w14:textFill>
            <w14:solidFill>
              <w14:schemeClr w14:val="tx1"/>
            </w14:solidFill>
          </w14:textFill>
        </w:rPr>
        <w:t>营商环境建设</w:t>
      </w:r>
      <w:r>
        <w:rPr>
          <w:rFonts w:hint="eastAsia" w:ascii="仿宋_GB2312" w:hAnsi="仿宋_GB2312" w:eastAsia="仿宋_GB2312" w:cs="仿宋_GB2312"/>
          <w:b/>
          <w:bCs/>
          <w:i w:val="0"/>
          <w:iCs w:val="0"/>
          <w:caps w:val="0"/>
          <w:color w:val="000000" w:themeColor="text1"/>
          <w:spacing w:val="0"/>
          <w:sz w:val="32"/>
          <w:szCs w:val="32"/>
          <w:highlight w:val="none"/>
          <w:shd w:val="clear" w:fill="auto"/>
          <w14:textFill>
            <w14:solidFill>
              <w14:schemeClr w14:val="tx1"/>
            </w14:solidFill>
          </w14:textFill>
        </w:rPr>
        <w:t>局</w:t>
      </w:r>
      <w:r>
        <w:rPr>
          <w:rFonts w:hint="eastAsia" w:ascii="仿宋_GB2312" w:hAnsi="仿宋_GB2312" w:eastAsia="仿宋_GB2312" w:cs="仿宋_GB2312"/>
          <w:i w:val="0"/>
          <w:iCs w:val="0"/>
          <w:caps w:val="0"/>
          <w:color w:val="000000" w:themeColor="text1"/>
          <w:spacing w:val="0"/>
          <w:sz w:val="32"/>
          <w:szCs w:val="32"/>
          <w:highlight w:val="none"/>
          <w:shd w:val="clear"/>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15.项目验收。</w:t>
      </w:r>
      <w:r>
        <w:rPr>
          <w:rFonts w:hint="eastAsia" w:ascii="仿宋_GB2312" w:hAnsi="仿宋_GB2312" w:eastAsia="仿宋_GB2312" w:cs="仿宋_GB2312"/>
          <w:color w:val="000000" w:themeColor="text1"/>
          <w:sz w:val="32"/>
          <w:szCs w:val="32"/>
          <w:highlight w:val="none"/>
          <w14:textFill>
            <w14:solidFill>
              <w14:schemeClr w14:val="tx1"/>
            </w14:solidFill>
          </w14:textFill>
        </w:rPr>
        <w:t>对取得施工许可证的房屋建筑和市政工程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，贯彻落实</w:t>
      </w:r>
      <w:r>
        <w:rPr>
          <w:rFonts w:hint="eastAsia" w:ascii="仿宋_GB2312" w:hAnsi="仿宋_GB2312" w:eastAsia="仿宋_GB2312" w:cs="仿宋_GB2312"/>
          <w:color w:val="000000" w:themeColor="text1"/>
          <w:sz w:val="32"/>
          <w:szCs w:val="32"/>
          <w:highlight w:val="none"/>
          <w14:textFill>
            <w14:solidFill>
              <w14:schemeClr w14:val="tx1"/>
            </w14:solidFill>
          </w14:textFill>
        </w:rPr>
        <w:t>分段验收或集中联合验收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工作制度，落实</w:t>
      </w:r>
      <w:r>
        <w:rPr>
          <w:rFonts w:hint="eastAsia" w:ascii="仿宋_GB2312" w:hAnsi="仿宋_GB2312" w:eastAsia="仿宋_GB2312" w:cs="仿宋_GB2312"/>
          <w:color w:val="000000" w:themeColor="text1"/>
          <w:sz w:val="32"/>
          <w:szCs w:val="32"/>
          <w:highlight w:val="none"/>
          <w14:textFill>
            <w14:solidFill>
              <w14:schemeClr w14:val="tx1"/>
            </w14:solidFill>
          </w14:textFill>
        </w:rPr>
        <w:t>监督管理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；房地产开发项目配套建设的水电气</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网视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、教育、养老、医疗卫生、社区综合服务用房、公共服务设施，相关部门或单位可按照法律法规规定或前期有关约定，参与分段或集中联合验收。</w:t>
      </w:r>
      <w:r>
        <w:rPr>
          <w:rFonts w:hint="eastAsia" w:ascii="仿宋_GB2312" w:hAnsi="仿宋_GB2312" w:eastAsia="仿宋_GB2312" w:cs="仿宋_GB2312"/>
          <w:color w:val="000000" w:themeColor="text1"/>
          <w:sz w:val="32"/>
          <w:szCs w:val="32"/>
          <w:highlight w:val="none"/>
          <w14:textFill>
            <w14:solidFill>
              <w14:schemeClr w14:val="tx1"/>
            </w14:solidFill>
          </w14:textFill>
        </w:rPr>
        <w:t>在竣工联合验收前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强化跟踪服务，联合相关部门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主动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靠前指导</w:t>
      </w:r>
      <w:r>
        <w:rPr>
          <w:rFonts w:hint="eastAsia" w:ascii="仿宋_GB2312" w:hAnsi="仿宋_GB2312" w:eastAsia="仿宋_GB2312" w:cs="仿宋_GB2312"/>
          <w:color w:val="000000" w:themeColor="text1"/>
          <w:sz w:val="32"/>
          <w:szCs w:val="32"/>
          <w:highlight w:val="none"/>
          <w14:textFill>
            <w14:solidFill>
              <w14:schemeClr w14:val="tx1"/>
            </w14:solidFill>
          </w14:textFill>
        </w:rPr>
        <w:t>建设单位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申办</w:t>
      </w:r>
      <w:r>
        <w:rPr>
          <w:rFonts w:hint="eastAsia" w:ascii="仿宋_GB2312" w:hAnsi="仿宋_GB2312" w:eastAsia="仿宋_GB2312" w:cs="仿宋_GB2312"/>
          <w:color w:val="000000" w:themeColor="text1"/>
          <w:sz w:val="32"/>
          <w:szCs w:val="32"/>
          <w:highlight w:val="none"/>
          <w14:textFill>
            <w14:solidFill>
              <w14:schemeClr w14:val="tx1"/>
            </w14:solidFill>
          </w14:textFill>
        </w:rPr>
        <w:t>验收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w:t>
      </w:r>
      <w:r>
        <w:rPr>
          <w:rFonts w:hint="eastAsia" w:ascii="仿宋_GB2312" w:hAnsi="仿宋_GB2312" w:eastAsia="仿宋_GB2312" w:cs="仿宋_GB2312"/>
          <w:color w:val="000000" w:themeColor="text1"/>
          <w:sz w:val="32"/>
          <w:szCs w:val="32"/>
          <w:highlight w:val="none"/>
          <w14:textFill>
            <w14:solidFill>
              <w14:schemeClr w14:val="tx1"/>
            </w14:solidFill>
          </w14:textFill>
        </w:rPr>
        <w:t>，妥善解决矛盾问题，确保竣工联合验收顺利开展。取水工程设施竣工验收后试运行满足条件的，开展取水许可验收。</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县住建局；责任部门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：县发展改革委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、县资规局、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县农业</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农村</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县教育局、县卫健</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委、</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县旅文局、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县民政局、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县市监局、县营商环境建设局、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县水务局、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县档案</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供电</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16.水电气网视联合报装。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贯彻落实</w:t>
      </w:r>
      <w:r>
        <w:rPr>
          <w:rFonts w:hint="eastAsia" w:ascii="仿宋_GB2312" w:hAnsi="仿宋_GB2312" w:eastAsia="仿宋_GB2312" w:cs="仿宋_GB2312"/>
          <w:color w:val="000000" w:themeColor="text1"/>
          <w:sz w:val="32"/>
          <w:szCs w:val="32"/>
          <w:highlight w:val="none"/>
          <w14:textFill>
            <w14:solidFill>
              <w14:schemeClr w14:val="tx1"/>
            </w14:solidFill>
          </w14:textFill>
        </w:rPr>
        <w:t>“一张表单”“联合踏勘”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工作举措，优化受理程序，压缩办理时限，</w:t>
      </w:r>
      <w:r>
        <w:rPr>
          <w:rFonts w:hint="eastAsia" w:ascii="仿宋_GB2312" w:hAnsi="仿宋_GB2312" w:eastAsia="仿宋_GB2312" w:cs="仿宋_GB2312"/>
          <w:color w:val="000000" w:themeColor="text1"/>
          <w:sz w:val="32"/>
          <w:szCs w:val="32"/>
          <w:highlight w:val="none"/>
          <w14:textFill>
            <w14:solidFill>
              <w14:schemeClr w14:val="tx1"/>
            </w14:solidFill>
          </w14:textFill>
        </w:rPr>
        <w:t>及时提供主动服务。</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营商环境建设</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：县发展改革委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、县住建局、县水务局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供电</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val="0"/>
        <w:numPr>
          <w:ilvl w:val="-1"/>
          <w:numId w:val="0"/>
        </w:numPr>
        <w:kinsoku/>
        <w:wordWrap/>
        <w:overflowPunct/>
        <w:topLinePunct w:val="0"/>
        <w:autoSpaceDE w:val="0"/>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（四）变更退出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17.企业变更。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贯彻落实企业信息变更“一件事”，推动</w:t>
      </w:r>
      <w:r>
        <w:rPr>
          <w:rFonts w:hint="eastAsia" w:ascii="仿宋_GB2312" w:hAnsi="仿宋_GB2312" w:eastAsia="仿宋_GB2312" w:cs="仿宋_GB2312"/>
          <w:color w:val="000000" w:themeColor="text1"/>
          <w:sz w:val="32"/>
          <w:szCs w:val="32"/>
          <w:highlight w:val="none"/>
          <w14:textFill>
            <w14:solidFill>
              <w14:schemeClr w14:val="tx1"/>
            </w14:solidFill>
          </w14:textFill>
        </w:rPr>
        <w:t>企业变更登记</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企业</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印章刻制、社会保险登记变更、纳税信息变更、基本账户变更和住房公积金企业缴存登记变更等事项联审联办、“一站式”办结，便捷企业变更。</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县市监局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社保中心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、县税务局、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公积金管理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numPr>
          <w:ilvl w:val="-1"/>
          <w:numId w:val="0"/>
        </w:numPr>
        <w:suppressLineNumbers w:val="0"/>
        <w:wordWrap/>
        <w:overflowPunct/>
        <w:topLinePunct w:val="0"/>
        <w:bidi w:val="0"/>
        <w:spacing w:before="0" w:beforeAutospacing="0" w:after="0" w:afterAutospacing="0" w:line="560" w:lineRule="exact"/>
        <w:ind w:left="0" w:right="0" w:firstLine="643" w:firstLineChars="200"/>
        <w:jc w:val="both"/>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18.企业退出。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统筹企业注销、破产等相关申请核查信息的受理、分派、汇总和结果送达。推行企业注销登记、破产信息核查“一件事”制度，简化企业注销、破产申报流程，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破产企业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司法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业务指导</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，降低退出成本。</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（牵头部门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县市监局；责任部门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：县资规局、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县人社局、</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县住建局、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县营商环境局、县人民法院、</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县税务局、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白沙</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公积金管理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白沙金融监管</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支</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color w:val="000000" w:themeColor="text1"/>
          <w:sz w:val="32"/>
          <w:szCs w:val="32"/>
          <w:highlight w:val="none"/>
          <w:lang w:eastAsia="zh-CN"/>
          <w14:textFill>
            <w14:solidFill>
              <w14:schemeClr w14:val="tx1"/>
            </w14:solidFill>
          </w14:textFill>
        </w:rPr>
        <w:t>、保障措施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（一）加强组织领导。</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要充分认识企业全生命周期服务对于加快推进我县经济社会发展的重要意义，将其作为推进政府职能转变、提升政府服务水平的重要任务。各相关部门要主动担当、积极作为，切实加强协作配合，理顺工作机制，实施流程再造，确保完成工作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（二）建立联动机制。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一是建立部门联动机制，各职能部门应及时将企业、项目等相关信息推送共享，各职能部门根据企业</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信用、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项目特点、实际需求</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量身制定帮办代办方案，相关手续并联审批。</w:t>
      </w:r>
      <w:r>
        <w:rPr>
          <w:rFonts w:hint="eastAsia" w:ascii="仿宋_GB2312" w:hAnsi="仿宋_GB2312" w:eastAsia="仿宋_GB2312" w:cs="仿宋_GB2312"/>
          <w:color w:val="000000" w:themeColor="text1"/>
          <w:sz w:val="32"/>
          <w:szCs w:val="32"/>
          <w:lang w:eastAsia="zh-CN"/>
          <w14:textFill>
            <w14:solidFill>
              <w14:schemeClr w14:val="tx1"/>
            </w14:solidFill>
          </w14:textFill>
        </w:rPr>
        <w:t>二是建立协调会议机制，各牵头部门要针对企业全生命周期服务过程中遇到的困难和问题及时组织召开会议研究限期解决，对堵点难点问题提级推进。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（三）加强服务建设。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加强政务工作人员业务培训和管理，提高业务水平和服务能力，强化责任意识，转变工作作风。推行帮办代办服务，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企业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提供全流程的咨询、引导、帮办代办服务，针对重点项目、</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信用A级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企业，实施</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“极速通道”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“一对一”上门帮办和常态化跟踪服务。深化线上线下融合，网上办理政务服务事项，提升政务服务效率和便捷度。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color w:val="000000" w:themeColor="text1"/>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（四）加强宣传推广。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各职能部门要坚持把企业和群众的获得感作为衡量工作实效的重要标准，切实加强部门压缩时限、提升便利度的能效，通过案例解读、企业家座谈会等形式宣传服务成效，</w:t>
      </w:r>
      <w:r>
        <w:rPr>
          <w:rFonts w:hint="eastAsia" w:ascii="仿宋_GB2312" w:hAnsi="仿宋_GB2312" w:eastAsia="仿宋_GB2312" w:cs="仿宋_GB2312"/>
          <w:color w:val="000000" w:themeColor="text1"/>
          <w:sz w:val="32"/>
          <w:szCs w:val="32"/>
          <w:lang w:eastAsia="zh-CN"/>
          <w14:textFill>
            <w14:solidFill>
              <w14:schemeClr w14:val="tx1"/>
            </w14:solidFill>
          </w14:textFill>
        </w:rPr>
        <w:t>并将每季度任务落实情况，以及工作亮点和经验做法形成案例报送县营商环境建设局。</w:t>
      </w:r>
    </w:p>
    <w:p>
      <w:pPr>
        <w:keepNext w:val="0"/>
        <w:keepLines w:val="0"/>
        <w:pageBreakBefore w:val="0"/>
        <w:wordWrap/>
        <w:overflowPunct/>
        <w:topLinePunct w:val="0"/>
        <w:bidi w:val="0"/>
        <w:spacing w:line="560" w:lineRule="exact"/>
      </w:pPr>
    </w:p>
    <w:sectPr>
      <w:footerReference r:id="rId3" w:type="default"/>
      <w:pgSz w:w="11906" w:h="16838"/>
      <w:pgMar w:top="2098" w:right="1474" w:bottom="1984" w:left="1588"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8CFC8A-48A2-465F-9C11-C52A0A0B522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8A90E7D-5085-4C21-BF68-C9749D841D87}"/>
  </w:font>
  <w:font w:name="方正小标宋简体">
    <w:panose1 w:val="02010601030101010101"/>
    <w:charset w:val="86"/>
    <w:family w:val="auto"/>
    <w:pitch w:val="default"/>
    <w:sig w:usb0="00000001" w:usb1="080E0000" w:usb2="00000000" w:usb3="00000000" w:csb0="00040000" w:csb1="00000000"/>
    <w:embedRegular r:id="rId3" w:fontKey="{EFFAD47A-4B50-4405-8C65-DF9576B27846}"/>
  </w:font>
  <w:font w:name="仿宋_GB2312">
    <w:panose1 w:val="02010609030101010101"/>
    <w:charset w:val="86"/>
    <w:family w:val="auto"/>
    <w:pitch w:val="default"/>
    <w:sig w:usb0="00000001" w:usb1="080E0000" w:usb2="00000000" w:usb3="00000000" w:csb0="00040000" w:csb1="00000000"/>
    <w:embedRegular r:id="rId4" w:fontKey="{D964E1DE-4A9A-493F-AA0F-21F93617C347}"/>
  </w:font>
  <w:font w:name="楷体_GB2312">
    <w:panose1 w:val="02010609030101010101"/>
    <w:charset w:val="86"/>
    <w:family w:val="auto"/>
    <w:pitch w:val="default"/>
    <w:sig w:usb0="00000001" w:usb1="080E0000" w:usb2="00000000" w:usb3="00000000" w:csb0="00040000" w:csb1="00000000"/>
    <w:embedRegular r:id="rId5" w:fontKey="{B78C65C2-CF30-44B4-86CA-C68AD176DE5A}"/>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C23102"/>
    <w:rsid w:val="09BC4D4C"/>
    <w:rsid w:val="33DA2F01"/>
    <w:rsid w:val="417E5DD5"/>
    <w:rsid w:val="462F513B"/>
    <w:rsid w:val="496A1C80"/>
    <w:rsid w:val="4CD6418A"/>
    <w:rsid w:val="56C23102"/>
    <w:rsid w:val="59911F6C"/>
    <w:rsid w:val="64814B01"/>
    <w:rsid w:val="6B947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spacing w:after="50" w:afterLines="50" w:line="60" w:lineRule="auto"/>
      <w:ind w:firstLine="420" w:firstLineChars="200"/>
    </w:pPr>
  </w:style>
  <w:style w:type="paragraph" w:customStyle="1" w:styleId="7">
    <w:name w:val="my正文"/>
    <w:basedOn w:val="1"/>
    <w:link w:val="8"/>
    <w:qFormat/>
    <w:uiPriority w:val="0"/>
    <w:pPr>
      <w:widowControl w:val="0"/>
      <w:spacing w:line="360" w:lineRule="auto"/>
      <w:ind w:firstLine="480" w:firstLineChars="200"/>
      <w:jc w:val="both"/>
    </w:pPr>
    <w:rPr>
      <w:kern w:val="0"/>
      <w:sz w:val="28"/>
    </w:rPr>
  </w:style>
  <w:style w:type="character" w:customStyle="1" w:styleId="8">
    <w:name w:val="my正文 Char"/>
    <w:link w:val="7"/>
    <w:qFormat/>
    <w:uiPriority w:val="0"/>
    <w:rPr>
      <w:rFonts w:eastAsia="宋体"/>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4006</Words>
  <Characters>4033</Characters>
  <Lines>0</Lines>
  <Paragraphs>0</Paragraphs>
  <TotalTime>73</TotalTime>
  <ScaleCrop>false</ScaleCrop>
  <LinksUpToDate>false</LinksUpToDate>
  <CharactersWithSpaces>4033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2025-03-11T07:40:00Z</dcterms:created>
  <dc:creator>Bill</dc:creator>
  <cp:lastModifiedBy>营商环境建设局收发员</cp:lastModifiedBy>
  <cp:lastPrinted>2025-03-24T08:59:00Z</cp:lastPrinted>
  <dcterms:modified xsi:type="dcterms:W3CDTF">2025-03-25T01:52:57Z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13555952598042D2989944D308F442F2_13</vt:lpwstr>
  </property>
  <property fmtid="{D5CDD505-2E9C-101B-9397-08002B2CF9AE}" pid="4" name="KSOTemplateDocerSaveRecord">
    <vt:lpwstr>eyJoZGlkIjoiNjJmMjBlMjk5NmNmODdlMmUxMzFlZjZkZWVjMmI5YTciLCJ1c2VySWQiOiIyNzk3NDA0NjEifQ==</vt:lpwstr>
  </property>
</Properties>
</file>