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kern w:val="44"/>
          <w:sz w:val="27"/>
          <w:szCs w:val="27"/>
        </w:rPr>
      </w:pPr>
      <w:r>
        <w:rPr>
          <w:rFonts w:hint="eastAsia" w:ascii="宋体" w:hAnsi="宋体" w:eastAsia="宋体" w:cs="宋体"/>
          <w:b/>
          <w:kern w:val="44"/>
          <w:sz w:val="27"/>
          <w:szCs w:val="27"/>
        </w:rPr>
        <w:t>白沙县营商环境建设局2023政府信息公开工作年度报告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5997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005997"/>
          <w:kern w:val="0"/>
          <w:sz w:val="18"/>
          <w:szCs w:val="18"/>
        </w:rPr>
        <w:t>（一）总体情况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推进政府信息公开是县营商环境建设局贯彻落实有关《条例》的重要举措，是深入推行政务公开，转变政府职能，建设人民满意的服务型政府的一项重要工作。2023年，县营商环境建设局根据县政务公开重点工作任务要求，严格按照政务公开栏目分类，及时发布各类行政审批工作信息，推进行政审批业务信息公开工作。 一是加强组织领导。结合我局实际，研究部署政务公开工作，制定了政务信息公开制度，成立了领导组织机构，为贯彻落实政府信息公开工作提供了强有力的组织保障。二是建立健全各项制度。按照上级部门的工作要求，结合我局实际，对政府信息公开的保密审查、信息报送及公开等具体工作进行规范，把政务信息公开工作纳入年度工作目标，将政府信息公开工作进行统一安排、部署和检查，促进政府信息公开工作制度化、规范化发展。三是坚持“线上+线下”公开方式相结合，确保公开渠道到位。我局以利民、便民为中心，着力丰富公开形式，重点依靠企业信用信息公示网站、政务服务网、政府门户网站主动公开信息，充分利用政务服务大厅人流集中优势，在二楼大厅设置公务公开栏。 四是坚持信息依申请主动公开，确保公开内容到位。我局对照信息公开制度，主动公开政策文件、工作动态、预算决算、办事指南等信息，及时更新政府信息公开目录，以行政审批工作信息作为重点进行发布，注重信息公开发布内容的标准化、规范化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005997"/>
          <w:kern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b/>
          <w:color w:val="005997"/>
          <w:kern w:val="0"/>
          <w:sz w:val="18"/>
          <w:szCs w:val="18"/>
          <w:bdr w:val="none" w:color="auto" w:sz="0" w:space="0"/>
        </w:rPr>
        <w:t>（二）主动公开政府信息的情况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8336" w:type="dxa"/>
        <w:tblInd w:w="2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8"/>
        <w:gridCol w:w="2621"/>
        <w:gridCol w:w="2621"/>
        <w:gridCol w:w="8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6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6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8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6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规范性文件</w:t>
            </w:r>
          </w:p>
        </w:tc>
        <w:tc>
          <w:tcPr>
            <w:tcW w:w="26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/>
              </w:rPr>
              <w:t>2</w:t>
            </w:r>
          </w:p>
        </w:tc>
        <w:tc>
          <w:tcPr>
            <w:tcW w:w="26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/>
              </w:rPr>
              <w:t>9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8336" w:type="dxa"/>
        <w:tblInd w:w="2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2"/>
        <w:gridCol w:w="31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83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314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314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5096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8336" w:type="dxa"/>
        <w:tblInd w:w="2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1"/>
        <w:gridCol w:w="30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83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30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30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30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8336" w:type="dxa"/>
        <w:tblInd w:w="2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79"/>
        <w:gridCol w:w="39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395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本年收费金额（单位:万元）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行业事业性收费</w:t>
            </w:r>
          </w:p>
        </w:tc>
        <w:tc>
          <w:tcPr>
            <w:tcW w:w="395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005997"/>
          <w:kern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b/>
          <w:color w:val="005997"/>
          <w:kern w:val="0"/>
          <w:sz w:val="18"/>
          <w:szCs w:val="18"/>
          <w:bdr w:val="none" w:color="auto" w:sz="0" w:space="0"/>
        </w:rPr>
        <w:t>（三）收到和处理政府信息公开申请情况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8336" w:type="dxa"/>
        <w:tblInd w:w="2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886"/>
        <w:gridCol w:w="1519"/>
        <w:gridCol w:w="628"/>
        <w:gridCol w:w="773"/>
        <w:gridCol w:w="775"/>
        <w:gridCol w:w="1067"/>
        <w:gridCol w:w="1068"/>
        <w:gridCol w:w="481"/>
        <w:gridCol w:w="2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74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062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74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4164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27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74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7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240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1、属于国家秘密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2、其他法律行政法规禁止公开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3、危及“三安全一稳定”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4、保护第三方合法权益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5、属于三类内部事务信息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6、属于四类过程性信息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7、属于行政执法案卷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8、属于行政查询事项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1、本机关不掌握相关政府信息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2、没有现成信息需要另行制作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3、补正后申请内容仍不明确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1、信访举报投诉诉求类申请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2、重复申请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3、要求提供公开出版物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4、无正当理由大量反复申请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5、要求行政机关确认或重新出具已获取信息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1、申请人无正当理由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2、申请人逾期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3、其他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005997"/>
          <w:kern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b/>
          <w:color w:val="005997"/>
          <w:kern w:val="0"/>
          <w:sz w:val="18"/>
          <w:szCs w:val="18"/>
          <w:bdr w:val="none" w:color="auto" w:sz="0" w:space="0"/>
        </w:rPr>
        <w:t>（四）政府信息公开行政复议、行政诉讼情况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8336" w:type="dxa"/>
        <w:tblInd w:w="2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608"/>
        <w:gridCol w:w="608"/>
        <w:gridCol w:w="608"/>
        <w:gridCol w:w="396"/>
        <w:gridCol w:w="608"/>
        <w:gridCol w:w="608"/>
        <w:gridCol w:w="608"/>
        <w:gridCol w:w="608"/>
        <w:gridCol w:w="396"/>
        <w:gridCol w:w="608"/>
        <w:gridCol w:w="608"/>
        <w:gridCol w:w="608"/>
        <w:gridCol w:w="608"/>
        <w:gridCol w:w="2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28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509" w:type="dxa"/>
            <w:gridSpan w:val="10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7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396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828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681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7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3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2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599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5997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005997"/>
          <w:kern w:val="0"/>
          <w:sz w:val="18"/>
          <w:szCs w:val="18"/>
        </w:rPr>
        <w:t>（五）存在的主要问题及改进情况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(一）主要问题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2023年，我局按期完成了上级单位对信息公开的任务要求，在政府信息公开上取得了一定的成绩，但仍存在以下几个方面问题和不足：一是对政府信息公开工作认识不深，内容不够全面，未能及时有效提供信息；二是对相关《条例》理解不扎实，专业技能有待加强；三是政府信息公开质量不高，信息公开的流程还有待进一步规范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局将强化组织领导，提高对信息公开的认识，加强政府信息公开工作，进一步规范依申请公开的处理流程。同时，加强工作人员对相关《条例》的理解和认识，提升信息公开人员的理论水平和业务能力，提高信息公开质量，促进信息公开工作制度化、规范化发展，深入、持续、高效地开展政府信息公开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5997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005997"/>
          <w:kern w:val="0"/>
          <w:sz w:val="18"/>
          <w:szCs w:val="18"/>
        </w:rPr>
        <w:t>（六）其他需要报告的事项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无其他需要报告事项。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04A84"/>
    <w:rsid w:val="31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10"/>
    <w:basedOn w:val="4"/>
    <w:uiPriority w:val="0"/>
    <w:rPr>
      <w:rFonts w:hint="default" w:ascii="Times New Roman" w:hAnsi="Times New Roman" w:cs="Times New Roman"/>
    </w:rPr>
  </w:style>
  <w:style w:type="character" w:customStyle="1" w:styleId="7">
    <w:name w:val="16"/>
    <w:basedOn w:val="4"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4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白沙黎族自治县（牙叉镇）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2024-01-16T02:02:00Z</dcterms:created>
  <dc:creator>冰瓷</dc:creator>
  <cp:lastModifiedBy>冰瓷</cp:lastModifiedBy>
  <dcterms:modified xsi:type="dcterms:W3CDTF">2024-01-16T02:07:30Z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