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9F8EE">
      <w:pPr>
        <w:pageBreakBefore w:val="0"/>
        <w:widowControl/>
        <w:kinsoku/>
        <w:wordWrap/>
        <w:topLinePunct w:val="0"/>
        <w:autoSpaceDE/>
        <w:autoSpaceDN/>
        <w:bidi w:val="0"/>
        <w:adjustRightInd/>
        <w:snapToGrid/>
        <w:spacing w:before="0" w:beforeAutospacing="0" w:after="0" w:afterAutospacing="0" w:line="560" w:lineRule="exact"/>
        <w:ind w:right="0" w:rightChars="0"/>
        <w:jc w:val="center"/>
        <w:outlineLvl w:val="9"/>
        <w:rPr>
          <w:rFonts w:hint="eastAsia" w:ascii="方正小标宋_GBK" w:hAnsi="方正小标宋_GBK" w:eastAsia="方正小标宋_GBK" w:cs="方正小标宋_GBK"/>
          <w:b w:val="0"/>
          <w:bCs w:val="0"/>
          <w:kern w:val="0"/>
          <w:sz w:val="44"/>
          <w:szCs w:val="44"/>
          <w:lang w:val="en-US" w:eastAsia="zh-CN" w:bidi="ar-SA"/>
        </w:rPr>
      </w:pPr>
      <w:bookmarkStart w:id="0" w:name="_Toc16718_WPSOffice_Level1"/>
      <w:bookmarkStart w:id="1" w:name="_Toc13904_WPSOffice_Level1"/>
      <w:bookmarkStart w:id="2" w:name="_Toc14856"/>
      <w:bookmarkStart w:id="3" w:name="_Toc3736"/>
      <w:bookmarkStart w:id="4" w:name="_Toc7129_WPSOffice_Level1"/>
      <w:bookmarkStart w:id="5" w:name="_Toc4241_WPSOffice_Level1"/>
      <w:bookmarkStart w:id="6" w:name="_Toc31215_WPSOffice_Level1"/>
      <w:bookmarkStart w:id="7" w:name="_Toc30573_WPSOffice_Level1"/>
      <w:bookmarkStart w:id="8" w:name="_Toc6314"/>
      <w:r>
        <w:rPr>
          <w:rFonts w:hint="eastAsia" w:ascii="方正小标宋_GBK" w:hAnsi="方正小标宋_GBK" w:eastAsia="方正小标宋_GBK" w:cs="方正小标宋_GBK"/>
          <w:b w:val="0"/>
          <w:bCs w:val="0"/>
          <w:kern w:val="0"/>
          <w:sz w:val="44"/>
          <w:szCs w:val="44"/>
          <w:lang w:val="en-US" w:eastAsia="zh-CN" w:bidi="ar-SA"/>
        </w:rPr>
        <w:t>白沙黎族自治县突发事件总体应急预案</w:t>
      </w:r>
      <w:bookmarkEnd w:id="0"/>
      <w:bookmarkEnd w:id="1"/>
      <w:bookmarkEnd w:id="2"/>
      <w:bookmarkEnd w:id="3"/>
    </w:p>
    <w:p w14:paraId="32669405">
      <w:pPr>
        <w:pageBreakBefore w:val="0"/>
        <w:widowControl/>
        <w:kinsoku/>
        <w:wordWrap/>
        <w:topLinePunct w:val="0"/>
        <w:autoSpaceDE/>
        <w:autoSpaceDN/>
        <w:bidi w:val="0"/>
        <w:adjustRightInd/>
        <w:snapToGrid/>
        <w:spacing w:before="0" w:beforeAutospacing="0" w:after="0" w:afterAutospacing="0" w:line="560" w:lineRule="exact"/>
        <w:ind w:right="0" w:rightChars="0"/>
        <w:jc w:val="both"/>
        <w:outlineLvl w:val="9"/>
        <w:rPr>
          <w:rFonts w:hint="eastAsia" w:ascii="方正小标宋_GBK" w:hAnsi="方正小标宋_GBK" w:eastAsia="方正小标宋_GBK" w:cs="方正小标宋_GBK"/>
          <w:kern w:val="0"/>
          <w:sz w:val="36"/>
          <w:szCs w:val="36"/>
          <w:lang w:val="en-US" w:eastAsia="zh-CN" w:bidi="ar-SA"/>
        </w:rPr>
      </w:pPr>
    </w:p>
    <w:p w14:paraId="28E6D635">
      <w:pPr>
        <w:jc w:val="both"/>
        <w:rPr>
          <w:rFonts w:hint="eastAsia" w:ascii="楷体" w:hAnsi="楷体" w:eastAsia="楷体" w:cs="楷体"/>
          <w:b w:val="0"/>
          <w:bCs w:val="0"/>
          <w:sz w:val="32"/>
          <w:szCs w:val="32"/>
          <w:lang w:val="en-US" w:eastAsia="zh-CN"/>
        </w:rPr>
      </w:pPr>
    </w:p>
    <w:p w14:paraId="7D43C8C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auto"/>
          <w:kern w:val="0"/>
          <w:sz w:val="32"/>
          <w:szCs w:val="32"/>
        </w:rPr>
      </w:pPr>
      <w:bookmarkStart w:id="9" w:name="_Toc2284"/>
      <w:r>
        <w:rPr>
          <w:rFonts w:hint="eastAsia" w:ascii="黑体" w:hAnsi="黑体" w:eastAsia="黑体" w:cs="Times New Roman"/>
          <w:color w:val="auto"/>
          <w:kern w:val="0"/>
          <w:sz w:val="32"/>
          <w:szCs w:val="32"/>
        </w:rPr>
        <w:t>1</w:t>
      </w:r>
      <w:r>
        <w:rPr>
          <w:rFonts w:hint="eastAsia" w:ascii="黑体" w:hAnsi="黑体" w:eastAsia="黑体" w:cs="Times New Roman"/>
          <w:color w:val="auto"/>
          <w:kern w:val="0"/>
          <w:sz w:val="32"/>
          <w:szCs w:val="32"/>
          <w:lang w:val="en-US" w:eastAsia="zh-CN"/>
        </w:rPr>
        <w:t xml:space="preserve"> </w:t>
      </w:r>
      <w:r>
        <w:rPr>
          <w:rFonts w:hint="eastAsia" w:ascii="黑体" w:hAnsi="黑体" w:eastAsia="黑体" w:cs="Times New Roman"/>
          <w:color w:val="auto"/>
          <w:kern w:val="0"/>
          <w:sz w:val="32"/>
          <w:szCs w:val="32"/>
        </w:rPr>
        <w:t>总则</w:t>
      </w:r>
      <w:bookmarkEnd w:id="9"/>
    </w:p>
    <w:p w14:paraId="390F6D7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仿宋" w:hAnsi="仿宋" w:eastAsia="仿宋" w:cs="Times New Roman"/>
          <w:b/>
          <w:bCs/>
          <w:color w:val="auto"/>
          <w:kern w:val="0"/>
          <w:sz w:val="30"/>
          <w:szCs w:val="30"/>
        </w:rPr>
      </w:pPr>
      <w:bookmarkStart w:id="10" w:name="_Toc1571"/>
      <w:r>
        <w:rPr>
          <w:rFonts w:hint="eastAsia" w:ascii="楷体_GB2312" w:hAnsi="Arial" w:eastAsia="楷体_GB2312" w:cs="楷体_GB2312"/>
          <w:color w:val="auto"/>
          <w:kern w:val="0"/>
          <w:sz w:val="32"/>
          <w:szCs w:val="32"/>
          <w:lang w:val="en-US" w:eastAsia="zh-CN" w:bidi="ar-SA"/>
        </w:rPr>
        <w:t>1.1 编制目的</w:t>
      </w:r>
      <w:bookmarkEnd w:id="10"/>
      <w:r>
        <w:rPr>
          <w:rFonts w:hint="eastAsia" w:ascii="楷体_GB2312" w:hAnsi="Arial" w:eastAsia="楷体_GB2312" w:cs="楷体_GB2312"/>
          <w:color w:val="auto"/>
          <w:kern w:val="0"/>
          <w:sz w:val="32"/>
          <w:szCs w:val="32"/>
          <w:lang w:val="en-US" w:eastAsia="zh-CN" w:bidi="ar-SA"/>
        </w:rPr>
        <w:t xml:space="preserve">  </w:t>
      </w:r>
      <w:r>
        <w:rPr>
          <w:rFonts w:hint="eastAsia" w:ascii="仿宋" w:hAnsi="仿宋" w:eastAsia="仿宋" w:cs="Times New Roman"/>
          <w:b/>
          <w:bCs/>
          <w:color w:val="auto"/>
          <w:kern w:val="0"/>
          <w:sz w:val="30"/>
          <w:szCs w:val="30"/>
        </w:rPr>
        <w:t xml:space="preserve">  </w:t>
      </w:r>
    </w:p>
    <w:p w14:paraId="006B67B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为加强白沙黎族自治县应急管理工作，全面提高政府预防和应对各类突发事件的能力，最大程度地减少突发事件及其造成的损害，保障人民群众生命财产安全和社会公共安全，维护社会政治稳定和经济持续、快速、协调发展，结合本县工作实际，编制本预案。</w:t>
      </w:r>
    </w:p>
    <w:p w14:paraId="36BE0FE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本预案是指导全县各乡镇政府、各部门、各单位做好突发事件应急管理工作的重要依据。</w:t>
      </w:r>
    </w:p>
    <w:p w14:paraId="1895632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1" w:name="_Toc30815"/>
      <w:r>
        <w:rPr>
          <w:rFonts w:hint="eastAsia" w:ascii="楷体_GB2312" w:hAnsi="Arial" w:eastAsia="楷体_GB2312" w:cs="楷体_GB2312"/>
          <w:color w:val="auto"/>
          <w:kern w:val="0"/>
          <w:sz w:val="32"/>
          <w:szCs w:val="32"/>
          <w:lang w:val="en-US" w:eastAsia="zh-CN" w:bidi="ar-SA"/>
        </w:rPr>
        <w:t>1.2 编制依据</w:t>
      </w:r>
      <w:bookmarkEnd w:id="11"/>
      <w:r>
        <w:rPr>
          <w:rFonts w:hint="eastAsia" w:ascii="楷体_GB2312" w:hAnsi="Arial" w:eastAsia="楷体_GB2312" w:cs="楷体_GB2312"/>
          <w:color w:val="auto"/>
          <w:kern w:val="0"/>
          <w:sz w:val="32"/>
          <w:szCs w:val="32"/>
          <w:lang w:val="en-US" w:eastAsia="zh-CN" w:bidi="ar-SA"/>
        </w:rPr>
        <w:t xml:space="preserve">  </w:t>
      </w:r>
    </w:p>
    <w:p w14:paraId="0C163FB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依据《中华人民共和国突发事件应对法》《生产安全事故应急条例》（国务院令708号）《突发事件应急预案管理办法（国办发〔2013〕101号）》《国家突发公共事件总体应急预案》《海南省人民政府突发公共事件总体应急预案》（2016）等有关法律、行政法规、地方性法规和行政规章。</w:t>
      </w:r>
    </w:p>
    <w:p w14:paraId="055DA8A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2" w:name="_Toc21621"/>
      <w:r>
        <w:rPr>
          <w:rFonts w:hint="eastAsia" w:ascii="楷体_GB2312" w:hAnsi="Arial" w:eastAsia="楷体_GB2312" w:cs="楷体_GB2312"/>
          <w:color w:val="auto"/>
          <w:kern w:val="0"/>
          <w:sz w:val="32"/>
          <w:szCs w:val="32"/>
          <w:lang w:val="en-US" w:eastAsia="zh-CN" w:bidi="ar-SA"/>
        </w:rPr>
        <w:t>1.3 工作原则</w:t>
      </w:r>
      <w:bookmarkEnd w:id="12"/>
      <w:r>
        <w:rPr>
          <w:rFonts w:hint="eastAsia" w:ascii="楷体_GB2312" w:hAnsi="Arial" w:eastAsia="楷体_GB2312" w:cs="楷体_GB2312"/>
          <w:color w:val="auto"/>
          <w:kern w:val="0"/>
          <w:sz w:val="32"/>
          <w:szCs w:val="32"/>
          <w:lang w:val="en-US" w:eastAsia="zh-CN" w:bidi="ar-SA"/>
        </w:rPr>
        <w:t xml:space="preserve"> </w:t>
      </w:r>
    </w:p>
    <w:p w14:paraId="43FF50F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1.3.1 以人为本、预防为主。</w:t>
      </w:r>
      <w:r>
        <w:rPr>
          <w:rFonts w:hint="eastAsia" w:ascii="仿宋_GB2312" w:hAnsi="Calibri" w:eastAsia="仿宋_GB2312" w:cs="仿宋_GB2312"/>
          <w:color w:val="auto"/>
          <w:kern w:val="0"/>
          <w:sz w:val="32"/>
          <w:szCs w:val="32"/>
          <w:lang w:val="en-US" w:eastAsia="zh-CN" w:bidi="ar-SA"/>
        </w:rPr>
        <w:t>树立安全发展理念，弘扬生命至上、安全第一的思想，健全公共安全和应急管理体系，提升防灾减灾救灾能力。充分发挥人的主观能动性，充分依靠各级领导、干部和广大人民群众，发挥社会力量的基础性作用，建立健全组织和动员人民群众参与应对突发事件的有效机制。牢固树立以人为本理念，把确保人民群众生命安全放在首位，保障受灾群众基本生活。贯彻落实“两个坚持、三个转变”新时期防灾减灾救灾新指导思想，坚持应急与预防预警相结合，做好监测预警，强化风险管控，完善隐患排查治理，全面加强应急预案、应急队伍、应急物资、应急演练、应急保障等各项应急准备工作。</w:t>
      </w:r>
    </w:p>
    <w:p w14:paraId="189ECAF5">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1.3.2 建章立规、依法规范。</w:t>
      </w:r>
      <w:r>
        <w:rPr>
          <w:rFonts w:hint="eastAsia" w:ascii="仿宋_GB2312" w:hAnsi="Calibri" w:eastAsia="仿宋_GB2312" w:cs="仿宋_GB2312"/>
          <w:color w:val="auto"/>
          <w:kern w:val="0"/>
          <w:sz w:val="32"/>
          <w:szCs w:val="32"/>
          <w:lang w:val="en-US" w:eastAsia="zh-CN" w:bidi="ar-SA"/>
        </w:rPr>
        <w:t xml:space="preserve">应急预案的编制、修订与实施，应当以有关法律、法规、规章为依据，与有关政策、制度相衔接，与完善政府、社会和公共事务管理职能、深化行政管理体制改革相结合，符合本行政区域的实际情况，充分体现政府应急管理的主导作用。    </w:t>
      </w:r>
    </w:p>
    <w:p w14:paraId="2D3DE898">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1.3.3 统一领导、分级负责。</w:t>
      </w:r>
      <w:r>
        <w:rPr>
          <w:rFonts w:hint="eastAsia" w:ascii="仿宋_GB2312" w:hAnsi="Calibri" w:eastAsia="仿宋_GB2312" w:cs="仿宋_GB2312"/>
          <w:color w:val="auto"/>
          <w:kern w:val="0"/>
          <w:sz w:val="32"/>
          <w:szCs w:val="32"/>
          <w:lang w:val="en-US" w:eastAsia="zh-CN" w:bidi="ar-SA"/>
        </w:rPr>
        <w:t>在县委、县政府的领导下，实行行政领导负责制，坚持统一领导、综合协调、分类管理、分级负责、属地管理为主的原则。县人民政府是处置本县内一般(IV级)、较大（Ⅲ级）突发事件和先期处置重大（Ⅱ级）、特别重大（I级）突发事件的行政主体。根据突发事件的严重性、可控性、所需动用的资源、影响范围等因素，分级设定和启动应急预案，落实岗位责任制，明确责任人及其指挥权限。</w:t>
      </w:r>
    </w:p>
    <w:p w14:paraId="15D16F3E">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1.3.4 依托科技、资源整合。</w:t>
      </w:r>
      <w:r>
        <w:rPr>
          <w:rFonts w:hint="eastAsia" w:ascii="仿宋_GB2312" w:hAnsi="Calibri" w:eastAsia="仿宋_GB2312" w:cs="仿宋_GB2312"/>
          <w:color w:val="auto"/>
          <w:kern w:val="0"/>
          <w:sz w:val="32"/>
          <w:szCs w:val="32"/>
          <w:lang w:val="en-US" w:eastAsia="zh-CN" w:bidi="ar-SA"/>
        </w:rPr>
        <w:t xml:space="preserve">采用先进的监测、预测、预警、预防和应急处置技术及设施，充分发挥专家队伍和专业人员的作用，提高应对突发事件的科学技术水平和指挥能力。按照条块结合、降低行政成本、提高效率的要求，立足现有人力、技术、物资和信息等应急资源。整合现有突发事件预测、预警、救援等信息系统，建立科学、有效的防范体系；整合现有突发事件应急组织机构，建立统一、高效的指挥体系；整合现有突发事件应急资源，建立分工明确、责任落实、常备不懈的应急保障体系，提高应急管理的整体协调和应对能力。   </w:t>
      </w:r>
    </w:p>
    <w:p w14:paraId="1934E8F5">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1.3.5 加强基层、协同应对。</w:t>
      </w:r>
      <w:r>
        <w:rPr>
          <w:rFonts w:hint="eastAsia" w:ascii="仿宋_GB2312" w:hAnsi="Calibri" w:eastAsia="仿宋_GB2312" w:cs="仿宋_GB2312"/>
          <w:color w:val="auto"/>
          <w:kern w:val="0"/>
          <w:sz w:val="32"/>
          <w:szCs w:val="32"/>
          <w:lang w:val="en-US" w:eastAsia="zh-CN" w:bidi="ar-SA"/>
        </w:rPr>
        <w:t>重视乡镇政府应急管理基础工作，做好乡镇政府、村（居）委会、学校、医院、企事业单位的应急管理。整合各部门、各乡镇政府现有医疗卫生、水务、应急管理、民政、气象、自然资源、交通运输、林业、农业农村等应急资源，充分利用当地驻军、公安派出所、消防等队伍，进一步理顺应急管理体制，努力实现部门之间、条块之间、军地之间资源共享与协调联动，形成统一指挥、反应灵敏、功能齐全、协调有序、运转高效的应急处置机制。</w:t>
      </w:r>
    </w:p>
    <w:p w14:paraId="7B07155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3" w:name="_Toc5759"/>
      <w:r>
        <w:rPr>
          <w:rFonts w:hint="eastAsia" w:ascii="楷体_GB2312" w:hAnsi="Arial" w:eastAsia="楷体_GB2312" w:cs="楷体_GB2312"/>
          <w:color w:val="auto"/>
          <w:kern w:val="0"/>
          <w:sz w:val="32"/>
          <w:szCs w:val="32"/>
          <w:lang w:val="en-US" w:eastAsia="zh-CN" w:bidi="ar-SA"/>
        </w:rPr>
        <w:t>1.4 突发事件分类分级</w:t>
      </w:r>
      <w:bookmarkEnd w:id="13"/>
    </w:p>
    <w:p w14:paraId="473333D5">
      <w:pPr>
        <w:keepNext w:val="0"/>
        <w:keepLines w:val="0"/>
        <w:pageBreakBefore w:val="0"/>
        <w:widowControl w:val="0"/>
        <w:kinsoku/>
        <w:overflowPunct w:val="0"/>
        <w:autoSpaceDE/>
        <w:autoSpaceDN/>
        <w:bidi w:val="0"/>
        <w:spacing w:beforeAutospacing="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1.4.1 我县突发事件的分类</w:t>
      </w:r>
    </w:p>
    <w:p w14:paraId="21054DFE">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（1）自然灾害。</w:t>
      </w:r>
      <w:r>
        <w:rPr>
          <w:rFonts w:hint="eastAsia" w:ascii="仿宋_GB2312" w:hAnsi="Calibri" w:eastAsia="仿宋_GB2312" w:cs="仿宋_GB2312"/>
          <w:color w:val="auto"/>
          <w:kern w:val="0"/>
          <w:sz w:val="32"/>
          <w:szCs w:val="32"/>
          <w:lang w:val="en-US" w:eastAsia="zh-CN" w:bidi="ar-SA"/>
        </w:rPr>
        <w:t>主要包括水旱灾害，台风、暴雨、雷电、高温等气象灾害，地震灾害，崩塌、泥石流等地质灾害，农作物病虫害、森林病虫害，森林火灾和重大生物灾害等。</w:t>
      </w:r>
    </w:p>
    <w:p w14:paraId="6D741CC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（2）事故灾难。</w:t>
      </w:r>
      <w:r>
        <w:rPr>
          <w:rFonts w:hint="eastAsia" w:ascii="仿宋_GB2312" w:hAnsi="Calibri" w:eastAsia="仿宋_GB2312" w:cs="仿宋_GB2312"/>
          <w:color w:val="auto"/>
          <w:kern w:val="0"/>
          <w:sz w:val="32"/>
          <w:szCs w:val="32"/>
          <w:lang w:val="en-US" w:eastAsia="zh-CN" w:bidi="ar-SA"/>
        </w:rPr>
        <w:t>主要包括公路、水运等重大交通运输事故，工矿商贸企业、建设工程、公共场所发生的各类重大安全事故，造成重大影响和损失的供水、供电、供油等城市生命线事故以及通讯、信息网络、特种设备等安全事故，危险化学品事故，烟花爆竹事故，重大环境污染和生态破坏事故。</w:t>
      </w:r>
    </w:p>
    <w:p w14:paraId="5B9E2F76">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（3）公共卫生事件。</w:t>
      </w:r>
      <w:r>
        <w:rPr>
          <w:rFonts w:hint="eastAsia" w:ascii="仿宋_GB2312" w:hAnsi="Calibri" w:eastAsia="仿宋_GB2312" w:cs="仿宋_GB2312"/>
          <w:color w:val="auto"/>
          <w:kern w:val="0"/>
          <w:sz w:val="32"/>
          <w:szCs w:val="32"/>
          <w:lang w:val="en-US" w:eastAsia="zh-CN" w:bidi="ar-SA"/>
        </w:rPr>
        <w:t>主要包括突然发生，造成或可能造成社会公众健康严重损害的重大传染病疫情、群体性不明原因疾病，重大食物和职业中毒，重大动物植物疫情，医源性扩散疫情，以及其他严重影响公众健康的事件。</w:t>
      </w:r>
    </w:p>
    <w:p w14:paraId="519DB9D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（4）社会安全事件。</w:t>
      </w:r>
      <w:r>
        <w:rPr>
          <w:rFonts w:hint="eastAsia" w:ascii="仿宋_GB2312" w:hAnsi="Calibri" w:eastAsia="仿宋_GB2312" w:cs="仿宋_GB2312"/>
          <w:color w:val="auto"/>
          <w:kern w:val="0"/>
          <w:sz w:val="32"/>
          <w:szCs w:val="32"/>
          <w:lang w:val="en-US" w:eastAsia="zh-CN" w:bidi="ar-SA"/>
        </w:rPr>
        <w:t>主要涉及公共安全的重大刑事案件、涉外突发事件、恐怖袭击事件、刑事案件、经济安全事件、民族宗教事件，以及规模较大聚众、打砸抢烧、集体上访等群体性事件。</w:t>
      </w:r>
    </w:p>
    <w:p w14:paraId="0E3D2CA0">
      <w:pPr>
        <w:keepNext w:val="0"/>
        <w:keepLines w:val="0"/>
        <w:pageBreakBefore w:val="0"/>
        <w:widowControl w:val="0"/>
        <w:kinsoku/>
        <w:overflowPunct w:val="0"/>
        <w:autoSpaceDE/>
        <w:autoSpaceDN/>
        <w:bidi w:val="0"/>
        <w:spacing w:beforeAutospacing="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1.4.2 突发事件分级</w:t>
      </w:r>
    </w:p>
    <w:p w14:paraId="3AE16BD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根据突发事件的性质、社会危害程度、可控性和影响范围等因素，将突发事件由高到低分为特别重大（I级）、重大（Ⅱ级）、较大（Ⅲ级）和一般（Ⅳ级）等4个级别。</w:t>
      </w:r>
    </w:p>
    <w:p w14:paraId="0FD73AC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特别重大突发事件（Ⅰ级）和重大突发事件（Ⅱ级）分别由国务院和省政府负责处置，我县负责先期处置。较大突发事件（Ⅲ级）、一般突发事件（Ⅳ级）由我县负责处置。</w:t>
      </w:r>
    </w:p>
    <w:p w14:paraId="4F385AD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本县各类突发事件的分级标准，参照海南省（或国家）相关预案的适用标准执行。相关行业没有规定的标准，可在县相关预案中自行规定相应的等级标准。具体分级参照《海南省突发事件分级标准》（详见附件6）。</w:t>
      </w:r>
    </w:p>
    <w:p w14:paraId="6836ECE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4" w:name="_Toc16750"/>
      <w:r>
        <w:rPr>
          <w:rFonts w:hint="eastAsia" w:ascii="楷体_GB2312" w:hAnsi="Arial" w:eastAsia="楷体_GB2312" w:cs="楷体_GB2312"/>
          <w:color w:val="auto"/>
          <w:kern w:val="0"/>
          <w:sz w:val="32"/>
          <w:szCs w:val="32"/>
          <w:lang w:val="en-US" w:eastAsia="zh-CN" w:bidi="ar-SA"/>
        </w:rPr>
        <w:t>1.5 应急预案体系构成</w:t>
      </w:r>
      <w:bookmarkEnd w:id="14"/>
    </w:p>
    <w:p w14:paraId="2E1C9D4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县突发事件应急预案体系构成，按照制定主体划分，分为政府及其部门应急预案、单位和基层组织应急预案两大类：</w:t>
      </w:r>
    </w:p>
    <w:p w14:paraId="675E54FA">
      <w:pPr>
        <w:keepNext w:val="0"/>
        <w:keepLines w:val="0"/>
        <w:pageBreakBefore w:val="0"/>
        <w:widowControl w:val="0"/>
        <w:kinsoku/>
        <w:overflowPunct w:val="0"/>
        <w:autoSpaceDE/>
        <w:autoSpaceDN/>
        <w:bidi w:val="0"/>
        <w:spacing w:beforeAutospacing="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1.5.1 政府及其部门应急预案</w:t>
      </w:r>
    </w:p>
    <w:p w14:paraId="79DD905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1）县突发事件总体应急预案。总体应急预案是应急预案体系的总纲，是政府组织应对突发事件的总体制度安排，由县应急管理局制定。经专家评审和县司法局法核后，报县政府常务会议审批，以县政府名义印发，报省应急管理厅备案。   </w:t>
      </w:r>
    </w:p>
    <w:p w14:paraId="6E374E2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县突发事件专项应急预案。是县政府及其有关部门（单位）为应对某一类型或某几种类型突发事件，或者针对重要目标物保护、重大活动保障、应急资源保障等重要专项工作而预先制定的涉及多个部门职责的工作方案，由县政府有关部门（单位）牵头制定。经专家评审，报县政府审批，必要时报县政府常务会议或专题会议审议，以县政府办公室名义印发。同时，向县应急管理局备案。</w:t>
      </w:r>
    </w:p>
    <w:p w14:paraId="4C634E6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3）县突发事件部门应急预案。部门应急预案是县政府有关部门（单位）根据县突发事件总体应急预案、县专项应急预案和部门（单位）职责，为应对某一类型突发事件制定的应急预案。经专家评审后，由本部门（单位）有关会议审议，以本部门（单位）名义印发，报县应急管理局备案。</w:t>
      </w:r>
      <w:r>
        <w:rPr>
          <w:rFonts w:hint="eastAsia" w:ascii="仿宋" w:hAnsi="仿宋" w:eastAsia="仿宋" w:cs="宋体"/>
          <w:color w:val="auto"/>
          <w:kern w:val="0"/>
          <w:sz w:val="30"/>
          <w:szCs w:val="30"/>
          <w:lang w:val="en-US" w:eastAsia="zh-CN" w:bidi="ar-SA"/>
        </w:rPr>
        <w:t xml:space="preserve">  </w:t>
      </w:r>
    </w:p>
    <w:p w14:paraId="6840649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 xml:space="preserve">1.5.2 单位和基层应急预案  </w:t>
      </w:r>
      <w:r>
        <w:rPr>
          <w:rFonts w:hint="eastAsia" w:ascii="仿宋" w:hAnsi="仿宋" w:eastAsia="仿宋" w:cs="宋体"/>
          <w:color w:val="auto"/>
          <w:kern w:val="0"/>
          <w:sz w:val="30"/>
          <w:szCs w:val="30"/>
          <w:lang w:val="en-US" w:eastAsia="zh-CN" w:bidi="ar-SA"/>
        </w:rPr>
        <w:t xml:space="preserve"> </w:t>
      </w:r>
    </w:p>
    <w:p w14:paraId="313534B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（1）乡镇政府突发事件应急预案，是由乡镇政府为应对某一类型或某几种类型突发事件而制定的应急预案。由乡镇政府主要负责人签发，报县应急管理局备案。  </w:t>
      </w:r>
    </w:p>
    <w:p w14:paraId="3D1C0CB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（2）基层应急预案，是居民委员会、村民委员会在当地乡镇政府的指导帮助下制定的应急预案、工作方案或应急行动方案，报乡镇政府批准、备案。  </w:t>
      </w:r>
    </w:p>
    <w:p w14:paraId="6915B15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企事业单位应急预案，是企事业单位根据有关法律法规，在属地政府或行业主管部门指导下制定的应急预案。经专家评审后，由企事业单位主要负责人或分管负责人签发，报属地政府或行业主管部门备案后实施。</w:t>
      </w:r>
    </w:p>
    <w:p w14:paraId="38142F7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（4）重大活动应急预案，是由主办单位为举办大型会展或文化体育等重大活动而制定的应急预案。经专家评审后，报县政府审批，以县政府办公室名义印发。同时，报县应急管理局备案。</w:t>
      </w:r>
    </w:p>
    <w:p w14:paraId="2C413D1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5" w:name="_Toc20910"/>
      <w:r>
        <w:rPr>
          <w:rFonts w:hint="eastAsia" w:ascii="楷体_GB2312" w:hAnsi="Arial" w:eastAsia="楷体_GB2312" w:cs="楷体_GB2312"/>
          <w:color w:val="auto"/>
          <w:kern w:val="0"/>
          <w:sz w:val="32"/>
          <w:szCs w:val="32"/>
          <w:lang w:val="en-US" w:eastAsia="zh-CN" w:bidi="ar-SA"/>
        </w:rPr>
        <w:t>1.6 适用范围</w:t>
      </w:r>
      <w:bookmarkEnd w:id="15"/>
    </w:p>
    <w:p w14:paraId="3AA4B39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本预案适用于白沙黎族自治县行政区域内指导预防和处置突发事件，或发生在其他地区涉及本县的有关机构、单位或人员，需要由本县处置或参与处置的各类突发事件。 </w:t>
      </w:r>
    </w:p>
    <w:p w14:paraId="7274072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eastAsia="zh-CN"/>
        </w:rPr>
      </w:pPr>
      <w:bookmarkStart w:id="16" w:name="_Toc308"/>
      <w:r>
        <w:rPr>
          <w:rFonts w:hint="eastAsia" w:ascii="黑体" w:hAnsi="黑体" w:eastAsia="黑体" w:cs="Times New Roman"/>
          <w:color w:val="000000"/>
          <w:kern w:val="0"/>
          <w:sz w:val="32"/>
          <w:szCs w:val="32"/>
          <w:lang w:val="en-US" w:eastAsia="zh-CN"/>
        </w:rPr>
        <w:t xml:space="preserve">2 </w:t>
      </w:r>
      <w:r>
        <w:rPr>
          <w:rFonts w:hint="eastAsia" w:ascii="黑体" w:hAnsi="黑体" w:eastAsia="黑体" w:cs="Times New Roman"/>
          <w:color w:val="000000"/>
          <w:kern w:val="0"/>
          <w:sz w:val="32"/>
          <w:szCs w:val="32"/>
          <w:lang w:eastAsia="zh-CN"/>
        </w:rPr>
        <w:t>风险分析及应急资源调查</w:t>
      </w:r>
      <w:bookmarkEnd w:id="16"/>
    </w:p>
    <w:p w14:paraId="04F466E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000000"/>
          <w:kern w:val="0"/>
          <w:sz w:val="32"/>
          <w:szCs w:val="32"/>
          <w:lang w:val="en-US" w:eastAsia="zh-CN" w:bidi="ar-SA"/>
        </w:rPr>
      </w:pPr>
      <w:bookmarkStart w:id="17" w:name="_Toc22403"/>
      <w:r>
        <w:rPr>
          <w:rFonts w:hint="eastAsia" w:ascii="楷体_GB2312" w:hAnsi="Arial" w:eastAsia="楷体_GB2312" w:cs="楷体_GB2312"/>
          <w:color w:val="000000"/>
          <w:kern w:val="0"/>
          <w:sz w:val="32"/>
          <w:szCs w:val="32"/>
          <w:lang w:val="en-US" w:eastAsia="zh-CN" w:bidi="ar-SA"/>
        </w:rPr>
        <w:t>2.1 风险分析</w:t>
      </w:r>
      <w:bookmarkEnd w:id="17"/>
    </w:p>
    <w:p w14:paraId="26B2193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白沙黎族自治县突发事件风险分为自然灾害、事故灾难、公共卫生事件和社会安全事件4大类。</w:t>
      </w:r>
    </w:p>
    <w:p w14:paraId="189DAD8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2.1.1 自然灾害风险</w:t>
      </w:r>
    </w:p>
    <w:p w14:paraId="5707DBC2">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（一）水旱灾害</w:t>
      </w:r>
    </w:p>
    <w:p w14:paraId="3038C6B6">
      <w:pPr>
        <w:keepNext w:val="0"/>
        <w:keepLines w:val="0"/>
        <w:pageBreakBefore w:val="0"/>
        <w:widowControl w:val="0"/>
        <w:kinsoku/>
        <w:wordWrap/>
        <w:overflowPunct w:val="0"/>
        <w:topLine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白沙黎族自治县境内河流较多，内陆水域总面积6591公顷，</w:t>
      </w:r>
      <w:r>
        <w:rPr>
          <w:rFonts w:hint="default" w:ascii="仿宋_GB2312" w:hAnsi="Calibri" w:eastAsia="仿宋_GB2312" w:cs="仿宋_GB2312"/>
          <w:color w:val="auto"/>
          <w:kern w:val="0"/>
          <w:sz w:val="32"/>
          <w:szCs w:val="32"/>
          <w:lang w:val="en-US" w:eastAsia="zh-CN" w:bidi="ar-SA"/>
        </w:rPr>
        <w:t>水资源总量为29.43亿立方</w:t>
      </w:r>
      <w:r>
        <w:rPr>
          <w:rFonts w:hint="eastAsia" w:ascii="仿宋_GB2312" w:hAnsi="Calibri" w:eastAsia="仿宋_GB2312" w:cs="仿宋_GB2312"/>
          <w:color w:val="auto"/>
          <w:kern w:val="0"/>
          <w:sz w:val="32"/>
          <w:szCs w:val="32"/>
          <w:lang w:val="en-US" w:eastAsia="zh-CN" w:bidi="ar-SA"/>
        </w:rPr>
        <w:t>。以南渡江、珠碧江、石碌河为主干，大小河流30条，如南湾河、甫林河、翁村河、向民河、南美河、南坑河、南域河、南七河、木棉河、南牙河等等。易发生山洪灾害，具有突发性、区域性、季节性、破坏性等特点。</w:t>
      </w:r>
    </w:p>
    <w:p w14:paraId="2E8F085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（二）气象灾害</w:t>
      </w:r>
    </w:p>
    <w:p w14:paraId="71FA563C">
      <w:pPr>
        <w:keepNext w:val="0"/>
        <w:keepLines w:val="0"/>
        <w:pageBreakBefore w:val="0"/>
        <w:widowControl w:val="0"/>
        <w:kinsoku/>
        <w:wordWrap/>
        <w:overflowPunct w:val="0"/>
        <w:topLine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气象风险源主要有台风、暴雨、雷电、干旱、高温。由于地处海南岛中部的特殊地理条件，多年平均降雨量少，时空分布不均，干旱灾害频繁严重发生；年平均气温23.5℃，年平均降雨量1948.3mm，降雨集中在5月至10月，8月最多。5月至10月为雨季，存在发生崩塌、泥石流等地质灾害的较大可能；11月至翌年4月为旱季，对农牧业、林业、水利以及人畜饮水等造成危害。同时易受台风影响，台风来临时最大风力可达12级以上。受台风暴雨影响多在7～10月份，每年平均有1-2个台风影响我县，在台风影响下，常伴有强风暴雨，造成风灾和洪涝灾害。</w:t>
      </w:r>
    </w:p>
    <w:p w14:paraId="1986ECDA">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（三）地震灾害</w:t>
      </w:r>
    </w:p>
    <w:p w14:paraId="18D14BBA">
      <w:pPr>
        <w:keepNext w:val="0"/>
        <w:keepLines w:val="0"/>
        <w:pageBreakBefore w:val="0"/>
        <w:widowControl w:val="0"/>
        <w:kinsoku/>
        <w:wordWrap/>
        <w:overflowPunct w:val="0"/>
        <w:topLine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参照《中国地震动参数区划图》（GB18306-2001）的地震区、带划分方案，工程区地震动峰值加速度为0.05g，地震动反应谱特征周期为0.35s，对应地震基本烈度为Ⅵ度，防震减灾不容忽视。</w:t>
      </w:r>
    </w:p>
    <w:p w14:paraId="78887F64">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（四）地质灾害</w:t>
      </w:r>
    </w:p>
    <w:p w14:paraId="1A45C75A">
      <w:pPr>
        <w:keepNext w:val="0"/>
        <w:keepLines w:val="0"/>
        <w:pageBreakBefore w:val="0"/>
        <w:widowControl w:val="0"/>
        <w:kinsoku/>
        <w:wordWrap/>
        <w:overflowPunct w:val="0"/>
        <w:topLine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地质灾害隐患点共9处，分布范围为牙叉镇1处，元门乡2处，细水乡1处，南开乡3处，青松乡2处，灾害类型有崩塌、泥石流等，规模以小型为主。地质灾害重点防范期为5-10月，热带气旋（台风）暴雨期间是重点防范期，在这阶段容易发生地质灾害，所造成的危害主要表现在威胁毁坏民房、建筑物、园林等。</w:t>
      </w:r>
    </w:p>
    <w:p w14:paraId="6463A887">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（五）生物灾害</w:t>
      </w:r>
    </w:p>
    <w:p w14:paraId="522A9B28">
      <w:pPr>
        <w:keepNext w:val="0"/>
        <w:keepLines w:val="0"/>
        <w:pageBreakBefore w:val="0"/>
        <w:widowControl w:val="0"/>
        <w:kinsoku/>
        <w:wordWrap/>
        <w:overflowPunct w:val="0"/>
        <w:topLine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农作物病虫害、森林病虫害发生几率较高。农作物病虫害以鼠害和外来有害生物为主，森林病虫害主要以椰心叶甲、椰子织蛾为主。</w:t>
      </w:r>
    </w:p>
    <w:p w14:paraId="2A286BD9">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firstLine="643" w:firstLineChars="200"/>
        <w:jc w:val="both"/>
        <w:textAlignment w:val="auto"/>
        <w:outlineLvl w:val="1"/>
        <w:rPr>
          <w:rFonts w:hint="eastAsia" w:ascii="楷体_GB2312" w:hAnsi="Calibri" w:eastAsia="楷体_GB2312" w:cs="楷体_GB2312"/>
          <w:b/>
          <w:bCs/>
          <w:color w:val="auto"/>
          <w:kern w:val="0"/>
          <w:sz w:val="32"/>
          <w:szCs w:val="32"/>
          <w:lang w:val="en-US" w:eastAsia="zh-CN" w:bidi="ar-SA"/>
        </w:rPr>
      </w:pPr>
      <w:r>
        <w:rPr>
          <w:rFonts w:hint="eastAsia" w:ascii="楷体_GB2312" w:hAnsi="Calibri" w:eastAsia="楷体_GB2312" w:cs="楷体_GB2312"/>
          <w:b/>
          <w:bCs/>
          <w:color w:val="auto"/>
          <w:kern w:val="0"/>
          <w:sz w:val="32"/>
          <w:szCs w:val="32"/>
          <w:lang w:val="en-US" w:eastAsia="zh-CN" w:bidi="ar-SA"/>
        </w:rPr>
        <w:t>（六）森林灾害</w:t>
      </w:r>
    </w:p>
    <w:p w14:paraId="3072A57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sz w:val="32"/>
          <w:szCs w:val="32"/>
          <w:lang w:val="en-US" w:eastAsia="zh-CN" w:bidi="ar-SA"/>
        </w:rPr>
      </w:pPr>
      <w:r>
        <w:rPr>
          <w:rFonts w:hint="eastAsia" w:ascii="仿宋_GB2312" w:hAnsi="Calibri" w:eastAsia="仿宋_GB2312" w:cs="仿宋_GB2312"/>
          <w:color w:val="auto"/>
          <w:sz w:val="32"/>
          <w:szCs w:val="32"/>
          <w:lang w:val="en-US" w:eastAsia="zh-CN" w:bidi="ar-SA"/>
        </w:rPr>
        <w:t>森林覆盖率高，覆盖率保持在81%以上，发生重大森林火灾的可能</w:t>
      </w:r>
      <w:r>
        <w:rPr>
          <w:rFonts w:hint="eastAsia" w:ascii="仿宋_GB2312" w:hAnsi="Calibri" w:eastAsia="仿宋_GB2312" w:cs="仿宋_GB2312"/>
          <w:color w:val="000000" w:themeColor="text1"/>
          <w:sz w:val="32"/>
          <w:szCs w:val="32"/>
          <w:lang w:val="en-US" w:eastAsia="zh-CN" w:bidi="ar-SA"/>
          <w14:textFill>
            <w14:solidFill>
              <w14:schemeClr w14:val="tx1"/>
            </w14:solidFill>
          </w14:textFill>
        </w:rPr>
        <w:t>性大；白沙黎族自治县属于一级火险区，每年</w:t>
      </w:r>
      <w:r>
        <w:rPr>
          <w:rFonts w:hint="eastAsia" w:ascii="仿宋_GB2312" w:hAnsi="Calibri" w:eastAsia="仿宋_GB2312" w:cs="仿宋_GB2312"/>
          <w:color w:val="auto"/>
          <w:sz w:val="32"/>
          <w:szCs w:val="32"/>
          <w:lang w:val="en-US" w:eastAsia="zh-CN" w:bidi="ar-SA"/>
        </w:rPr>
        <w:t>3月至5月份为森林高火险期，防火形势较为严峻。</w:t>
      </w:r>
    </w:p>
    <w:p w14:paraId="7658817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2.1.2 事故灾难风险</w:t>
      </w:r>
    </w:p>
    <w:p w14:paraId="3B6B3F54">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已建危化品生产企业15家，停产危化品生产企业1家，加油站9家，烟花爆竹批发零售商1家，县城燃气企业1家，燃气分销网点13家，非煤矿山企业3家。主要危险有火灾、爆炸、泄漏、中毒、触电、高处坠落、机械伤害、物体打击、起重伤害、粉尘危害、噪声危害、烫伤灼伤等风险。</w:t>
      </w:r>
    </w:p>
    <w:p w14:paraId="1511D56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非煤矿山开采生产过程中，存在爆破作业、中毒、窒息、地压灾害、电器事故危害、坠落危害、机械伤害、水灾、粉尘和噪音、火灾事故、辐射危害和起重伤害等危害因素。地下金矿还存在坍塌、冒顶片帮、透水可能导致重大事故发生。</w:t>
      </w:r>
    </w:p>
    <w:p w14:paraId="56573D0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白沙黎族自治县交通属于山区公路，道路狭窄弯曲，加上有些路况有高边坡和滚石滑落，交通事故预防工作刻不容缓；城区部分公共场所消防设施不够健全，易造成重大生命和财产损失。</w:t>
      </w:r>
    </w:p>
    <w:p w14:paraId="0BBEB40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2.1.3 公共卫生风险</w:t>
      </w:r>
    </w:p>
    <w:p w14:paraId="6B0D7A56">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随着海南自由贸易港建设不断深入，外来人口流动快速增长，食品安全监管难度加大，在县域发生食源性中毒、炭疽病、登革热流行的可能性较大；传染性非典型肺炎、新型冠状肺炎、高致病性禽流感的传入和不明原因疾病已经发生或流行的可能性。不明食源性食物中毒时有发生；此外，由台风、地震等自然灾害也可能引发严重公共卫生事件。</w:t>
      </w:r>
    </w:p>
    <w:p w14:paraId="27A07D5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2.1.4 社会安全风险</w:t>
      </w:r>
    </w:p>
    <w:p w14:paraId="19D6FF1D">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随着白沙黎族自治县经济社会的持续发展和城镇化的推进，各项改革措施不断推出，开发建设规模迅速扩大，新的社会矛盾如土地征用、征地拆迁、土地权属纠纷、违规建筑、扶贫政策、企业改制、下岗安置、劳资纠纷、非正常上访等日益凸显，易引发群体性事件；同时，因交通事故、医患纠纷、群体械斗致残致死、治安刑事案件等引发的群体性事件也时有发生，给全县经济社会持续发展和社会安全带来较大影响。</w:t>
      </w:r>
    </w:p>
    <w:p w14:paraId="4463C8E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8" w:name="_Toc21737"/>
      <w:r>
        <w:rPr>
          <w:rFonts w:hint="eastAsia" w:ascii="楷体_GB2312" w:hAnsi="Arial" w:eastAsia="楷体_GB2312" w:cs="楷体_GB2312"/>
          <w:color w:val="auto"/>
          <w:kern w:val="0"/>
          <w:sz w:val="32"/>
          <w:szCs w:val="32"/>
          <w:lang w:val="en-US" w:eastAsia="zh-CN" w:bidi="ar-SA"/>
        </w:rPr>
        <w:t>2.2 应急资源调查</w:t>
      </w:r>
      <w:bookmarkEnd w:id="18"/>
    </w:p>
    <w:p w14:paraId="28347BF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2.2.1 人力资源</w:t>
      </w:r>
    </w:p>
    <w:p w14:paraId="5728568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（1）主要力量：白沙黎族自治县应急力量主要依托县消防救援大队、县应急管理局和县人武部应急队伍为主，根据需要协调驻县军警、预备役等部队应急队伍为突击力量。</w:t>
      </w:r>
    </w:p>
    <w:p w14:paraId="5A296301">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（2）专业力量：全县以应急管理、水务、公安、农业农村、住建、气象、医疗卫生、交通、旅游文体、市场监督、综合执法、供水、供电、供气、通讯等部门和单位成立的专业应急队伍。</w:t>
      </w:r>
    </w:p>
    <w:p w14:paraId="31251EA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（3）基层力量：各乡镇、村（居）委会建立以基层干部、企事业单位职工、退伍军人、青壮年组成的民兵应急队伍，以及社会应急队伍组成。</w:t>
      </w:r>
    </w:p>
    <w:p w14:paraId="19CCA8C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 xml:space="preserve"> 陆上资源</w:t>
      </w:r>
    </w:p>
    <w:p w14:paraId="1DBF6E0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（1）客运交通：依托县交通运输局、县旅文局等部门协调城镇公交和旅游车辆为交通运力；</w:t>
      </w:r>
    </w:p>
    <w:p w14:paraId="14B4E3A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（2）物资运力：依托县交通运输局、县发改委、县住建局、县应急管理局、县民政局、县卫健委、白沙公路分局等应急物资装备、应急抢险救灾车辆；</w:t>
      </w:r>
    </w:p>
    <w:p w14:paraId="407B4BE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default"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（3）城市应急：依托县住建局、县综合行政执法局组织排水、园林、环卫、城管、基建、综合执法等应急力量组成。</w:t>
      </w:r>
    </w:p>
    <w:p w14:paraId="3B457C1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 xml:space="preserve"> 空中资源</w:t>
      </w:r>
    </w:p>
    <w:p w14:paraId="40488DD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为山区，交通路网不便，一旦发生灾难性事件，导致陆上交通无法通行，白沙黎族自治县要在县城及偏远山区依托学校操场、文化广场、公园等建设救援直升机起降场。依托海南本岛民用通航救援直升机，协调中信海直通用航空直升机、上海金汇通用航空直升机和南海第一救助飞行队救援直升机等单位航空应急救援力量。</w:t>
      </w:r>
    </w:p>
    <w:p w14:paraId="53DC534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4</w:t>
      </w:r>
      <w:r>
        <w:rPr>
          <w:rFonts w:hint="eastAsia" w:ascii="仿宋_GB2312" w:hAnsi="Calibri" w:eastAsia="仿宋_GB2312" w:cs="仿宋_GB2312"/>
          <w:color w:val="auto"/>
          <w:kern w:val="0"/>
          <w:sz w:val="32"/>
          <w:szCs w:val="32"/>
          <w:lang w:val="en-US" w:eastAsia="zh-CN" w:bidi="ar-SA"/>
        </w:rPr>
        <w:t xml:space="preserve"> 医疗资源</w:t>
      </w:r>
    </w:p>
    <w:p w14:paraId="37D0CD91">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全县现有医疗卫生机构124家，其中，综合医院5家，疾控预防控制中心1家，妇幼保健院1家，计划生育服务中心1家，皮肤性病与精神卫生防治所1家，卫生院（含卫生院门诊部和社区卫生服务中心）15家，诊所30家，村卫生室69家。全县共有病床位611张；各类医疗卫生技术人员859人。</w:t>
      </w:r>
    </w:p>
    <w:p w14:paraId="7253DC6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5</w:t>
      </w:r>
      <w:r>
        <w:rPr>
          <w:rFonts w:hint="eastAsia" w:ascii="仿宋_GB2312" w:hAnsi="Calibri" w:eastAsia="仿宋_GB2312" w:cs="仿宋_GB2312"/>
          <w:color w:val="auto"/>
          <w:kern w:val="0"/>
          <w:sz w:val="32"/>
          <w:szCs w:val="32"/>
          <w:lang w:val="en-US" w:eastAsia="zh-CN" w:bidi="ar-SA"/>
        </w:rPr>
        <w:t xml:space="preserve"> 避难场所</w:t>
      </w:r>
    </w:p>
    <w:p w14:paraId="45057A0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白沙黎族自治县有2处避难场所，分别是白沙黎族自治县文化广场和白沙黎族自治县体育广场；依托各乡镇政府、村（居）委会建有多个临时安置点；依托全县中、小学校设立的临时避难场所。</w:t>
      </w:r>
    </w:p>
    <w:p w14:paraId="17F5974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6</w:t>
      </w:r>
      <w:r>
        <w:rPr>
          <w:rFonts w:hint="eastAsia" w:ascii="仿宋_GB2312" w:hAnsi="Calibri" w:eastAsia="仿宋_GB2312" w:cs="仿宋_GB2312"/>
          <w:color w:val="auto"/>
          <w:kern w:val="0"/>
          <w:sz w:val="32"/>
          <w:szCs w:val="32"/>
          <w:lang w:val="en-US" w:eastAsia="zh-CN" w:bidi="ar-SA"/>
        </w:rPr>
        <w:t xml:space="preserve"> 应急装备</w:t>
      </w:r>
    </w:p>
    <w:p w14:paraId="1CF05FD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目前，全县以应急管理、公安、消防、水务、交通、农业农村、医疗卫生、住建、资规、通信、电力等部门和单位都配备相应的应急救援装备，基本满足应急所需。</w:t>
      </w:r>
    </w:p>
    <w:p w14:paraId="1650C83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各乡镇政府、各部门、各单位根据白沙黎族自治县财力状况和工作需要申请补充，并储备一些应急救援装备。</w:t>
      </w:r>
    </w:p>
    <w:p w14:paraId="188A15E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2.2.</w:t>
      </w:r>
      <w:r>
        <w:rPr>
          <w:rFonts w:hint="default" w:ascii="仿宋_GB2312" w:hAnsi="Calibri" w:eastAsia="仿宋_GB2312" w:cs="仿宋_GB2312"/>
          <w:color w:val="auto"/>
          <w:kern w:val="0"/>
          <w:sz w:val="32"/>
          <w:szCs w:val="32"/>
          <w:lang w:val="en-US" w:eastAsia="zh-CN" w:bidi="ar-SA"/>
        </w:rPr>
        <w:t>7</w:t>
      </w:r>
      <w:r>
        <w:rPr>
          <w:rFonts w:hint="eastAsia" w:ascii="仿宋_GB2312" w:hAnsi="Calibri" w:eastAsia="仿宋_GB2312" w:cs="仿宋_GB2312"/>
          <w:color w:val="auto"/>
          <w:kern w:val="0"/>
          <w:sz w:val="32"/>
          <w:szCs w:val="32"/>
          <w:lang w:val="en-US" w:eastAsia="zh-CN" w:bidi="ar-SA"/>
        </w:rPr>
        <w:t xml:space="preserve"> 应急物资</w:t>
      </w:r>
    </w:p>
    <w:p w14:paraId="259D3C6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各乡镇政府、各部门、各单位</w:t>
      </w:r>
      <w:r>
        <w:rPr>
          <w:rFonts w:hint="default" w:ascii="仿宋_GB2312" w:hAnsi="Calibri" w:eastAsia="仿宋_GB2312" w:cs="仿宋_GB2312"/>
          <w:color w:val="auto"/>
          <w:kern w:val="0"/>
          <w:sz w:val="32"/>
          <w:szCs w:val="32"/>
          <w:lang w:val="en-US" w:eastAsia="zh-CN" w:bidi="ar-SA"/>
        </w:rPr>
        <w:t>按照职能分工做好应急物资储备工作。</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应急管理局负责应急救灾物资和</w:t>
      </w:r>
      <w:r>
        <w:rPr>
          <w:rFonts w:hint="eastAsia" w:ascii="仿宋_GB2312" w:hAnsi="Calibri" w:eastAsia="仿宋_GB2312" w:cs="仿宋_GB2312"/>
          <w:color w:val="auto"/>
          <w:kern w:val="0"/>
          <w:sz w:val="32"/>
          <w:szCs w:val="32"/>
          <w:lang w:val="en-US" w:eastAsia="zh-CN" w:bidi="ar-SA"/>
        </w:rPr>
        <w:t>抗旱抗震</w:t>
      </w:r>
      <w:r>
        <w:rPr>
          <w:rFonts w:hint="default" w:ascii="仿宋_GB2312" w:hAnsi="Calibri" w:eastAsia="仿宋_GB2312" w:cs="仿宋_GB2312"/>
          <w:color w:val="auto"/>
          <w:kern w:val="0"/>
          <w:sz w:val="32"/>
          <w:szCs w:val="32"/>
          <w:lang w:val="en-US" w:eastAsia="zh-CN" w:bidi="ar-SA"/>
        </w:rPr>
        <w:t>应急物资储备</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卫健委负责医疗卫生应急物资储备；</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发改委负责粮食和重要基本生活物资储备</w:t>
      </w:r>
      <w:r>
        <w:rPr>
          <w:rFonts w:hint="eastAsia" w:ascii="仿宋_GB2312" w:hAnsi="Calibri" w:eastAsia="仿宋_GB2312" w:cs="仿宋_GB2312"/>
          <w:color w:val="auto"/>
          <w:kern w:val="0"/>
          <w:sz w:val="32"/>
          <w:szCs w:val="32"/>
          <w:lang w:val="en-US" w:eastAsia="zh-CN" w:bidi="ar-SA"/>
        </w:rPr>
        <w:t>和</w:t>
      </w:r>
      <w:r>
        <w:rPr>
          <w:rFonts w:hint="default" w:ascii="仿宋_GB2312" w:hAnsi="Calibri" w:eastAsia="仿宋_GB2312" w:cs="仿宋_GB2312"/>
          <w:color w:val="auto"/>
          <w:kern w:val="0"/>
          <w:sz w:val="32"/>
          <w:szCs w:val="32"/>
          <w:lang w:val="en-US" w:eastAsia="zh-CN" w:bidi="ar-SA"/>
        </w:rPr>
        <w:t>生活必需品应急物资投放；</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交通运输局、</w:t>
      </w:r>
      <w:r>
        <w:rPr>
          <w:rFonts w:hint="eastAsia" w:ascii="仿宋_GB2312" w:hAnsi="Calibri" w:eastAsia="仿宋_GB2312" w:cs="仿宋_GB2312"/>
          <w:color w:val="auto"/>
          <w:kern w:val="0"/>
          <w:sz w:val="32"/>
          <w:szCs w:val="32"/>
          <w:lang w:val="en-US" w:eastAsia="zh-CN" w:bidi="ar-SA"/>
        </w:rPr>
        <w:t>白沙</w:t>
      </w:r>
      <w:r>
        <w:rPr>
          <w:rFonts w:hint="default" w:ascii="仿宋_GB2312" w:hAnsi="Calibri" w:eastAsia="仿宋_GB2312" w:cs="仿宋_GB2312"/>
          <w:color w:val="auto"/>
          <w:kern w:val="0"/>
          <w:sz w:val="32"/>
          <w:szCs w:val="32"/>
          <w:lang w:val="en-US" w:eastAsia="zh-CN" w:bidi="ar-SA"/>
        </w:rPr>
        <w:t>公路分局负责道路交通运输工具应急物资储备；</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公安局、武警中队、</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人武部负责反恐防</w:t>
      </w:r>
      <w:r>
        <w:rPr>
          <w:rFonts w:hint="eastAsia" w:ascii="仿宋_GB2312" w:hAnsi="Calibri" w:eastAsia="仿宋_GB2312" w:cs="仿宋_GB2312"/>
          <w:color w:val="auto"/>
          <w:kern w:val="0"/>
          <w:sz w:val="32"/>
          <w:szCs w:val="32"/>
          <w:lang w:val="en-US" w:eastAsia="zh-CN" w:bidi="ar-SA"/>
        </w:rPr>
        <w:t>暴</w:t>
      </w:r>
      <w:r>
        <w:rPr>
          <w:rFonts w:hint="default" w:ascii="仿宋_GB2312" w:hAnsi="Calibri" w:eastAsia="仿宋_GB2312" w:cs="仿宋_GB2312"/>
          <w:color w:val="auto"/>
          <w:kern w:val="0"/>
          <w:sz w:val="32"/>
          <w:szCs w:val="32"/>
          <w:lang w:val="en-US" w:eastAsia="zh-CN" w:bidi="ar-SA"/>
        </w:rPr>
        <w:t>应急物资储备；</w:t>
      </w:r>
      <w:r>
        <w:rPr>
          <w:rFonts w:hint="eastAsia" w:ascii="仿宋_GB2312" w:hAnsi="Calibri" w:eastAsia="仿宋_GB2312" w:cs="仿宋_GB2312"/>
          <w:color w:val="auto"/>
          <w:kern w:val="0"/>
          <w:sz w:val="32"/>
          <w:szCs w:val="32"/>
          <w:lang w:val="en-US" w:eastAsia="zh-CN" w:bidi="ar-SA"/>
        </w:rPr>
        <w:t>县水务事务中心</w:t>
      </w:r>
      <w:r>
        <w:rPr>
          <w:rFonts w:hint="default" w:ascii="仿宋_GB2312" w:hAnsi="Calibri" w:eastAsia="仿宋_GB2312" w:cs="仿宋_GB2312"/>
          <w:color w:val="auto"/>
          <w:kern w:val="0"/>
          <w:sz w:val="32"/>
          <w:szCs w:val="32"/>
          <w:lang w:val="en-US" w:eastAsia="zh-CN" w:bidi="ar-SA"/>
        </w:rPr>
        <w:t>负责防汛工程抢险物料应急物资储备；</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消防救援</w:t>
      </w:r>
      <w:r>
        <w:rPr>
          <w:rFonts w:hint="eastAsia" w:ascii="仿宋_GB2312" w:hAnsi="Calibri" w:eastAsia="仿宋_GB2312" w:cs="仿宋_GB2312"/>
          <w:color w:val="auto"/>
          <w:kern w:val="0"/>
          <w:sz w:val="32"/>
          <w:szCs w:val="32"/>
          <w:lang w:val="en-US" w:eastAsia="zh-CN" w:bidi="ar-SA"/>
        </w:rPr>
        <w:t>大</w:t>
      </w:r>
      <w:r>
        <w:rPr>
          <w:rFonts w:hint="default" w:ascii="仿宋_GB2312" w:hAnsi="Calibri" w:eastAsia="仿宋_GB2312" w:cs="仿宋_GB2312"/>
          <w:color w:val="auto"/>
          <w:kern w:val="0"/>
          <w:sz w:val="32"/>
          <w:szCs w:val="32"/>
          <w:lang w:val="en-US" w:eastAsia="zh-CN" w:bidi="ar-SA"/>
        </w:rPr>
        <w:t>队负责消防灭火、综合救援等应急装备物资储备；</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生态环境局负责环境监测和污染处置应急物资储备；</w:t>
      </w:r>
      <w:r>
        <w:rPr>
          <w:rFonts w:hint="eastAsia" w:ascii="仿宋_GB2312" w:hAnsi="Calibri" w:eastAsia="仿宋_GB2312" w:cs="仿宋_GB2312"/>
          <w:color w:val="auto"/>
          <w:kern w:val="0"/>
          <w:sz w:val="32"/>
          <w:szCs w:val="32"/>
          <w:lang w:val="en-US" w:eastAsia="zh-CN" w:bidi="ar-SA"/>
        </w:rPr>
        <w:t>白沙</w:t>
      </w:r>
      <w:r>
        <w:rPr>
          <w:rFonts w:hint="default" w:ascii="仿宋_GB2312" w:hAnsi="Calibri" w:eastAsia="仿宋_GB2312" w:cs="仿宋_GB2312"/>
          <w:color w:val="auto"/>
          <w:kern w:val="0"/>
          <w:sz w:val="32"/>
          <w:szCs w:val="32"/>
          <w:lang w:val="en-US" w:eastAsia="zh-CN" w:bidi="ar-SA"/>
        </w:rPr>
        <w:t>供电局负责应急电源车和电力抢修应急物资储备；</w:t>
      </w:r>
      <w:r>
        <w:rPr>
          <w:rFonts w:hint="eastAsia" w:ascii="仿宋_GB2312" w:hAnsi="Calibri" w:eastAsia="仿宋_GB2312" w:cs="仿宋_GB2312"/>
          <w:color w:val="auto"/>
          <w:kern w:val="0"/>
          <w:sz w:val="32"/>
          <w:szCs w:val="32"/>
          <w:lang w:val="en-US" w:eastAsia="zh-CN" w:bidi="ar-SA"/>
        </w:rPr>
        <w:t>各乡镇政府</w:t>
      </w:r>
      <w:r>
        <w:rPr>
          <w:rFonts w:hint="default" w:ascii="仿宋_GB2312" w:hAnsi="Calibri" w:eastAsia="仿宋_GB2312" w:cs="仿宋_GB2312"/>
          <w:color w:val="auto"/>
          <w:kern w:val="0"/>
          <w:sz w:val="32"/>
          <w:szCs w:val="32"/>
          <w:lang w:val="en-US" w:eastAsia="zh-CN" w:bidi="ar-SA"/>
        </w:rPr>
        <w:t>根据地方财政预算每年适当增加应急所需物资；各有关单位按照工作需要，加强应急</w:t>
      </w:r>
      <w:r>
        <w:rPr>
          <w:rFonts w:hint="eastAsia" w:ascii="仿宋_GB2312" w:hAnsi="Calibri" w:eastAsia="仿宋_GB2312" w:cs="仿宋_GB2312"/>
          <w:color w:val="auto"/>
          <w:kern w:val="0"/>
          <w:sz w:val="32"/>
          <w:szCs w:val="32"/>
          <w:lang w:val="en-US" w:eastAsia="zh-CN" w:bidi="ar-SA"/>
        </w:rPr>
        <w:t>物资</w:t>
      </w:r>
      <w:r>
        <w:rPr>
          <w:rFonts w:hint="default" w:ascii="仿宋_GB2312" w:hAnsi="Calibri" w:eastAsia="仿宋_GB2312" w:cs="仿宋_GB2312"/>
          <w:color w:val="auto"/>
          <w:kern w:val="0"/>
          <w:sz w:val="32"/>
          <w:szCs w:val="32"/>
          <w:lang w:val="en-US" w:eastAsia="zh-CN" w:bidi="ar-SA"/>
        </w:rPr>
        <w:t>的配备和储备。确保应急物资及时供应，加强对应急物资的监督和管理，对各类应急物资要及时补充和更新。</w:t>
      </w:r>
    </w:p>
    <w:p w14:paraId="33FBC91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仿宋" w:hAnsi="仿宋" w:eastAsia="仿宋" w:cs="Times New Roman"/>
          <w:color w:val="auto"/>
          <w:sz w:val="30"/>
          <w:szCs w:val="30"/>
        </w:rPr>
      </w:pPr>
      <w:bookmarkStart w:id="19" w:name="_Toc3821"/>
      <w:r>
        <w:rPr>
          <w:rFonts w:hint="eastAsia" w:ascii="黑体" w:hAnsi="黑体" w:eastAsia="黑体" w:cs="Times New Roman"/>
          <w:color w:val="000000"/>
          <w:kern w:val="0"/>
          <w:sz w:val="32"/>
          <w:szCs w:val="32"/>
          <w:lang w:val="en-US" w:eastAsia="zh-CN"/>
        </w:rPr>
        <w:t>3 组织机构</w:t>
      </w:r>
      <w:bookmarkEnd w:id="19"/>
      <w:r>
        <w:rPr>
          <w:rFonts w:hint="eastAsia" w:ascii="黑体" w:hAnsi="黑体" w:eastAsia="黑体" w:cs="Times New Roman"/>
          <w:color w:val="000000"/>
          <w:kern w:val="0"/>
          <w:sz w:val="32"/>
          <w:szCs w:val="32"/>
          <w:lang w:val="en-US" w:eastAsia="zh-CN"/>
        </w:rPr>
        <w:t xml:space="preserve">   </w:t>
      </w:r>
      <w:r>
        <w:rPr>
          <w:rFonts w:hint="eastAsia" w:ascii="仿宋" w:hAnsi="仿宋" w:eastAsia="仿宋" w:cs="Times New Roman"/>
          <w:color w:val="auto"/>
          <w:sz w:val="30"/>
          <w:szCs w:val="30"/>
        </w:rPr>
        <w:t xml:space="preserve"> </w:t>
      </w:r>
    </w:p>
    <w:p w14:paraId="72B4A60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仿宋" w:hAnsi="仿宋" w:eastAsia="仿宋" w:cs="Times New Roman"/>
          <w:b/>
          <w:bCs/>
          <w:color w:val="auto"/>
          <w:kern w:val="0"/>
          <w:sz w:val="30"/>
          <w:szCs w:val="30"/>
        </w:rPr>
      </w:pPr>
      <w:bookmarkStart w:id="20" w:name="_Toc28842"/>
      <w:r>
        <w:rPr>
          <w:rFonts w:hint="eastAsia" w:ascii="楷体_GB2312" w:hAnsi="Arial" w:eastAsia="楷体_GB2312" w:cs="楷体_GB2312"/>
          <w:color w:val="auto"/>
          <w:kern w:val="0"/>
          <w:sz w:val="32"/>
          <w:szCs w:val="32"/>
          <w:lang w:val="en-US" w:eastAsia="zh-CN" w:bidi="ar-SA"/>
        </w:rPr>
        <w:t>3.1 县级组织机构</w:t>
      </w:r>
      <w:bookmarkEnd w:id="20"/>
      <w:r>
        <w:rPr>
          <w:rFonts w:hint="eastAsia" w:ascii="楷体_GB2312" w:hAnsi="Arial" w:eastAsia="楷体_GB2312" w:cs="楷体_GB2312"/>
          <w:color w:val="auto"/>
          <w:kern w:val="0"/>
          <w:sz w:val="32"/>
          <w:szCs w:val="32"/>
          <w:lang w:val="en-US" w:eastAsia="zh-CN" w:bidi="ar-SA"/>
        </w:rPr>
        <w:t xml:space="preserve"> </w:t>
      </w:r>
      <w:r>
        <w:rPr>
          <w:rFonts w:hint="eastAsia" w:ascii="仿宋" w:hAnsi="仿宋" w:eastAsia="仿宋" w:cs="Times New Roman"/>
          <w:b/>
          <w:bCs/>
          <w:color w:val="auto"/>
          <w:kern w:val="0"/>
          <w:sz w:val="30"/>
          <w:szCs w:val="30"/>
        </w:rPr>
        <w:t xml:space="preserve"> </w:t>
      </w:r>
    </w:p>
    <w:p w14:paraId="7ED6A9B8">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Times New Roman" w:hAnsi="Times New Roman" w:eastAsia="仿宋" w:cs="Times New Roman"/>
          <w:b/>
          <w:bCs/>
          <w:color w:val="auto"/>
          <w:sz w:val="30"/>
          <w:szCs w:val="30"/>
          <w:lang w:eastAsia="zh-CN"/>
        </w:rPr>
      </w:pPr>
      <w:r>
        <w:rPr>
          <w:rFonts w:hint="eastAsia" w:ascii="仿宋_GB2312" w:hAnsi="Calibri" w:eastAsia="仿宋_GB2312" w:cs="仿宋_GB2312"/>
          <w:color w:val="auto"/>
          <w:kern w:val="0"/>
          <w:sz w:val="32"/>
          <w:szCs w:val="32"/>
          <w:lang w:val="en-US" w:eastAsia="zh-CN" w:bidi="ar-SA"/>
        </w:rPr>
        <w:t>3.1.1 领导机构</w:t>
      </w:r>
    </w:p>
    <w:p w14:paraId="3D274F9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人民政府根据突发事件应对工作需要，设立县突发事件应急管理委员会（以下简称“县应急委”），主要负责县政府应对突发事件的管理、协调、决策、指挥机构，由县政府授权，统一领导全县突发事件的应急管理工作。</w:t>
      </w:r>
    </w:p>
    <w:p w14:paraId="2FCDCCE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县应急委主任：县政府县长</w:t>
      </w:r>
    </w:p>
    <w:p w14:paraId="0B066C4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常务副主任：县政府常务副县长</w:t>
      </w:r>
    </w:p>
    <w:p w14:paraId="2ED248E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副主任：县公安局局长，县人武部部长，县政府分管行业各领域副县长。</w:t>
      </w:r>
    </w:p>
    <w:p w14:paraId="23716D54">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成员：县委宣传部（县政府新闻办）、县委政法委、县人武部、县政府办、县发改委（县科工信局、县商务局、县粮食局）、县财政局、县公安局、县住建局、县卫健委、县交通运输局、县自然资源和规划局、县生态环境局、县人社局、县教育局、县农业农村局、县水务事务中心、县旅文局、县民政局、县应急管理局、县司法局、县市场监督管理局、团县委、县综合行政执法局、县气象局、县消防救援大队、白沙供电局、白沙公路分局、县红十字会、中国石化销售股份有限公司海南白沙石油分公司、中石油海南销售有限公司、中国电信白沙分公司、中国移动白沙分公司、中国联合网络通信有限公司白沙县分公司、县自来水公司等部门（单位）主要负责人，以及牙叉镇、七坊镇、打安镇、邦溪镇、元门乡、金波乡、荣邦乡、细水乡、阜龙乡、南开乡、青松乡等政府主要负责人组成。</w:t>
      </w:r>
    </w:p>
    <w:p w14:paraId="14F36962">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b/>
          <w:bCs/>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主要职责：</w:t>
      </w:r>
    </w:p>
    <w:p w14:paraId="7599EBA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（1）根据需要组织召开会议，听取各乡镇政府、县政府各有关部门关于突发事件预防、应急准备、应急处置和事后恢复与重建工作的汇报，分析突发事件的重要信息、发展趋势；</w:t>
      </w:r>
    </w:p>
    <w:p w14:paraId="37BCB72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（2）审议、决定突发事件应对工作中的重大事项，统一领导和协调全县各类突发事件应急处置机构；</w:t>
      </w:r>
    </w:p>
    <w:p w14:paraId="2B69A436">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（3）决定启动应急预警、响应和县突发事件专项应急预案；</w:t>
      </w:r>
    </w:p>
    <w:p w14:paraId="2188B87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（4）组织力量处置一般（Ⅳ级）、较大（Ⅲ级）突发事件，先期处置重大（Ⅱ级）、特别重大（I级）突发事件；</w:t>
      </w:r>
    </w:p>
    <w:p w14:paraId="712697E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（5）检查、督促各乡镇政府、各有关部门贯彻落实国家有关维护社会稳定、保障人民生命和财产安全的有关法律和政策，及时协调应急工作中出现的重大问题；</w:t>
      </w:r>
    </w:p>
    <w:p w14:paraId="7B7776C6">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（6）承办县委、县人民政府和省应急委交办的其他工作。</w:t>
      </w:r>
    </w:p>
    <w:p w14:paraId="4D010B7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3.1.2 办事机构</w:t>
      </w:r>
    </w:p>
    <w:p w14:paraId="33EC631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县应急委下设办公室，作为县应急委的日常办事机构。县应急委办公室设在县应急管理局，办公室主任由县应急管理局局长兼任，主要职责是：</w:t>
      </w:r>
    </w:p>
    <w:p w14:paraId="78576EA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（1）承担县政府突发事件统一信息系统、应急指挥系统的日常管理工作；</w:t>
      </w:r>
    </w:p>
    <w:p w14:paraId="25E3BF9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（2）督促落实县应急委作出的决定和指示，汇总有关突发事件各种重要信息，进行综合分析，并提出建议；</w:t>
      </w:r>
    </w:p>
    <w:p w14:paraId="7DB379D4">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（3）组织拟定县政府应对突发事件的工作规划和分管应急预案；</w:t>
      </w:r>
    </w:p>
    <w:p w14:paraId="49CEA6DB">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（4）督促检查各乡镇政府、县政府有关部门应急预案的制定、修订工作和突发事件预防、应急准备、监测预警、应急处置、灾害评估和恢复重建工作，并给予指导；</w:t>
      </w:r>
    </w:p>
    <w:p w14:paraId="24B0F8F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（5）负责组织指导专家组和应急救援队伍、志愿者队伍建设；</w:t>
      </w:r>
    </w:p>
    <w:p w14:paraId="036A518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（6）督促指导各乡镇政府、各部门应急预案修编、演练、评估和备案工作；</w:t>
      </w:r>
    </w:p>
    <w:p w14:paraId="24DEAC4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（7）组织制定安全常识、应急知识宣传教育培训计划，制定应急救援队伍业务培训和演练计划，报县政府批准后督促落实；</w:t>
      </w:r>
    </w:p>
    <w:p w14:paraId="6F1C87BD">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（8）负责县应急联动指挥平台建设；指导各专业应急平台、各乡镇政府应急联动指挥平台数据库建设；</w:t>
      </w:r>
    </w:p>
    <w:p w14:paraId="6E9A190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（9）承担县应急委交办的其他工作。</w:t>
      </w:r>
    </w:p>
    <w:p w14:paraId="4044343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3.1.3 专家组</w:t>
      </w:r>
    </w:p>
    <w:p w14:paraId="2D100713">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委及各专项应急指挥部建立全县各类专业人才库，依托省应急管理专家库资源，根据实际需要聘请各部门、各单位从事和负责应急工作的技术人员组成的专家组。县应急委专家组由应急管理、综合减灾、安全生产、环境保护、社会安全、公共卫生等相关领域的技术和管理专家组成，其主要职责是：</w:t>
      </w:r>
    </w:p>
    <w:p w14:paraId="57A8750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（1）为全县中长期公共安全规划、信息系统的建设与管理、灾害科学最新发展趋势的跟踪等方面提供意见和建议；</w:t>
      </w:r>
    </w:p>
    <w:p w14:paraId="55659E4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（2）对本县各类突发事件的发生和发展趋势、救灾方案、处置办法、灾害损失和恢复方案等进行研究、论证和评估，并提出相关建议；</w:t>
      </w:r>
    </w:p>
    <w:p w14:paraId="6CA6BDDD">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（3）为各类突发事件相关应急处置工作提供科学有效的决策咨询方案；</w:t>
      </w:r>
    </w:p>
    <w:p w14:paraId="3D4EBA0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（4）参与拟订、修订突发事件应急预案相关工作；</w:t>
      </w:r>
    </w:p>
    <w:p w14:paraId="483CCA9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（5）为公众提供突发事件有关自救互救、防灾避险等咨询指导。</w:t>
      </w:r>
    </w:p>
    <w:p w14:paraId="56DEC58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3.1.4 专项应急指挥部</w:t>
      </w:r>
    </w:p>
    <w:p w14:paraId="1E6484C4">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根据突发事件的分类，县应急委下设各专项应急指挥部，各专项应急指挥部负责组织、指挥本领域突发事件的应急处置工作。</w:t>
      </w:r>
    </w:p>
    <w:p w14:paraId="5E069E54">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专项应急指挥部指挥长由县长或分管副县长（或县政府指定的负责人）兼任，成员由事发地乡镇政府、负责突发事件处置的牵头部门、相关应急联动及应急保障部门负责人组成。各专项应急指挥部办公室设在负责突发事件处置的牵头单位，指挥部办公室主任由牵头单位主要领导兼任。各专项应急指挥部办公室作为办事机构，负责县专项应急指挥部日常工作。各专项应急指挥部主要职责：</w:t>
      </w:r>
    </w:p>
    <w:p w14:paraId="65C321E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（1）贯彻落实相关突发事件应对法律法规；</w:t>
      </w:r>
    </w:p>
    <w:p w14:paraId="13A047B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（2）研究制定本县应对相关突发事件的政策措施和指导意见；</w:t>
      </w:r>
    </w:p>
    <w:p w14:paraId="7E6B1AF3">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（3）具体指挥本县相关特别重大、重大突发事件应急先期处置工作，协调指挥开展相关较大、一般突发事件应急处置工作；</w:t>
      </w:r>
    </w:p>
    <w:p w14:paraId="21D3DEB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（4）分析总结本县相关突发事件应对工作，制定工作规划和年度工作计划；</w:t>
      </w:r>
    </w:p>
    <w:p w14:paraId="4AB93AE6">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（5）负责本指挥部所属的应急救援队伍、应急物资建设和管理工作；</w:t>
      </w:r>
    </w:p>
    <w:p w14:paraId="7B2878E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（6）承担县应急委交办的其他任务。</w:t>
      </w:r>
    </w:p>
    <w:p w14:paraId="6E034F8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3.1.5 成员单位</w:t>
      </w:r>
    </w:p>
    <w:p w14:paraId="40F24AAE">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县委宣传部（县政府新闻办）：</w:t>
      </w:r>
      <w:r>
        <w:rPr>
          <w:rFonts w:hint="eastAsia" w:ascii="仿宋_GB2312" w:hAnsi="Calibri" w:eastAsia="仿宋_GB2312" w:cs="仿宋_GB2312"/>
          <w:color w:val="auto"/>
          <w:kern w:val="0"/>
          <w:sz w:val="32"/>
          <w:szCs w:val="32"/>
          <w:lang w:val="en-US" w:eastAsia="zh-CN" w:bidi="ar-SA"/>
        </w:rPr>
        <w:t>统筹指导全县舆情信息工作，组织协调开展舆情信息收集分析研判，研究掌握宣传舆情动态，指导有关方面做好舆情应对，引导社会舆论；针对县重大问题和突发事件，及时提出对外宣传对策，组织县突发事件应急新闻发布工作；指导推进全县党政部门、重点行业网络安全保障和信息化工作；负责全县互联网信息内容建设管理，统筹协调组织全县网上舆论工作，维护互联网意识形态安全。</w:t>
      </w:r>
    </w:p>
    <w:p w14:paraId="6ACFF40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县委政法委：</w:t>
      </w:r>
      <w:r>
        <w:rPr>
          <w:rFonts w:hint="eastAsia" w:ascii="仿宋_GB2312" w:hAnsi="Calibri" w:eastAsia="仿宋_GB2312" w:cs="仿宋_GB2312"/>
          <w:color w:val="auto"/>
          <w:kern w:val="0"/>
          <w:sz w:val="32"/>
          <w:szCs w:val="32"/>
          <w:lang w:val="en-US" w:eastAsia="zh-CN" w:bidi="ar-SA"/>
        </w:rPr>
        <w:t>创新完善多部门参与的综治维稳工作机制，协调推动预防、化解影响稳定的社会矛盾和风险，协调应对和处置重大突发事件；组织、协调、指导一定时期内的政法工作和社会治安综合治理工作、维护社会稳定工作，并督促贯彻落实。</w:t>
      </w:r>
    </w:p>
    <w:p w14:paraId="0CB77AF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县人武部：</w:t>
      </w:r>
      <w:r>
        <w:rPr>
          <w:rFonts w:hint="eastAsia" w:ascii="仿宋_GB2312" w:hAnsi="Calibri" w:eastAsia="仿宋_GB2312" w:cs="仿宋_GB2312"/>
          <w:color w:val="auto"/>
          <w:kern w:val="0"/>
          <w:sz w:val="32"/>
          <w:szCs w:val="32"/>
          <w:lang w:val="en-US" w:eastAsia="zh-CN" w:bidi="ar-SA"/>
        </w:rPr>
        <w:t>负责组织民兵和协调驻县军警、预备役部队参与应急抢险救援救灾工作；协助维护突发事件发生地的治安秩序。</w:t>
      </w:r>
    </w:p>
    <w:p w14:paraId="4718C1E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县政府办：</w:t>
      </w:r>
      <w:r>
        <w:rPr>
          <w:rFonts w:hint="eastAsia" w:ascii="仿宋_GB2312" w:hAnsi="Calibri" w:eastAsia="仿宋_GB2312" w:cs="仿宋_GB2312"/>
          <w:color w:val="auto"/>
          <w:kern w:val="0"/>
          <w:sz w:val="32"/>
          <w:szCs w:val="32"/>
          <w:lang w:val="en-US" w:eastAsia="zh-CN" w:bidi="ar-SA"/>
        </w:rPr>
        <w:t>督促检查各乡镇政府和县政府各部门对县政府决定事项及县领导批示指示的贯彻落实情况，及时向县政府领导报告；传达和督促落实县政府领导指示，协助处理各乡镇政府和县政府各部门向县政府反映的重要问题；负责全县政务公开日常工作，负责指导、监督全县政府信息公开工作。</w:t>
      </w:r>
    </w:p>
    <w:p w14:paraId="142EF39A">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县发展和改革委员会（县科工信局、县商务局、县粮食局）：</w:t>
      </w:r>
      <w:r>
        <w:rPr>
          <w:rFonts w:hint="eastAsia" w:ascii="仿宋_GB2312" w:hAnsi="Calibri" w:eastAsia="仿宋_GB2312" w:cs="仿宋_GB2312"/>
          <w:color w:val="auto"/>
          <w:kern w:val="0"/>
          <w:sz w:val="32"/>
          <w:szCs w:val="32"/>
          <w:lang w:val="en-US" w:eastAsia="zh-CN" w:bidi="ar-SA"/>
        </w:rPr>
        <w:t>组织实施国家战略和应急储备物资的收储、轮换和管理；负责粮食和物资储备基础设施的建设和管理；负责全县粮食流通的管理监督；负责对管理的政府储备、企业储备以及储备政策落实情况进行监督检查。</w:t>
      </w:r>
    </w:p>
    <w:p w14:paraId="200AA1F1">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负责建立和完善全县工业和信息化信息服务系统及联系渠道；统筹推进全县信息化工作，指导协调全县电子政务发展；依法对信息服务市</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场进行监管；指导、协调、促进全县中小企业的改革与发展。负责具体落实全县党政部门、重点行业网络安全保障和信息化工作。</w:t>
      </w:r>
    </w:p>
    <w:p w14:paraId="44E75F9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监测预测全县价格总水平的变动，研究提出价格总水平的调控目标、价格政策措施和价格改革的建议；研究制定政府管理的重要商品和服务价格、收费方案及标准并组织实施；组织重要农产品、重要商品和服务项目的成本调查和成本监审，提供全县价格公共服务，制定价格规则。</w:t>
      </w:r>
    </w:p>
    <w:p w14:paraId="6FA089AA">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县财政局：</w:t>
      </w:r>
      <w:r>
        <w:rPr>
          <w:rFonts w:hint="eastAsia" w:ascii="仿宋_GB2312" w:hAnsi="Calibri" w:eastAsia="仿宋_GB2312" w:cs="仿宋_GB2312"/>
          <w:color w:val="auto"/>
          <w:kern w:val="0"/>
          <w:sz w:val="32"/>
          <w:szCs w:val="32"/>
          <w:lang w:val="en-US" w:eastAsia="zh-CN" w:bidi="ar-SA"/>
        </w:rPr>
        <w:t>负责安排应急处置与救援经费的紧急拨付，负责突发事件灾后重建所需资金的计划、调度；负责将应对全县突发事件应急管理方面的资金纳入财政年度预算，并做好监督管理工作；规范举债融资机制，测算、分析、预警、严控地方政府债务风险，着力防控隐性债务风险。</w:t>
      </w:r>
    </w:p>
    <w:p w14:paraId="00408B37">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县公安局：</w:t>
      </w:r>
      <w:r>
        <w:rPr>
          <w:rFonts w:hint="eastAsia" w:ascii="仿宋_GB2312" w:hAnsi="Calibri" w:eastAsia="仿宋_GB2312" w:cs="仿宋_GB2312"/>
          <w:color w:val="auto"/>
          <w:kern w:val="0"/>
          <w:sz w:val="32"/>
          <w:szCs w:val="32"/>
          <w:lang w:val="en-US" w:eastAsia="zh-CN" w:bidi="ar-SA"/>
        </w:rPr>
        <w:t>负责恐怖袭击事件、公众聚集场所安全事故、民用爆炸物生产安全事故、群体性治安事件和信息安全事件等突发事件应急处置工作，以及应对其他突发事件过程中的治安管理和抢险救援救灾等工作；负责道路交通事故，以及应对其他突发事件过程中的道路交通管制和协助抢险救援等工作。</w:t>
      </w:r>
    </w:p>
    <w:p w14:paraId="3911D084">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县住房和城乡建设局：</w:t>
      </w:r>
      <w:r>
        <w:rPr>
          <w:rFonts w:hint="eastAsia" w:ascii="仿宋_GB2312" w:hAnsi="Calibri" w:eastAsia="仿宋_GB2312" w:cs="仿宋_GB2312"/>
          <w:color w:val="auto"/>
          <w:kern w:val="0"/>
          <w:sz w:val="32"/>
          <w:szCs w:val="32"/>
          <w:lang w:val="en-US" w:eastAsia="zh-CN" w:bidi="ar-SA"/>
        </w:rPr>
        <w:t>指导城镇燃气、市政设施、雕塑、园林、绿化、路灯、市容、环卫</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工作；指导全县住房安全工作及危房改造工作，拟订全县乡村民宿发展规划并指导实施；指导和监督全县建筑活动；规范建筑市</w:t>
      </w:r>
      <w:r>
        <w:rPr>
          <w:rFonts w:hint="eastAsia" w:ascii="仿宋_GB2312" w:hAnsi="Calibri" w:eastAsia="仿宋_GB2312" w:cs="仿宋_GB2312"/>
          <w:color w:val="auto"/>
          <w:kern w:val="0"/>
          <w:sz w:val="32"/>
          <w:szCs w:val="32"/>
          <w:lang w:val="en-US" w:eastAsia="zh-CN" w:bidi="ar-SA"/>
        </w:rPr>
        <w:t>场，指导监督建筑市场准入和工程招投标；监督指导工程监理以及工程质量和安全工作；组织或参与工程较大质量、安全事故的调查处理。</w:t>
      </w:r>
    </w:p>
    <w:p w14:paraId="7A2E954B">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县卫健委：</w:t>
      </w:r>
      <w:r>
        <w:rPr>
          <w:rFonts w:hint="eastAsia" w:ascii="仿宋_GB2312" w:hAnsi="Calibri" w:eastAsia="仿宋_GB2312" w:cs="仿宋_GB2312"/>
          <w:color w:val="auto"/>
          <w:kern w:val="0"/>
          <w:sz w:val="32"/>
          <w:szCs w:val="32"/>
          <w:lang w:val="en-US" w:eastAsia="zh-CN" w:bidi="ar-SA"/>
        </w:rPr>
        <w:t>制定并组织实施全县疾病预防控制规划、国家免疫规划以及严重危害人民健康公共卫生问题的干预措施；负责突发公共卫生事件应急处置工作，组织指导突发公共卫生事件的预防控制和各类突发公共事件的医疗卫生救援。</w:t>
      </w:r>
    </w:p>
    <w:p w14:paraId="3247CF55">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县交通运输局：</w:t>
      </w:r>
      <w:r>
        <w:rPr>
          <w:rFonts w:hint="eastAsia" w:ascii="仿宋_GB2312" w:hAnsi="Calibri" w:eastAsia="仿宋_GB2312" w:cs="仿宋_GB2312"/>
          <w:color w:val="auto"/>
          <w:kern w:val="0"/>
          <w:sz w:val="32"/>
          <w:szCs w:val="32"/>
          <w:lang w:val="zh-TW" w:eastAsia="zh-TW" w:bidi="ar-SA"/>
        </w:rPr>
        <w:t>指导</w:t>
      </w:r>
      <w:r>
        <w:rPr>
          <w:rFonts w:hint="eastAsia" w:ascii="仿宋_GB2312" w:hAnsi="Calibri" w:eastAsia="仿宋_GB2312" w:cs="仿宋_GB2312"/>
          <w:color w:val="auto"/>
          <w:kern w:val="0"/>
          <w:sz w:val="32"/>
          <w:szCs w:val="32"/>
          <w:lang w:val="zh-TW" w:eastAsia="zh-CN" w:bidi="ar-SA"/>
        </w:rPr>
        <w:t>监督</w:t>
      </w:r>
      <w:r>
        <w:rPr>
          <w:rFonts w:hint="eastAsia" w:ascii="仿宋_GB2312" w:hAnsi="Calibri" w:eastAsia="仿宋_GB2312" w:cs="仿宋_GB2312"/>
          <w:color w:val="auto"/>
          <w:kern w:val="0"/>
          <w:sz w:val="32"/>
          <w:szCs w:val="32"/>
          <w:lang w:val="zh-TW" w:eastAsia="zh-TW" w:bidi="ar-SA"/>
        </w:rPr>
        <w:t>全县交通运输行业</w:t>
      </w:r>
      <w:r>
        <w:rPr>
          <w:rFonts w:hint="eastAsia" w:ascii="仿宋_GB2312" w:hAnsi="Calibri" w:eastAsia="仿宋_GB2312" w:cs="仿宋_GB2312"/>
          <w:color w:val="auto"/>
          <w:kern w:val="0"/>
          <w:sz w:val="32"/>
          <w:szCs w:val="32"/>
          <w:lang w:val="zh-TW" w:eastAsia="zh-CN" w:bidi="ar-SA"/>
        </w:rPr>
        <w:t>的</w:t>
      </w:r>
      <w:r>
        <w:rPr>
          <w:rFonts w:hint="eastAsia" w:ascii="仿宋_GB2312" w:hAnsi="Calibri" w:eastAsia="仿宋_GB2312" w:cs="仿宋_GB2312"/>
          <w:color w:val="auto"/>
          <w:kern w:val="0"/>
          <w:sz w:val="32"/>
          <w:szCs w:val="32"/>
          <w:lang w:val="zh-TW" w:eastAsia="zh-TW" w:bidi="ar-SA"/>
        </w:rPr>
        <w:t>安全生产和应急管理工作；</w:t>
      </w:r>
      <w:r>
        <w:rPr>
          <w:rFonts w:hint="eastAsia" w:ascii="仿宋_GB2312" w:hAnsi="Calibri" w:eastAsia="仿宋_GB2312" w:cs="仿宋_GB2312"/>
          <w:color w:val="auto"/>
          <w:kern w:val="0"/>
          <w:sz w:val="32"/>
          <w:szCs w:val="32"/>
          <w:lang w:val="en-US" w:eastAsia="zh-CN" w:bidi="ar-SA"/>
        </w:rPr>
        <w:t>负责县道及以下公路建设和管理；负责全县道路运输市场监管工作；负责城市客运、汽车租赁行业监督指导工作；负责全县水路运输市场监管工作；负责全县危险品运输监督工作；组织协调省、县重点物资和紧急客货运输，维护正常交通运输秩序。</w:t>
      </w:r>
    </w:p>
    <w:p w14:paraId="7247210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县自然资源和规划局：</w:t>
      </w:r>
      <w:r>
        <w:rPr>
          <w:rFonts w:hint="eastAsia" w:ascii="仿宋_GB2312" w:hAnsi="Calibri" w:eastAsia="仿宋_GB2312" w:cs="仿宋_GB2312"/>
          <w:color w:val="auto"/>
          <w:kern w:val="0"/>
          <w:sz w:val="32"/>
          <w:szCs w:val="32"/>
          <w:lang w:val="zh-TW" w:eastAsia="zh-CN" w:bidi="ar-SA"/>
        </w:rPr>
        <w:t>负责</w:t>
      </w:r>
      <w:r>
        <w:rPr>
          <w:rFonts w:hint="eastAsia" w:ascii="仿宋_GB2312" w:hAnsi="Calibri" w:eastAsia="仿宋_GB2312" w:cs="仿宋_GB2312"/>
          <w:color w:val="auto"/>
          <w:kern w:val="0"/>
          <w:sz w:val="32"/>
          <w:szCs w:val="32"/>
          <w:lang w:val="zh-TW" w:eastAsia="zh-TW" w:bidi="ar-SA"/>
        </w:rPr>
        <w:t>地质灾害</w:t>
      </w:r>
      <w:r>
        <w:rPr>
          <w:rFonts w:hint="eastAsia" w:ascii="仿宋_GB2312" w:hAnsi="Calibri" w:eastAsia="仿宋_GB2312" w:cs="仿宋_GB2312"/>
          <w:color w:val="auto"/>
          <w:kern w:val="0"/>
          <w:sz w:val="32"/>
          <w:szCs w:val="32"/>
          <w:lang w:val="zh-TW" w:eastAsia="zh-CN" w:bidi="ar-SA"/>
        </w:rPr>
        <w:t>综合防治</w:t>
      </w:r>
      <w:r>
        <w:rPr>
          <w:rFonts w:hint="eastAsia" w:ascii="仿宋_GB2312" w:hAnsi="Calibri" w:eastAsia="仿宋_GB2312" w:cs="仿宋_GB2312"/>
          <w:color w:val="auto"/>
          <w:kern w:val="0"/>
          <w:sz w:val="32"/>
          <w:szCs w:val="32"/>
          <w:lang w:val="en-US" w:eastAsia="zh-CN" w:bidi="ar-SA"/>
        </w:rPr>
        <w:t>的宣传、监测、培训等工作</w:t>
      </w:r>
      <w:r>
        <w:rPr>
          <w:rFonts w:hint="eastAsia" w:ascii="仿宋_GB2312" w:hAnsi="Calibri" w:eastAsia="仿宋_GB2312" w:cs="仿宋_GB2312"/>
          <w:color w:val="auto"/>
          <w:kern w:val="0"/>
          <w:sz w:val="32"/>
          <w:szCs w:val="32"/>
          <w:lang w:val="zh-TW" w:eastAsia="zh-TW" w:bidi="ar-SA"/>
        </w:rPr>
        <w:t>，</w:t>
      </w:r>
      <w:r>
        <w:rPr>
          <w:rFonts w:hint="eastAsia" w:ascii="仿宋_GB2312" w:hAnsi="Calibri" w:eastAsia="仿宋_GB2312" w:cs="仿宋_GB2312"/>
          <w:color w:val="auto"/>
          <w:kern w:val="0"/>
          <w:sz w:val="32"/>
          <w:szCs w:val="32"/>
          <w:lang w:val="en-US" w:eastAsia="zh-CN" w:bidi="ar-SA"/>
        </w:rPr>
        <w:t>组织</w:t>
      </w:r>
      <w:r>
        <w:rPr>
          <w:rFonts w:hint="eastAsia" w:ascii="仿宋_GB2312" w:hAnsi="Calibri" w:eastAsia="仿宋_GB2312" w:cs="仿宋_GB2312"/>
          <w:color w:val="auto"/>
          <w:kern w:val="0"/>
          <w:sz w:val="32"/>
          <w:szCs w:val="32"/>
          <w:lang w:val="zh-TW" w:eastAsia="zh-TW" w:bidi="ar-SA"/>
        </w:rPr>
        <w:t>编制</w:t>
      </w:r>
      <w:r>
        <w:rPr>
          <w:rFonts w:hint="eastAsia" w:ascii="仿宋_GB2312" w:hAnsi="Calibri" w:eastAsia="仿宋_GB2312" w:cs="仿宋_GB2312"/>
          <w:color w:val="auto"/>
          <w:kern w:val="0"/>
          <w:sz w:val="32"/>
          <w:szCs w:val="32"/>
          <w:lang w:val="zh-TW" w:eastAsia="zh-CN" w:bidi="ar-SA"/>
        </w:rPr>
        <w:t>全</w:t>
      </w:r>
      <w:r>
        <w:rPr>
          <w:rFonts w:hint="eastAsia" w:ascii="仿宋_GB2312" w:hAnsi="Calibri" w:eastAsia="仿宋_GB2312" w:cs="仿宋_GB2312"/>
          <w:color w:val="auto"/>
          <w:kern w:val="0"/>
          <w:sz w:val="32"/>
          <w:szCs w:val="32"/>
          <w:lang w:val="zh-TW" w:eastAsia="zh-TW" w:bidi="ar-SA"/>
        </w:rPr>
        <w:t>县地质灾害防治规划</w:t>
      </w:r>
      <w:r>
        <w:rPr>
          <w:rFonts w:hint="eastAsia" w:ascii="仿宋_GB2312" w:hAnsi="Calibri" w:eastAsia="仿宋_GB2312" w:cs="仿宋_GB2312"/>
          <w:color w:val="auto"/>
          <w:kern w:val="0"/>
          <w:sz w:val="32"/>
          <w:szCs w:val="32"/>
          <w:lang w:val="zh-TW" w:eastAsia="zh-CN" w:bidi="ar-SA"/>
        </w:rPr>
        <w:t>并指导实施；</w:t>
      </w:r>
      <w:r>
        <w:rPr>
          <w:rFonts w:hint="eastAsia" w:ascii="仿宋_GB2312" w:hAnsi="Calibri" w:eastAsia="仿宋_GB2312" w:cs="仿宋_GB2312"/>
          <w:color w:val="auto"/>
          <w:kern w:val="0"/>
          <w:sz w:val="32"/>
          <w:szCs w:val="32"/>
          <w:lang w:val="en-US" w:eastAsia="zh-CN" w:bidi="ar-SA"/>
        </w:rPr>
        <w:t>落实汛期地质灾害24小时值班制度，对山区地质灾害易发地区加强监测和预警。协同相关部门，并根据实际情况和需要，指导事发地乡镇政府及时组织群众安全转移。</w:t>
      </w:r>
    </w:p>
    <w:p w14:paraId="5BBB59E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县生态环境局：</w:t>
      </w:r>
      <w:r>
        <w:rPr>
          <w:rFonts w:hint="eastAsia" w:ascii="仿宋_GB2312" w:hAnsi="Calibri" w:eastAsia="仿宋_GB2312" w:cs="仿宋_GB2312"/>
          <w:color w:val="auto"/>
          <w:kern w:val="0"/>
          <w:sz w:val="32"/>
          <w:szCs w:val="32"/>
          <w:lang w:val="en-US" w:eastAsia="zh-CN" w:bidi="ar-SA"/>
        </w:rPr>
        <w:t>组织、协调全县突发生态环境事件的应急、预警工作；负责监督管理大气、水、土壤、噪声、光、恶臭、固体废物、化学品、机动车、核与辐射等环境污染防治；会同有关部门监督管理饮用水水源地生态环境保护工作；牵头协调一般和较大环境污染事故、生态破坏事件的调查处理；指导、协调全县重大突发生态环境事件的应急、预警工作；组织实施生态环境损害赔偿制度；负责核与辐射安全的监督管理；配合做好核安全协调机制有关工作和放射性废物的管理；参与核事故应急处理，牵头组织实施辐射环境事故应急处理工作。</w:t>
      </w:r>
    </w:p>
    <w:p w14:paraId="38B1741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县人力资源社会保障局：</w:t>
      </w:r>
      <w:r>
        <w:rPr>
          <w:rFonts w:hint="eastAsia" w:ascii="仿宋_GB2312" w:hAnsi="Calibri" w:eastAsia="仿宋_GB2312" w:cs="仿宋_GB2312"/>
          <w:color w:val="auto"/>
          <w:kern w:val="0"/>
          <w:sz w:val="32"/>
          <w:szCs w:val="32"/>
          <w:lang w:val="en-US" w:eastAsia="zh-CN" w:bidi="ar-SA"/>
        </w:rPr>
        <w:t>负责全县养老、失业、工伤保险基金预测预警和信息引导，拟定应对预案，组织实施预防和控制，保持就业形势稳定和养老、失业、工伤保险基金平稳运行；负责全县劳动用工的综合管理工作；组织实施劳动监察，协调劳动者维权工作，依法查处重大案件；参与因人事制度改革、劳动和社会保障等问题引发突发事件的应急处置工作。</w:t>
      </w:r>
    </w:p>
    <w:p w14:paraId="4C20D377">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b/>
          <w:bCs/>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县教育局：</w:t>
      </w:r>
      <w:r>
        <w:rPr>
          <w:rFonts w:hint="eastAsia" w:ascii="仿宋_GB2312" w:hAnsi="Calibri" w:eastAsia="仿宋_GB2312" w:cs="仿宋_GB2312"/>
          <w:color w:val="auto"/>
          <w:kern w:val="0"/>
          <w:sz w:val="32"/>
          <w:szCs w:val="32"/>
          <w:lang w:val="en-US" w:eastAsia="zh-CN" w:bidi="ar-SA"/>
        </w:rPr>
        <w:t>统筹协调指导全县各类校园突发事件应急管理工作；拟订学校安全工作有关规章措施并督促落实；指导学校开展安全教育、安全防范、安保人员培训等工作；指导学校开展“平安校园”创建工作；协调处置校园突发事件；会同有关部门指导校车安全管理和学校食品卫生安全管理工作；指导全县各级各类学校维护稳定以及学校安全工作。</w:t>
      </w:r>
    </w:p>
    <w:p w14:paraId="380C47B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县农业农村局：</w:t>
      </w:r>
      <w:r>
        <w:rPr>
          <w:rFonts w:hint="eastAsia" w:ascii="仿宋_GB2312" w:hAnsi="Calibri" w:eastAsia="仿宋_GB2312" w:cs="仿宋_GB2312"/>
          <w:color w:val="auto"/>
          <w:kern w:val="0"/>
          <w:sz w:val="32"/>
          <w:szCs w:val="32"/>
          <w:lang w:val="en-US" w:eastAsia="zh-CN" w:bidi="ar-SA"/>
        </w:rPr>
        <w:t>负责全县种植业、畜牧业、渔业、农业机械化等农业各产业的监督管理；负责全县农产品质量安全、有关农业生产资料及农业投入品的监督管理；组织开展农产品质量安全监测、追溯、风险评估；负责农业转基因生物安全监督管理和农业植物新品种保护；负责全县农业防灾减灾、农作物重大病虫害防治工作。推进动植物防疫检疫体系建设，组织、监督本县动植物防疫检疫工作，发布疫情并组织扑灭；指导全县农业农村行业突发事件应急管理工作。</w:t>
      </w:r>
    </w:p>
    <w:p w14:paraId="4B4E799B">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县水务事务中心：</w:t>
      </w:r>
      <w:r>
        <w:rPr>
          <w:rFonts w:hint="eastAsia" w:ascii="仿宋_GB2312" w:hAnsi="Calibri" w:eastAsia="仿宋_GB2312" w:cs="仿宋_GB2312"/>
          <w:color w:val="auto"/>
          <w:kern w:val="0"/>
          <w:sz w:val="32"/>
          <w:szCs w:val="32"/>
          <w:lang w:val="en-US" w:eastAsia="zh-CN" w:bidi="ar-SA"/>
        </w:rPr>
        <w:t>负责水务行业一般突发事件（险情）应急处置工作，提供应急抢险救援专业技术支撑；指导和监督全县水务行业运行安全管理工作和居民供水水源点的巡查和检查，组织实施水库、水电站大坝、河流堤坝等水利工程运行安全的监督检查；做好全县供水设施的安全管理；组织参与水务生产安全事故的调查处理；负责全县镇墟污水处理、再生水利用的行业管理工作。</w:t>
      </w:r>
    </w:p>
    <w:p w14:paraId="52C2AD07">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县旅游和文化广电体育局：</w:t>
      </w:r>
      <w:r>
        <w:rPr>
          <w:rFonts w:hint="eastAsia" w:ascii="仿宋_GB2312" w:hAnsi="Calibri" w:eastAsia="仿宋_GB2312" w:cs="仿宋_GB2312"/>
          <w:color w:val="auto"/>
          <w:kern w:val="0"/>
          <w:sz w:val="32"/>
          <w:szCs w:val="32"/>
          <w:lang w:val="en-US" w:eastAsia="zh-CN" w:bidi="ar-SA"/>
        </w:rPr>
        <w:t>负责处置旅游行业和文化广电体育行业突发事件应急处置工作；指导全县重点旅游和文化广电体育公共设施建设；负责协调全县文化和旅游公共场所应急救灾服务保障工作；依法规范和监督管理全县旅游和文化体育市场；负责贯彻落实安全生产有关规定，履行安全生产和应急管理工作。</w:t>
      </w:r>
    </w:p>
    <w:p w14:paraId="5E01487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县民政局：</w:t>
      </w:r>
      <w:r>
        <w:rPr>
          <w:rFonts w:hint="eastAsia" w:ascii="仿宋_GB2312" w:hAnsi="Calibri" w:eastAsia="仿宋_GB2312" w:cs="仿宋_GB2312"/>
          <w:color w:val="auto"/>
          <w:kern w:val="0"/>
          <w:sz w:val="32"/>
          <w:szCs w:val="32"/>
          <w:lang w:val="en-US" w:eastAsia="zh-CN" w:bidi="ar-SA"/>
        </w:rPr>
        <w:t>对符合条件的困难群众开展最低生活保障、临时救助工作；指导具有公开募捐资格的慈善组织开展募捐活动。</w:t>
      </w:r>
    </w:p>
    <w:p w14:paraId="769CD5B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Calibri" w:eastAsia="仿宋_GB2312" w:cs="仿宋_GB2312"/>
          <w:b/>
          <w:bCs/>
          <w:color w:val="auto"/>
          <w:kern w:val="0"/>
          <w:sz w:val="32"/>
          <w:szCs w:val="32"/>
          <w:lang w:val="en-US" w:eastAsia="zh-CN" w:bidi="ar-SA"/>
        </w:rPr>
        <w:t>县应急管理局：</w:t>
      </w:r>
      <w:r>
        <w:rPr>
          <w:rFonts w:hint="eastAsia" w:ascii="仿宋_GB2312" w:hAnsi="Calibri" w:eastAsia="仿宋_GB2312" w:cs="仿宋_GB2312"/>
          <w:color w:val="auto"/>
          <w:kern w:val="0"/>
          <w:sz w:val="32"/>
          <w:szCs w:val="32"/>
          <w:lang w:val="en-US" w:eastAsia="zh-CN" w:bidi="ar-SA"/>
        </w:rPr>
        <w:t>（1）拟订并组织实施全县应急管理、安全生产和综合防灾减灾等发展规划，研究提出有关应急管理工作方面意见和建议；（2）指导全县应急预案体系建设，建立完善事故灾难和自然灾害分级应对制度，组织编制本县总体应急预案和安全生产类、自然灾害类专项预案，综合协调应急预案衔接工作，组织开展预案演练，推动应急避难设施建设；（3）组织协调建立全县统一的应急管理信息系统，建立监测预警和灾情报告制度；（4）负责自然灾害综合监测预警工作，指导开展自然灾害综合风险评估工作；（5）组织指导协调全县安全生产类、自然灾害类等突发事件应急救援；（6）统一协调指挥各类应急专业队伍，建立应急协调联动机制；（7）统筹全县应急救援力量建设，负责组织消防、森林火灾扑救、抗洪抢险、地震和地质灾害救援、生产安全事故救援等专业应急救援力量建设；（8）指导协调全县森林火灾、水旱灾害、台风灾害、地震和地质灾害等防治工作；（9）指导协调全县消防管理工作，指导全县消防监督、火灾预防、火灾扑救等工作；（10）组织协调全县灾害救助工作，组织指导灾情核查、损失评估、救灾捐赠工作；（11）依法行使安全生产综合监督管理职权，指导协调、监督检查县直各部门和各乡镇政府安全生产工作，组织开展安全生产督查、考核工作；（12）依法监督检查全县工矿商贸生产经营单位的安全生产管理工作，负责危险化学品安全监督管理综合工作和非煤矿山安全生产监督管理工作；（13）依法组织指导生产安全事故调查处理，监督事故查处和责任追究落实情况；（14）制定全县应急物资储备和应急救援装备规划并组织实施。会同县发改委等部门建立健全应急物资信息平台和调拨机制，在救灾时统一调度；（15）负责全县应急管理、安全生产宣传教育和培训工作；（16）承担县突发事件应急管理委员会、县安全生产委员会、县减灾安全委员会、县防汛防风抗旱指挥部、县森林防火指挥部、县抗震救灾指挥部</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的日常和具体工作。</w:t>
      </w:r>
    </w:p>
    <w:p w14:paraId="3BC070B8">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Calibri" w:eastAsia="仿宋_GB2312" w:cs="仿宋_GB2312"/>
          <w:b/>
          <w:bCs/>
          <w:color w:val="000000" w:themeColor="text1"/>
          <w:kern w:val="0"/>
          <w:sz w:val="32"/>
          <w:szCs w:val="32"/>
          <w:lang w:val="en-US" w:eastAsia="zh-CN" w:bidi="ar-SA"/>
          <w14:textFill>
            <w14:solidFill>
              <w14:schemeClr w14:val="tx1"/>
            </w14:solidFill>
          </w14:textFill>
        </w:rPr>
        <w:t>县司法局：</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负责以县政府及县政府办公室名义发文的规范性文件合法性审查工作。对县政府重大决策及重要具体行政行为进行法核；指导、监督县政府各部门、乡镇政府依法行政工作；为县政府处置突发事件提供法律意见。</w:t>
      </w:r>
    </w:p>
    <w:p w14:paraId="58BEA63E">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县市场监督管理局：</w:t>
      </w:r>
      <w:r>
        <w:rPr>
          <w:rFonts w:hint="eastAsia" w:ascii="仿宋_GB2312" w:hAnsi="Calibri" w:eastAsia="仿宋_GB2312" w:cs="仿宋_GB2312"/>
          <w:color w:val="auto"/>
          <w:kern w:val="0"/>
          <w:sz w:val="32"/>
          <w:szCs w:val="32"/>
          <w:lang w:val="en-US" w:eastAsia="zh-CN" w:bidi="ar-SA"/>
        </w:rPr>
        <w:t>负责处置食品、药品、药械和特种设备突发事件应急管理工作；负责全县质量管理工作；组织权限范围内质量事故调查；组织开展食品质量安全监督抽检、风险监测、核查处置和风险预警、风险交流工作；负责全县特种设备安全监督管理；配合特种设备事</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故的调查处理；组织协调食品、药品、药械、质量和特种设备突发事件应急处置和事故调查工作；建立食品、药品、药械、质量和特种设备健全突发事件重要信息直报制度；承担县食品安全</w:t>
      </w:r>
      <w:r>
        <w:rPr>
          <w:rFonts w:hint="eastAsia" w:ascii="仿宋_GB2312" w:hAnsi="Calibri" w:eastAsia="仿宋_GB2312" w:cs="仿宋_GB2312"/>
          <w:color w:val="auto"/>
          <w:kern w:val="0"/>
          <w:sz w:val="32"/>
          <w:szCs w:val="32"/>
          <w:lang w:val="en-US" w:eastAsia="zh-CN" w:bidi="ar-SA"/>
        </w:rPr>
        <w:t>委员会日常工作。</w:t>
      </w:r>
    </w:p>
    <w:p w14:paraId="4ECDC35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团县委：</w:t>
      </w:r>
      <w:r>
        <w:rPr>
          <w:rFonts w:hint="eastAsia" w:ascii="仿宋_GB2312" w:hAnsi="Calibri" w:eastAsia="仿宋_GB2312" w:cs="仿宋_GB2312"/>
          <w:color w:val="auto"/>
          <w:kern w:val="0"/>
          <w:sz w:val="32"/>
          <w:szCs w:val="32"/>
          <w:lang w:val="en-US" w:eastAsia="zh-CN" w:bidi="ar-SA"/>
        </w:rPr>
        <w:t>负责发动志愿服务团队和志愿者参与应急救援救灾工作，建立应急志愿服务体系。</w:t>
      </w:r>
    </w:p>
    <w:p w14:paraId="50D84252">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县综合行政执法局：</w:t>
      </w:r>
      <w:r>
        <w:rPr>
          <w:rFonts w:hint="eastAsia" w:ascii="仿宋_GB2312" w:hAnsi="Calibri" w:eastAsia="仿宋_GB2312" w:cs="仿宋_GB2312"/>
          <w:color w:val="auto"/>
          <w:kern w:val="0"/>
          <w:sz w:val="32"/>
          <w:szCs w:val="32"/>
          <w:lang w:val="en-US" w:eastAsia="zh-CN" w:bidi="ar-SA"/>
        </w:rPr>
        <w:t>负责组织全县综合行政执法的专项整治和重大综合行政执法活动；发生重大灾害时，组织全县综合行政执法队伍参加配合应急抢险救援救灾工作。</w:t>
      </w:r>
    </w:p>
    <w:p w14:paraId="2997F9A5">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县气象局：</w:t>
      </w:r>
      <w:r>
        <w:rPr>
          <w:rFonts w:hint="eastAsia" w:ascii="仿宋_GB2312" w:hAnsi="Calibri" w:eastAsia="仿宋_GB2312" w:cs="仿宋_GB2312"/>
          <w:color w:val="auto"/>
          <w:kern w:val="0"/>
          <w:sz w:val="32"/>
          <w:szCs w:val="32"/>
          <w:lang w:val="en-US" w:eastAsia="zh-CN" w:bidi="ar-SA"/>
        </w:rPr>
        <w:t>负责收集天气实况信息和发布灾害性天气的预报预警，为防灾减灾救灾提供服务；组织对重大气象灾害的调查、评估、鉴定工作；承担县突发事件预警信息发布中心日常管理工作。</w:t>
      </w:r>
    </w:p>
    <w:p w14:paraId="472EF60B">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县消防救援大队：</w:t>
      </w:r>
      <w:r>
        <w:rPr>
          <w:rFonts w:hint="eastAsia" w:ascii="仿宋_GB2312" w:hAnsi="Calibri" w:eastAsia="仿宋_GB2312" w:cs="仿宋_GB2312"/>
          <w:color w:val="auto"/>
          <w:kern w:val="0"/>
          <w:sz w:val="32"/>
          <w:szCs w:val="32"/>
          <w:lang w:val="en-US" w:eastAsia="zh-CN" w:bidi="ar-SA"/>
        </w:rPr>
        <w:t>组织全县消防指战员处置各类火灾事故；参与突发事件的综合应急救援工作。</w:t>
      </w:r>
    </w:p>
    <w:p w14:paraId="6953C386">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白沙供电局：</w:t>
      </w:r>
      <w:r>
        <w:rPr>
          <w:rFonts w:hint="eastAsia" w:ascii="仿宋_GB2312" w:hAnsi="Calibri" w:eastAsia="仿宋_GB2312" w:cs="仿宋_GB2312"/>
          <w:color w:val="auto"/>
          <w:kern w:val="0"/>
          <w:sz w:val="32"/>
          <w:szCs w:val="32"/>
          <w:lang w:val="en-US" w:eastAsia="zh-CN" w:bidi="ar-SA"/>
        </w:rPr>
        <w:t>负责应急电力供应保障，组织灾区电力设备抢修和恢复电力供应。</w:t>
      </w:r>
    </w:p>
    <w:p w14:paraId="7DBA6E3F">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b/>
          <w:bCs/>
          <w:color w:val="000000"/>
          <w:kern w:val="0"/>
          <w:sz w:val="32"/>
          <w:szCs w:val="32"/>
          <w:lang w:val="en-US" w:eastAsia="zh-CN" w:bidi="ar-SA"/>
        </w:rPr>
        <w:t>白沙公路分局：</w:t>
      </w:r>
      <w:r>
        <w:rPr>
          <w:rFonts w:hint="eastAsia" w:ascii="仿宋_GB2312" w:hAnsi="Calibri" w:eastAsia="仿宋_GB2312" w:cs="仿宋_GB2312"/>
          <w:color w:val="000000"/>
          <w:kern w:val="0"/>
          <w:sz w:val="32"/>
          <w:szCs w:val="32"/>
          <w:lang w:val="en-US" w:eastAsia="zh-CN" w:bidi="ar-SA"/>
        </w:rPr>
        <w:t>负责所管辖省干道等桥梁、公路路网运行监测与应急抢险工作；负责提供大型重型装备参加应急抢险救援救灾工作。</w:t>
      </w:r>
    </w:p>
    <w:p w14:paraId="04C920D7">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县红十字会：</w:t>
      </w:r>
      <w:r>
        <w:rPr>
          <w:rFonts w:hint="eastAsia" w:ascii="仿宋_GB2312" w:hAnsi="Calibri" w:eastAsia="仿宋_GB2312" w:cs="仿宋_GB2312"/>
          <w:color w:val="auto"/>
          <w:kern w:val="0"/>
          <w:sz w:val="32"/>
          <w:szCs w:val="32"/>
          <w:lang w:val="en-US" w:eastAsia="zh-CN" w:bidi="ar-SA"/>
        </w:rPr>
        <w:t>协助开展救灾、救济工作，筹集救灾款物，组织社会募捐；根据情况，通过上级红十字会向国内外发出救助呼吁；必要时组织红十字志愿者救援队参与灾区救护工作。</w:t>
      </w:r>
    </w:p>
    <w:p w14:paraId="58E0CC15">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中国石化销售股份有限公司海南白沙石油分公司、中石油海南销售有限公司：</w:t>
      </w:r>
      <w:r>
        <w:rPr>
          <w:rFonts w:hint="eastAsia" w:ascii="仿宋_GB2312" w:hAnsi="Calibri" w:eastAsia="仿宋_GB2312" w:cs="仿宋_GB2312"/>
          <w:color w:val="auto"/>
          <w:kern w:val="0"/>
          <w:sz w:val="32"/>
          <w:szCs w:val="32"/>
          <w:lang w:val="en-US" w:eastAsia="zh-CN" w:bidi="ar-SA"/>
        </w:rPr>
        <w:t>负责突发事件期间油料供应保障工作，承担所辖油供应设施安全修复工作。</w:t>
      </w:r>
    </w:p>
    <w:p w14:paraId="7D56E16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中国电信白沙分公司、中国移动白沙分公司、中国联合网络通信有限公司白沙县分公司：</w:t>
      </w:r>
      <w:r>
        <w:rPr>
          <w:rFonts w:hint="eastAsia" w:ascii="仿宋_GB2312" w:hAnsi="Calibri" w:eastAsia="仿宋_GB2312" w:cs="仿宋_GB2312"/>
          <w:color w:val="auto"/>
          <w:kern w:val="0"/>
          <w:sz w:val="32"/>
          <w:szCs w:val="32"/>
          <w:lang w:val="en-US" w:eastAsia="zh-CN" w:bidi="ar-SA"/>
        </w:rPr>
        <w:t>负责处置突发通信中断事件；提供各类突发事件应急处置的通讯保障工作。</w:t>
      </w:r>
    </w:p>
    <w:p w14:paraId="302C1BDF">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宋体" w:hAnsi="宋体" w:eastAsia="仿宋" w:cs="宋体"/>
          <w:color w:val="36363D"/>
          <w:kern w:val="0"/>
          <w:sz w:val="24"/>
          <w:szCs w:val="24"/>
          <w:lang w:val="en-US" w:eastAsia="zh-CN" w:bidi="ar-SA"/>
        </w:rPr>
      </w:pPr>
      <w:r>
        <w:rPr>
          <w:rFonts w:hint="eastAsia" w:ascii="仿宋_GB2312" w:hAnsi="Calibri" w:eastAsia="仿宋_GB2312" w:cs="仿宋_GB2312"/>
          <w:b/>
          <w:bCs/>
          <w:color w:val="auto"/>
          <w:kern w:val="0"/>
          <w:sz w:val="32"/>
          <w:szCs w:val="32"/>
          <w:lang w:val="en-US" w:eastAsia="zh-CN" w:bidi="ar-SA"/>
        </w:rPr>
        <w:t>县自来水公司：</w:t>
      </w:r>
      <w:r>
        <w:rPr>
          <w:rFonts w:hint="eastAsia" w:ascii="仿宋_GB2312" w:hAnsi="Calibri" w:eastAsia="仿宋_GB2312" w:cs="仿宋_GB2312"/>
          <w:color w:val="auto"/>
          <w:kern w:val="0"/>
          <w:sz w:val="32"/>
          <w:szCs w:val="32"/>
          <w:lang w:val="en-US" w:eastAsia="zh-CN" w:bidi="ar-SA"/>
        </w:rPr>
        <w:t>负责全县供水安全管理，处置供水突发事件应急管理工作。负责突发事件备用水源和供水保障工作。</w:t>
      </w:r>
    </w:p>
    <w:p w14:paraId="19A5BC00">
      <w:pPr>
        <w:keepNext w:val="0"/>
        <w:keepLines w:val="0"/>
        <w:pageBreakBefore w:val="0"/>
        <w:widowControl w:val="0"/>
        <w:kinsoku/>
        <w:overflowPunct w:val="0"/>
        <w:autoSpaceDE/>
        <w:autoSpaceDN/>
        <w:bidi w:val="0"/>
        <w:spacing w:beforeAutospacing="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21" w:name="_Toc25608_WPSOffice_Level2"/>
      <w:bookmarkStart w:id="22" w:name="_Toc17465_WPSOffice_Level2"/>
      <w:r>
        <w:rPr>
          <w:rFonts w:hint="eastAsia" w:ascii="仿宋_GB2312" w:hAnsi="Calibri" w:eastAsia="仿宋_GB2312" w:cs="仿宋_GB2312"/>
          <w:color w:val="auto"/>
          <w:kern w:val="0"/>
          <w:sz w:val="32"/>
          <w:szCs w:val="32"/>
          <w:lang w:val="en-US" w:eastAsia="zh-CN" w:bidi="ar-SA"/>
        </w:rPr>
        <w:t xml:space="preserve">3.1.6 </w:t>
      </w:r>
      <w:bookmarkEnd w:id="21"/>
      <w:bookmarkEnd w:id="22"/>
      <w:r>
        <w:rPr>
          <w:rFonts w:hint="eastAsia" w:ascii="仿宋_GB2312" w:hAnsi="Calibri" w:eastAsia="仿宋_GB2312" w:cs="仿宋_GB2312"/>
          <w:color w:val="auto"/>
          <w:kern w:val="0"/>
          <w:sz w:val="32"/>
          <w:szCs w:val="32"/>
          <w:lang w:val="en-US" w:eastAsia="zh-CN" w:bidi="ar-SA"/>
        </w:rPr>
        <w:t>现场指挥部</w:t>
      </w:r>
    </w:p>
    <w:p w14:paraId="1D4227E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委根据突发事件应急处置工作需要和县有关应急预案要求，成立现场指挥部，任命现场总指挥。在应急救援时，实行现场统一指挥、分类管理、分级负责、属地为主为原则。由县专项应急指挥部牵头，县应急管理局、县公安局、县卫健委、县消防救援大队等主要负责人、应急救援专家、应急救援队伍负责人、事发单位（事发地乡镇政府）负责人等人员组成的现场指挥部，统一指挥和协调现场应急处置工作。现场指挥部实行现场总指挥负责制。现场总指挥有权决定现场处置方案，指挥调度现场应急救援队伍和应急资源。现场总指挥原则上由县有关专项应急指挥部执行指挥长担任。突发事件发生后尚未指定现场总指挥的，最先带领处置力量到达事发地的有关单位负责人临时履行现场总指挥职责。‍</w:t>
      </w:r>
    </w:p>
    <w:p w14:paraId="4D0FE315">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现场指挥部的职责是：（1）执行县应急委、县专项应急指挥部的决策和命令；（2）组织协调治安、交通、卫生防疫、物资等保障；（3）迅速了解突发事件相关情况及已采取的先期处置情况，及时掌握事件发展趋势，研究制定处置方案并组织指挥实施；（4）及时将现场的各种重要情况向县应急委报告；（5）迅速控制事态，做好人员疏散和安置工作，安抚民心，稳定群众；（6）做好善后处理工作，防止出现事件“放大效应”和次生、衍生、耦合事件；（7）尽快恢复正常生产生活秩序。</w:t>
      </w:r>
    </w:p>
    <w:p w14:paraId="38AC2DF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b/>
          <w:bCs/>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现场指挥部依据突发事件工作需要设立综合协调组、抢险救援组、应急监测组、安全保卫组、医疗卫生组、物资保障组、群众转移组、宣传报道组、善后处置组、专家技术组。</w:t>
      </w:r>
    </w:p>
    <w:p w14:paraId="18BA4E8C">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综合协调组。</w:t>
      </w:r>
      <w:r>
        <w:rPr>
          <w:rFonts w:hint="eastAsia" w:ascii="仿宋_GB2312" w:hAnsi="Calibri" w:eastAsia="仿宋_GB2312" w:cs="仿宋_GB2312"/>
          <w:color w:val="auto"/>
          <w:kern w:val="0"/>
          <w:sz w:val="32"/>
          <w:szCs w:val="32"/>
          <w:lang w:val="en-US" w:eastAsia="zh-CN" w:bidi="ar-SA"/>
        </w:rPr>
        <w:t>牵头单位为县应急管理局或涉及专项领域的行业主管部门。主要职责：对有关情况进行汇总、传递和向上级报告，协助指挥部领导协调各工作组的处置工作。</w:t>
      </w:r>
    </w:p>
    <w:p w14:paraId="4CBA12B6">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抢险救援组。</w:t>
      </w:r>
      <w:r>
        <w:rPr>
          <w:rFonts w:hint="eastAsia" w:ascii="仿宋_GB2312" w:hAnsi="Calibri" w:eastAsia="仿宋_GB2312" w:cs="仿宋_GB2312"/>
          <w:color w:val="auto"/>
          <w:kern w:val="0"/>
          <w:sz w:val="32"/>
          <w:szCs w:val="32"/>
          <w:lang w:val="en-US" w:eastAsia="zh-CN" w:bidi="ar-SA"/>
        </w:rPr>
        <w:t>牵头单位为县人武部、县公安局、县消防救援大队、县交通运输局等部门。主要职责：根据应急处置工作方案，组织处置救援，抢救伤员，排除险情，控制事态，重点人员监管、调配抢救人员和装备，参与事件调查。</w:t>
      </w:r>
    </w:p>
    <w:p w14:paraId="0CA1DED3">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应急监测组。</w:t>
      </w:r>
      <w:r>
        <w:rPr>
          <w:rFonts w:hint="eastAsia" w:ascii="仿宋_GB2312" w:hAnsi="Calibri" w:eastAsia="仿宋_GB2312" w:cs="仿宋_GB2312"/>
          <w:color w:val="auto"/>
          <w:kern w:val="0"/>
          <w:sz w:val="32"/>
          <w:szCs w:val="32"/>
          <w:lang w:val="en-US" w:eastAsia="zh-CN" w:bidi="ar-SA"/>
        </w:rPr>
        <w:t>牵头单位为县气象局、县生态环境局、县资规局等部门。主要职责：根据突发事件发生情况，组织开展应急监测、环境影响、天气预报、灾情影响等信息监测。</w:t>
      </w:r>
    </w:p>
    <w:p w14:paraId="2F3AEA72">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安全保卫组。</w:t>
      </w:r>
      <w:r>
        <w:rPr>
          <w:rFonts w:hint="eastAsia" w:ascii="仿宋_GB2312" w:hAnsi="Calibri" w:eastAsia="仿宋_GB2312" w:cs="仿宋_GB2312"/>
          <w:color w:val="auto"/>
          <w:kern w:val="0"/>
          <w:sz w:val="32"/>
          <w:szCs w:val="32"/>
          <w:lang w:val="en-US" w:eastAsia="zh-CN" w:bidi="ar-SA"/>
        </w:rPr>
        <w:t>牵头单位为县公安局。主要职责：组织警力对现场及周边地区进行警戒、管控，实施交通管制，维持现场秩序，控制事件责任人员，保护现场。</w:t>
      </w:r>
    </w:p>
    <w:p w14:paraId="3960A4ED">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医疗卫生组。</w:t>
      </w:r>
      <w:r>
        <w:rPr>
          <w:rFonts w:hint="eastAsia" w:ascii="仿宋_GB2312" w:hAnsi="Calibri" w:eastAsia="仿宋_GB2312" w:cs="仿宋_GB2312"/>
          <w:color w:val="auto"/>
          <w:kern w:val="0"/>
          <w:sz w:val="32"/>
          <w:szCs w:val="32"/>
          <w:lang w:val="en-US" w:eastAsia="zh-CN" w:bidi="ar-SA"/>
        </w:rPr>
        <w:t>牵头单位为县卫健委。主要职责：组织有关医疗机构对伤员实施救援，对现场进行卫生防疫。</w:t>
      </w:r>
    </w:p>
    <w:p w14:paraId="1CE2C160">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后勤保障组。</w:t>
      </w:r>
      <w:r>
        <w:rPr>
          <w:rFonts w:hint="eastAsia" w:ascii="仿宋_GB2312" w:hAnsi="Calibri" w:eastAsia="仿宋_GB2312" w:cs="仿宋_GB2312"/>
          <w:color w:val="auto"/>
          <w:kern w:val="0"/>
          <w:sz w:val="32"/>
          <w:szCs w:val="32"/>
          <w:lang w:val="en-US" w:eastAsia="zh-CN" w:bidi="ar-SA"/>
        </w:rPr>
        <w:t>牵头单位为县发改委、县交通运输局、县应急管理局等部门和各乡镇政府。主要职责：落实现场应急物资、应急通信、交通运输、食品供应、供电、供水、生活等保障措施。</w:t>
      </w:r>
    </w:p>
    <w:p w14:paraId="6A2983D2">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人员疏散组。</w:t>
      </w:r>
      <w:r>
        <w:rPr>
          <w:rFonts w:hint="eastAsia" w:ascii="仿宋_GB2312" w:hAnsi="Calibri" w:eastAsia="仿宋_GB2312" w:cs="仿宋_GB2312"/>
          <w:color w:val="auto"/>
          <w:kern w:val="0"/>
          <w:sz w:val="32"/>
          <w:szCs w:val="32"/>
          <w:lang w:val="en-US" w:eastAsia="zh-CN" w:bidi="ar-SA"/>
        </w:rPr>
        <w:t>牵头单位为事发地乡镇政府。主要职责：制定现场人员疏散方案，并组织实施。</w:t>
      </w:r>
    </w:p>
    <w:p w14:paraId="0E8BAC7C">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新闻报道组。</w:t>
      </w:r>
      <w:r>
        <w:rPr>
          <w:rFonts w:hint="eastAsia" w:ascii="仿宋_GB2312" w:hAnsi="Calibri" w:eastAsia="仿宋_GB2312" w:cs="仿宋_GB2312"/>
          <w:color w:val="auto"/>
          <w:kern w:val="0"/>
          <w:sz w:val="32"/>
          <w:szCs w:val="32"/>
          <w:lang w:val="en-US" w:eastAsia="zh-CN" w:bidi="ar-SA"/>
        </w:rPr>
        <w:t>牵头单位为县委宣传部（县政府新闻办）。主要职责：舆情收集，舆论引导，统一组织有关新闻单位及时报道应急处置工作情况。</w:t>
      </w:r>
    </w:p>
    <w:p w14:paraId="5EC944C8">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善后处理组。</w:t>
      </w:r>
      <w:r>
        <w:rPr>
          <w:rFonts w:hint="eastAsia" w:ascii="仿宋_GB2312" w:hAnsi="Calibri" w:eastAsia="仿宋_GB2312" w:cs="仿宋_GB2312"/>
          <w:color w:val="auto"/>
          <w:kern w:val="0"/>
          <w:sz w:val="32"/>
          <w:szCs w:val="32"/>
          <w:lang w:val="en-US" w:eastAsia="zh-CN" w:bidi="ar-SA"/>
        </w:rPr>
        <w:t>牵头单位为事发单位、事发地乡镇政府或县应急管理局和县民政局。主要职责：妥善做好伤亡人员、避灾人员的善后处理事宜。</w:t>
      </w:r>
    </w:p>
    <w:p w14:paraId="36EA3F64">
      <w:pPr>
        <w:keepNext w:val="0"/>
        <w:keepLines w:val="0"/>
        <w:pageBreakBefore w:val="0"/>
        <w:widowControl w:val="0"/>
        <w:kinsoku/>
        <w:overflowPunct w:val="0"/>
        <w:autoSpaceDE/>
        <w:autoSpaceDN/>
        <w:bidi w:val="0"/>
        <w:spacing w:before="0" w:beforeAutospacing="0" w:after="0" w:afterAutospacing="0" w:line="560" w:lineRule="exact"/>
        <w:ind w:left="0" w:firstLine="643"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b/>
          <w:bCs/>
          <w:color w:val="auto"/>
          <w:kern w:val="0"/>
          <w:sz w:val="32"/>
          <w:szCs w:val="32"/>
          <w:lang w:val="en-US" w:eastAsia="zh-CN" w:bidi="ar-SA"/>
        </w:rPr>
        <w:t>专家技术组。</w:t>
      </w:r>
      <w:r>
        <w:rPr>
          <w:rFonts w:hint="eastAsia" w:ascii="仿宋_GB2312" w:hAnsi="Calibri" w:eastAsia="仿宋_GB2312" w:cs="仿宋_GB2312"/>
          <w:color w:val="auto"/>
          <w:kern w:val="0"/>
          <w:sz w:val="32"/>
          <w:szCs w:val="32"/>
          <w:lang w:val="en-US" w:eastAsia="zh-CN" w:bidi="ar-SA"/>
        </w:rPr>
        <w:t xml:space="preserve">牵头单位为涉及专项领域的行业主管部门。主要职责：组织有关专家为应急处置工作提供技术支持与评估。 </w:t>
      </w:r>
      <w:r>
        <w:rPr>
          <w:rFonts w:hint="eastAsia" w:ascii="仿宋" w:hAnsi="仿宋" w:eastAsia="仿宋" w:cs="宋体"/>
          <w:color w:val="auto"/>
          <w:kern w:val="0"/>
          <w:sz w:val="30"/>
          <w:szCs w:val="30"/>
          <w:lang w:val="en-US" w:eastAsia="zh-CN" w:bidi="ar-SA"/>
        </w:rPr>
        <w:t xml:space="preserve"> </w:t>
      </w:r>
    </w:p>
    <w:p w14:paraId="19A456F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3.2 乡镇应急组织机构</w:t>
      </w:r>
    </w:p>
    <w:p w14:paraId="5572699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各乡镇政府设立突发事件应急委员会或相关应急管理机构，配备专职或兼职工作人员，在县应急委和乡镇政府的领导下，负责辖区内各类突发事件的信息报告和应急处置或先期处置工作。 </w:t>
      </w:r>
    </w:p>
    <w:p w14:paraId="4438FEB1">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加强本辖区突发事件应急管理工作，开展突发事件安全巡查，做好信息报送和值班值守，组织群众安全转移和安置安抚工作，保障受灾群众基本生活，组织辖区力量参加应急抢险救援救灾工作，做好灾后评估、灾情统计、汇总和上报，指导受灾群众恢复生产生活。</w:t>
      </w:r>
    </w:p>
    <w:p w14:paraId="7EE5BA4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23" w:name="_Toc645"/>
      <w:r>
        <w:rPr>
          <w:rFonts w:hint="eastAsia" w:ascii="楷体_GB2312" w:hAnsi="Arial" w:eastAsia="楷体_GB2312" w:cs="楷体_GB2312"/>
          <w:color w:val="auto"/>
          <w:kern w:val="0"/>
          <w:sz w:val="32"/>
          <w:szCs w:val="32"/>
          <w:lang w:val="en-US" w:eastAsia="zh-CN" w:bidi="ar-SA"/>
        </w:rPr>
        <w:t>3.3 基层应急组织机构</w:t>
      </w:r>
      <w:bookmarkEnd w:id="23"/>
    </w:p>
    <w:p w14:paraId="74A69D5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居民委员会、村民委员会等基层组织应明确突发事件应对工作责任人，协助乡镇政府及有关部门做好突发事件应对工作。</w:t>
      </w:r>
    </w:p>
    <w:p w14:paraId="5BBA5A7C">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24" w:name="_Toc13789293"/>
      <w:r>
        <w:rPr>
          <w:rFonts w:hint="eastAsia" w:ascii="仿宋_GB2312" w:hAnsi="Calibri" w:eastAsia="仿宋_GB2312" w:cs="仿宋_GB2312"/>
          <w:color w:val="auto"/>
          <w:kern w:val="0"/>
          <w:sz w:val="32"/>
          <w:szCs w:val="32"/>
          <w:lang w:val="en-US" w:eastAsia="zh-CN" w:bidi="ar-SA"/>
        </w:rPr>
        <w:t>加强安全巡查和警示工作，开展突发事件生产自救，及时上报突发事件信息，组织受灾群众安全转移和安置安抚工作，保障群众基本生活，指导受灾群众和本地区恢复生产生活。</w:t>
      </w:r>
    </w:p>
    <w:p w14:paraId="696979E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25" w:name="_Toc24917"/>
      <w:r>
        <w:rPr>
          <w:rFonts w:hint="eastAsia" w:ascii="楷体_GB2312" w:hAnsi="Arial" w:eastAsia="楷体_GB2312" w:cs="楷体_GB2312"/>
          <w:color w:val="auto"/>
          <w:kern w:val="0"/>
          <w:sz w:val="32"/>
          <w:szCs w:val="32"/>
          <w:lang w:val="en-US" w:eastAsia="zh-CN" w:bidi="ar-SA"/>
        </w:rPr>
        <w:t>3.4 其他应急组织机构</w:t>
      </w:r>
      <w:bookmarkEnd w:id="24"/>
      <w:bookmarkEnd w:id="25"/>
    </w:p>
    <w:p w14:paraId="78E66B4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其他应急组织机构和有关单位在县政府相关部门或乡镇政府指导下开展突发事件应急管理工作。</w:t>
      </w:r>
    </w:p>
    <w:p w14:paraId="1E0CE201">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fldChar w:fldCharType="begin"/>
      </w:r>
      <w:r>
        <w:rPr>
          <w:rFonts w:hint="eastAsia" w:ascii="仿宋_GB2312" w:hAnsi="Calibri" w:eastAsia="仿宋_GB2312" w:cs="仿宋_GB2312"/>
          <w:color w:val="auto"/>
          <w:kern w:val="0"/>
          <w:sz w:val="32"/>
          <w:szCs w:val="32"/>
          <w:lang w:val="en-US" w:eastAsia="zh-CN" w:bidi="ar-SA"/>
        </w:rPr>
        <w:instrText xml:space="preserve"> HYPERLINK "http://www.baidu.com/link?url=nHn_KGwlhQ16pvkom_5sHDV_0LpViMyUG8yd5fkXi3bZnUW9tbm6KckWcVONQBPzsBiNL80Nnnqju36LPaywl4U2Lf7pzR5ULjgEEEtV8AUbWR4RtT4MxGk20fmg3wqu" \t "https://www.baidu.com/_blank" </w:instrText>
      </w:r>
      <w:r>
        <w:rPr>
          <w:rFonts w:hint="eastAsia" w:ascii="仿宋_GB2312" w:hAnsi="Calibri" w:eastAsia="仿宋_GB2312" w:cs="仿宋_GB2312"/>
          <w:color w:val="auto"/>
          <w:kern w:val="0"/>
          <w:sz w:val="32"/>
          <w:szCs w:val="32"/>
          <w:lang w:val="en-US" w:eastAsia="zh-CN" w:bidi="ar-SA"/>
        </w:rPr>
        <w:fldChar w:fldCharType="separate"/>
      </w:r>
      <w:r>
        <w:rPr>
          <w:rFonts w:hint="eastAsia" w:ascii="仿宋_GB2312" w:hAnsi="Calibri" w:eastAsia="仿宋_GB2312" w:cs="仿宋_GB2312"/>
          <w:color w:val="auto"/>
          <w:kern w:val="0"/>
          <w:sz w:val="32"/>
          <w:szCs w:val="32"/>
          <w:lang w:val="en-US" w:eastAsia="zh-CN" w:bidi="ar-SA"/>
        </w:rPr>
        <w:t>落实企事业单位安全生产主体责任</w:t>
      </w:r>
      <w:r>
        <w:rPr>
          <w:rFonts w:hint="eastAsia" w:ascii="仿宋_GB2312" w:hAnsi="Calibri" w:eastAsia="仿宋_GB2312" w:cs="仿宋_GB2312"/>
          <w:color w:val="auto"/>
          <w:kern w:val="0"/>
          <w:sz w:val="32"/>
          <w:szCs w:val="32"/>
          <w:lang w:val="en-US" w:eastAsia="zh-CN" w:bidi="ar-SA"/>
        </w:rPr>
        <w:fldChar w:fldCharType="end"/>
      </w:r>
      <w:r>
        <w:rPr>
          <w:rFonts w:hint="eastAsia" w:ascii="仿宋_GB2312" w:hAnsi="Calibri" w:eastAsia="仿宋_GB2312" w:cs="仿宋_GB2312"/>
          <w:color w:val="auto"/>
          <w:kern w:val="0"/>
          <w:sz w:val="32"/>
          <w:szCs w:val="32"/>
          <w:lang w:val="en-US" w:eastAsia="zh-CN" w:bidi="ar-SA"/>
        </w:rPr>
        <w:t>，加强安全生产巡查，做好企业安全生产工作，开展突发事件生产自救，及时上报突发事件信息，组织企业职工安全转移，保障职工基本生活，灾后恢复生产生活。</w:t>
      </w:r>
    </w:p>
    <w:p w14:paraId="4C2720A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26" w:name="_Toc27137"/>
      <w:r>
        <w:rPr>
          <w:rFonts w:hint="eastAsia" w:ascii="黑体" w:hAnsi="黑体" w:eastAsia="黑体" w:cs="Times New Roman"/>
          <w:color w:val="000000"/>
          <w:kern w:val="0"/>
          <w:sz w:val="32"/>
          <w:szCs w:val="32"/>
          <w:lang w:val="en-US" w:eastAsia="zh-CN"/>
        </w:rPr>
        <w:t>4 应急准备</w:t>
      </w:r>
      <w:bookmarkEnd w:id="26"/>
    </w:p>
    <w:p w14:paraId="6A6DC768">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27" w:name="_Toc9302"/>
      <w:r>
        <w:rPr>
          <w:rFonts w:hint="eastAsia" w:ascii="楷体_GB2312" w:hAnsi="Arial" w:eastAsia="楷体_GB2312" w:cs="楷体_GB2312"/>
          <w:color w:val="auto"/>
          <w:kern w:val="0"/>
          <w:sz w:val="32"/>
          <w:szCs w:val="32"/>
          <w:lang w:val="en-US" w:eastAsia="zh-CN" w:bidi="ar-SA"/>
        </w:rPr>
        <w:t>4.1 应急联动机制</w:t>
      </w:r>
      <w:bookmarkEnd w:id="27"/>
    </w:p>
    <w:p w14:paraId="37B93120">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4.1.1建立政府部门应急联动制度。制定各类突发事件的应急处置责任卡，明确牵头部门和支持协作部门的职责、权限和处置程序。  </w:t>
      </w:r>
    </w:p>
    <w:p w14:paraId="1D04F7E9">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4.1.2根据应急处置工作需要，驻县军警和预备役部队、中央和省驻白沙单位、省县双管单位按照有关法律、行政法规和联合应急预案的规定，参加和配合突发事件的应急处置和救援工作。</w:t>
      </w:r>
    </w:p>
    <w:p w14:paraId="64D3FE6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28" w:name="_Toc27966"/>
      <w:r>
        <w:rPr>
          <w:rFonts w:hint="eastAsia" w:ascii="楷体_GB2312" w:hAnsi="Arial" w:eastAsia="楷体_GB2312" w:cs="楷体_GB2312"/>
          <w:color w:val="auto"/>
          <w:kern w:val="0"/>
          <w:sz w:val="32"/>
          <w:szCs w:val="32"/>
          <w:lang w:val="en-US" w:eastAsia="zh-CN" w:bidi="ar-SA"/>
        </w:rPr>
        <w:t>4.2 值班值守</w:t>
      </w:r>
      <w:bookmarkEnd w:id="28"/>
    </w:p>
    <w:p w14:paraId="701CCA9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29" w:name="_Toc26692"/>
      <w:r>
        <w:rPr>
          <w:rFonts w:hint="eastAsia" w:ascii="仿宋_GB2312" w:hAnsi="Calibri" w:eastAsia="仿宋_GB2312" w:cs="仿宋_GB2312"/>
          <w:color w:val="auto"/>
          <w:kern w:val="0"/>
          <w:sz w:val="32"/>
          <w:szCs w:val="32"/>
          <w:lang w:val="en-US" w:eastAsia="zh-CN" w:bidi="ar-SA"/>
        </w:rPr>
        <w:t>各级应急组织机构要建立值班值守制度，县应急管理局、县公安局、县消防救援大队、县气象局等主要部门要实行24小时值班值守，领导带班；其他成员单位主要负责人保持24小时手机畅通。</w:t>
      </w:r>
    </w:p>
    <w:p w14:paraId="0F85C18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值班人员责任与要求：①值班人员的责任和要求。按照值班制度执行。②紧急期间值班人员的责任和要求。随时掌握突发事件工作动态，分析研究突发事件发展趋势，根据需要部署应急处置工作；对突发事件工作中做出指挥决策；根据需要调动社会力量和资源投入应急救援抢险救灾工作；负责上传下达，确保突发事件信息政令畅通；及时向县委、县政府报告有关情况；研究、拟定县领导深入现场开展应急处置工作方案。</w:t>
      </w:r>
    </w:p>
    <w:bookmarkEnd w:id="29"/>
    <w:p w14:paraId="10DF109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0" w:name="_Toc3074"/>
      <w:r>
        <w:rPr>
          <w:rFonts w:hint="eastAsia" w:ascii="楷体_GB2312" w:hAnsi="Arial" w:eastAsia="楷体_GB2312" w:cs="楷体_GB2312"/>
          <w:color w:val="auto"/>
          <w:kern w:val="0"/>
          <w:sz w:val="32"/>
          <w:szCs w:val="32"/>
          <w:lang w:val="en-US" w:eastAsia="zh-CN" w:bidi="ar-SA"/>
        </w:rPr>
        <w:t>4.3 预案修编与演练</w:t>
      </w:r>
      <w:bookmarkEnd w:id="30"/>
    </w:p>
    <w:p w14:paraId="3BEDD024">
      <w:pPr>
        <w:keepNext w:val="0"/>
        <w:keepLines w:val="0"/>
        <w:pageBreakBefore w:val="0"/>
        <w:widowControl w:val="0"/>
        <w:kinsoku/>
        <w:overflowPunct w:val="0"/>
        <w:autoSpaceDE/>
        <w:autoSpaceDN/>
        <w:bidi w:val="0"/>
        <w:spacing w:beforeAutospacing="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4.3.1 预案编制</w:t>
      </w:r>
    </w:p>
    <w:p w14:paraId="31C3FE17">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各乡镇政府、各有关部门（单位）、生产经营单位等应针对本区域、本单位的多发易发突发事件和主要风险等，按照本预案的规定履行职责，并制定、完善相应的应急预案和应急行动方案。</w:t>
      </w:r>
    </w:p>
    <w:p w14:paraId="334DEB3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编制应急预案要开展风险评估和应急资源调查，并广泛听取有关部门、单位、上级政府或部门和专家意见，与相关预案做好衔接。涉及其他单位职责的，应书面征求意见。编制和修订应急预案应进行应急演练，检验评估应急预案的合法性、针对性、实用性、可操作性及与其他预案的衔接。</w:t>
      </w:r>
    </w:p>
    <w:p w14:paraId="051E9F4F">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4.3.2 预案修订</w:t>
      </w:r>
    </w:p>
    <w:p w14:paraId="029E9A82">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县突发事件总体应急预案根据有关规定和应急管理工作需要进行修订。县专项应急预案一般每3年修订一次。</w:t>
      </w:r>
    </w:p>
    <w:p w14:paraId="2C7114A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 w:hAnsi="仿宋" w:eastAsia="仿宋" w:cs="宋体"/>
          <w:b/>
          <w:bCs/>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4.3.3 预案演练</w:t>
      </w:r>
    </w:p>
    <w:p w14:paraId="72F6580A">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县应急管理局统筹协调和检查指导全县各类应急预案演练工作，负责规划、组织和实施跨区域、跨系统的县级综合应急演练。针对县内面临的主要风险和重大输入性风险，组织开展应急演练。</w:t>
      </w:r>
    </w:p>
    <w:p w14:paraId="175550BE">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各专项应急指挥部和各有关部门（单位）负责组织、检查、指导本系统、本领域的综合应急演练或单项应急演练。各乡镇政府根据实际需要组织综合应急演练或专项演练。</w:t>
      </w:r>
    </w:p>
    <w:p w14:paraId="7814FA78">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所有担负应急救援任务的部门、单位，每年要针对各自的救援任务组织桌面演练、实景模拟演练、沙盘演练或实战演练一次，全县每两年组织一次综合性演练。专项应急预案、部门应急预案至少每年进行一次应急演练，全县破坏性地震每三年组织一次应急演练。</w:t>
      </w:r>
    </w:p>
    <w:p w14:paraId="432FEF26">
      <w:pPr>
        <w:keepNext w:val="0"/>
        <w:keepLines w:val="0"/>
        <w:pageBreakBefore w:val="0"/>
        <w:widowControl w:val="0"/>
        <w:kinsoku/>
        <w:overflowPunct w:val="0"/>
        <w:autoSpaceDE/>
        <w:autoSpaceDN/>
        <w:bidi w:val="0"/>
        <w:spacing w:before="0" w:beforeAutospacing="0" w:after="0" w:afterAutospacing="0" w:line="560" w:lineRule="exact"/>
        <w:ind w:left="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应急演练应组织演练评估，着重评估应急预案的合理性与可操作性、应急指挥协调、应急处置程序与措施、现场人员应急处置表现、应急装备及设施的针对性与可靠性、应急保障能力等。</w:t>
      </w:r>
    </w:p>
    <w:p w14:paraId="361134C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1" w:name="_Toc24497"/>
      <w:r>
        <w:rPr>
          <w:rFonts w:hint="eastAsia" w:ascii="楷体_GB2312" w:hAnsi="Arial" w:eastAsia="楷体_GB2312" w:cs="楷体_GB2312"/>
          <w:color w:val="auto"/>
          <w:kern w:val="0"/>
          <w:sz w:val="32"/>
          <w:szCs w:val="32"/>
          <w:lang w:val="en-US" w:eastAsia="zh-CN" w:bidi="ar-SA"/>
        </w:rPr>
        <w:t>4.4 宣传教育培训</w:t>
      </w:r>
      <w:bookmarkEnd w:id="31"/>
    </w:p>
    <w:p w14:paraId="4F0B857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4.4.1 宣传教育</w:t>
      </w:r>
    </w:p>
    <w:p w14:paraId="68EAEF6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 w:hAnsi="仿宋" w:eastAsia="仿宋" w:cs="Times New Roman"/>
          <w:color w:val="auto"/>
          <w:sz w:val="30"/>
          <w:szCs w:val="30"/>
          <w:lang w:val="en-US" w:eastAsia="zh-CN"/>
        </w:rPr>
      </w:pPr>
      <w:r>
        <w:rPr>
          <w:rFonts w:hint="eastAsia" w:ascii="仿宋_GB2312" w:hAnsi="Calibri" w:eastAsia="仿宋_GB2312" w:cs="仿宋_GB2312"/>
          <w:color w:val="auto"/>
          <w:kern w:val="0"/>
          <w:sz w:val="32"/>
          <w:szCs w:val="32"/>
          <w:lang w:val="en-US" w:eastAsia="zh-CN" w:bidi="ar-SA"/>
        </w:rPr>
        <w:t xml:space="preserve">县应急管理局会同有关部门，组织、指导开展应急宣传教育规划，广泛开展应急法律法规和预防、避险、自救互救等应急知识宣传教育。通过广播电视、各类媒体平台、政务网和客户端等，向公众普及应急预案的信息、专线电话、自救互救、避难避险等应急常识，提高群众自救互救能力。把突发事件安全教育纳入中、小学校学生素质教育的重要内容，提高青少年学生危机意识和应对能力。    </w:t>
      </w:r>
    </w:p>
    <w:p w14:paraId="39853F4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4.4.2 培训</w:t>
      </w:r>
    </w:p>
    <w:p w14:paraId="4E378B8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（1）担负应急救援的各级领导、应急管理和救援人员每年要组织一次应急救援培训，了解和掌握应急救援的工作原则、方法，熟悉救援的程序，做到合格上岗。</w:t>
      </w:r>
    </w:p>
    <w:p w14:paraId="2E22FDF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（2）县应急管理局会同有关部门，组织、指导开展面向领导干部、应急管理干部、新闻发言人、基层干部的应急管理专题培训，提升其预防和应对突发事件的意识和能力。</w:t>
      </w:r>
    </w:p>
    <w:p w14:paraId="1DB4E6A8">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（3）县各专项应急指挥部、各有关部门（单位）应当按照隶属关系和管理责任，加强本系统、本领域专业应急救援队伍的培训，提高其专业救援能力和安全防护技能。</w:t>
      </w:r>
    </w:p>
    <w:p w14:paraId="20C4A7E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县应急管理局会同团县委、县红十字会，组织协调县有关部门（单位）以及其他社会组织，开展应急志愿者培训工作，使其掌握应急管理法律法规和突发事件应对基本技能，增强现场组织、自救互救以及配合专业救援队伍开展工作的能力。</w:t>
      </w:r>
    </w:p>
    <w:p w14:paraId="70ECAD8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（5）社区和中小学校应当开设有关突发事件预防与应急知识、自救与互救知识和技能的课程。各有关职能部门、新闻媒体要积极向群众宣传突发事件知识和应急技能。</w:t>
      </w:r>
    </w:p>
    <w:p w14:paraId="253839C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32" w:name="_Toc16227"/>
      <w:r>
        <w:rPr>
          <w:rFonts w:hint="eastAsia" w:ascii="黑体" w:hAnsi="黑体" w:eastAsia="黑体" w:cs="Times New Roman"/>
          <w:color w:val="000000"/>
          <w:kern w:val="0"/>
          <w:sz w:val="32"/>
          <w:szCs w:val="32"/>
          <w:lang w:val="en-US" w:eastAsia="zh-CN"/>
        </w:rPr>
        <w:t>5 监测与预警</w:t>
      </w:r>
      <w:bookmarkEnd w:id="32"/>
    </w:p>
    <w:p w14:paraId="110EA7C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3" w:name="_Toc4093"/>
      <w:r>
        <w:rPr>
          <w:rFonts w:hint="eastAsia" w:ascii="楷体_GB2312" w:hAnsi="Arial" w:eastAsia="楷体_GB2312" w:cs="楷体_GB2312"/>
          <w:color w:val="auto"/>
          <w:kern w:val="0"/>
          <w:sz w:val="32"/>
          <w:szCs w:val="32"/>
          <w:lang w:val="en-US" w:eastAsia="zh-CN" w:bidi="ar-SA"/>
        </w:rPr>
        <w:t>5.1 监测预测</w:t>
      </w:r>
      <w:bookmarkEnd w:id="33"/>
    </w:p>
    <w:p w14:paraId="1B59AC6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5.1.1 隐患排查登记</w:t>
      </w:r>
    </w:p>
    <w:p w14:paraId="1E56F62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建立全县突发事件风险管理体系和危险源、危险区域普查登记管理制度，建立专业监测和社会监测相结合的突发事件监测体系，完善突发事件监测制度，规范信息的获取、报送、分析、发布格式和程序；根据突发事件种类和特点，建立健全各行业（领域）基础信息数据库，完善监测网络，配备必要的设备设施，明确专兼职人员，监测可能发生的突发事件。</w:t>
      </w:r>
    </w:p>
    <w:p w14:paraId="2976168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5.1.2 检查监控与隐患整改</w:t>
      </w:r>
    </w:p>
    <w:p w14:paraId="6808780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各专项应急指挥部办公室、相关部门和单位要加强对各个危险区域、各类危险源的分类分级管理、长效管理、检查和动态监控，建立危险源、危险区域档案，全面推行风险评估。健全事故隐患排查整改工作机制，发现危险源，所在单位应当按照要求立即或定期采取安全防范措施，防止突发事件的发生。</w:t>
      </w:r>
    </w:p>
    <w:p w14:paraId="7151DF2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5.1.3 预防预测</w:t>
      </w:r>
    </w:p>
    <w:p w14:paraId="439781B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应急管理机构、各专项应急指挥部办公室、相关部门和有关单位应根据各自职责分工，及时汇总、分析、处理本地区、本部门或本系统突发事件与可能影响公共安全的信息，并负责收集、整理和研究发生在其他区域可能影响本县的重大突发事件信息，预估可能发生的情况，及时报县应急管理局，并通报县相关部门。</w:t>
      </w:r>
    </w:p>
    <w:p w14:paraId="2EFAD6D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5.1.4 信息收集与分析研判</w:t>
      </w:r>
    </w:p>
    <w:p w14:paraId="0CE1832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专项应急指挥部负责组织相关突发事件信息的汇总、分析和处理；定期组织召开公共安全形势分析会议，研判突发事件应对的总体形势，提出防范措施建议。对于涉密的重要信息，负责收集信息的部门应遵守相关保密规定。</w:t>
      </w:r>
    </w:p>
    <w:p w14:paraId="4178E6D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4" w:name="_Toc3913"/>
      <w:r>
        <w:rPr>
          <w:rFonts w:hint="eastAsia" w:ascii="楷体_GB2312" w:hAnsi="Arial" w:eastAsia="楷体_GB2312" w:cs="楷体_GB2312"/>
          <w:color w:val="auto"/>
          <w:kern w:val="0"/>
          <w:sz w:val="32"/>
          <w:szCs w:val="32"/>
          <w:lang w:val="en-US" w:eastAsia="zh-CN" w:bidi="ar-SA"/>
        </w:rPr>
        <w:t>5.2 预防预警</w:t>
      </w:r>
      <w:bookmarkEnd w:id="34"/>
    </w:p>
    <w:p w14:paraId="7EA0E18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5.2.1 预警制度</w:t>
      </w:r>
    </w:p>
    <w:p w14:paraId="3D42865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县应急管理局负责全县突发事件预警工作的监督和综合管理，县各专项应急指挥部、县相关部门负责相关类别突发事件的预警工作。</w:t>
      </w:r>
    </w:p>
    <w:p w14:paraId="3448820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5.2.2 预警级别</w:t>
      </w:r>
    </w:p>
    <w:p w14:paraId="0BADC48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按照突发事件发生的紧急程度、发展势态和可能造成的危害程度，预警级别分为I级、Ⅱ级、Ⅲ级和IV级，分别用红色、橙色、黄色和蓝色标示。I级为最高级别。预警级别划分按国家标准执行。</w:t>
      </w:r>
    </w:p>
    <w:p w14:paraId="68EF1C2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红色（I级）：预计将要发生特别重大突发事件，事件会随时发生，事态正在不断蔓延。  </w:t>
      </w:r>
    </w:p>
    <w:p w14:paraId="6595CCA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橙色（Ⅱ级）：预计将要发生重大突发事件，事件即将发生，事态正在逐步扩大。</w:t>
      </w:r>
    </w:p>
    <w:p w14:paraId="0BA8154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黄色（Ⅲ级）：预计将要发生较大突发事件，事件已经临近，事态有扩大的趋势。</w:t>
      </w:r>
    </w:p>
    <w:p w14:paraId="50CE272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蓝色（IV级）：预计将要发生一般突发事件，事件即将临近，事态可能会扩大。</w:t>
      </w:r>
    </w:p>
    <w:p w14:paraId="5B81294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5.2.3 预警发布</w:t>
      </w:r>
    </w:p>
    <w:p w14:paraId="1D0EFCB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（1）红色预警由县应急委向省应急委提出预警申请，省应急委报请省政府审批同意并视情况决定，以省政府或省应急委名义发布，或授权县政府发布。</w:t>
      </w:r>
    </w:p>
    <w:p w14:paraId="50533EC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（2）橙色、黄色和蓝色预警由县人民政府或其授权机构自行审批发布，并报省应急管理厅及省相关部门备案。</w:t>
      </w:r>
    </w:p>
    <w:p w14:paraId="2B6C770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（3）县人民政府或其授权机构需要向社会不特定公众发布的预警信息统一通过县突发事件预警信息发布中心（设在县气象局）对外发布。</w:t>
      </w:r>
    </w:p>
    <w:p w14:paraId="3548D45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（4）国家相关法律、法规或规范性文件另有规定的，依照其规定执行。</w:t>
      </w:r>
    </w:p>
    <w:p w14:paraId="1601353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（5）预警信息包括突发事件的类别、预警级别、起始时间、可能影响范围、警示事项、应采取的措施和发布机关等。</w:t>
      </w:r>
    </w:p>
    <w:p w14:paraId="2691D23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5.2.4预警响应</w:t>
      </w:r>
    </w:p>
    <w:p w14:paraId="059A217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布蓝色（IV级）、黄色（Ⅲ级）预警后，根据即将发生突发事件的特点和可能造成的危害，县应急委、县相关专项应急指挥部、县相关部门和各乡镇政府应急机构等应依据相关应急预案立即做出响应，采取下列一项或多项相关措施：</w:t>
      </w:r>
    </w:p>
    <w:p w14:paraId="3474EBC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指令县有关部门、专业机构、监测网点和负有信息报告职责的人员加强应急值守，及时收集、报告有关信息，向社会公布反映突发事件信息的渠道，加强对突发事件发生、发展情况的监测、预报和预警工作；</w:t>
      </w:r>
    </w:p>
    <w:p w14:paraId="3F42AAD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（2）组织县应急专家组、有关部门（单位）专业技术人员，随时对突发事件信息进行分析评估，预测发生突发事件可能性的大小、影响范围、强度及可能发生突发事件的级别；</w:t>
      </w:r>
    </w:p>
    <w:p w14:paraId="0D79A5C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（3）定时向社会发布与公众有关的突发事件预测信息和分析评估结果，并管理相关信息报道；</w:t>
      </w:r>
    </w:p>
    <w:p w14:paraId="6328FAF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（4）及时按照有关规定向社会发布可能受到突发事件危害的警告，宣传避免、减轻危害的常识，公布咨询方法及通讯方式。</w:t>
      </w:r>
    </w:p>
    <w:p w14:paraId="0EAB0EF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布橙色（Ⅱ级）、红色（I级）预警后，县应急委、县相关专项应急指挥部、相关部门和各乡镇政府应急机构在采取蓝色、黄色预警响应措施的基础上，针对即将发生突发事件的特点和可能造成的危害，采取下列一项或多项相关措施：</w:t>
      </w:r>
    </w:p>
    <w:p w14:paraId="5DA510B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（1）指令应急救援队伍和应急救援与处置指挥人员、值班人员、专家、技术骨干等进入待命状态，并动员后备人员做好参加应急救援和处置工作的准备；</w:t>
      </w:r>
    </w:p>
    <w:p w14:paraId="2CF7B3A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（2）调集应急救援所需物资、设备、工具，准备应急设施和避难场所，并确保其处于良好状态，随时可以投入正常使用；</w:t>
      </w:r>
    </w:p>
    <w:p w14:paraId="1B71569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（3）加强对重点单位、重要部位和重要基础设施的安全保卫，维护社会治安秩序；</w:t>
      </w:r>
    </w:p>
    <w:p w14:paraId="07D44AA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（4）采取必要措施，确保交通、通信、供水、排水、供电、供气等公共设施的安全和正常运行；</w:t>
      </w:r>
    </w:p>
    <w:p w14:paraId="25D8EF5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（5）及时向社会发布有关采取特定措施避免或减轻危害的建议、劝告；</w:t>
      </w:r>
    </w:p>
    <w:p w14:paraId="4BA63D5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（6）转移、疏散或撤离易受突发事件危害的人员并予以妥善安置，转移重要财产；</w:t>
      </w:r>
    </w:p>
    <w:p w14:paraId="5047554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（7）关闭或限制使用易受突发事件危害的场所，控制或限制容易导致危害扩大的公共场所的活动；</w:t>
      </w:r>
    </w:p>
    <w:p w14:paraId="5AF4B89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（8）法律、法规、规章规定的其他必要的防范性、保护性措施。</w:t>
      </w:r>
    </w:p>
    <w:p w14:paraId="57395F8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5.2.5 预警信息解除</w:t>
      </w:r>
    </w:p>
    <w:p w14:paraId="1725A8F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发生以下情况时，县应急委根据事态的发展，报请县政府立即宣布解除警报。已经宣布进入预警期的，应当立即宣布终止预警，解除已经采取的有关措施。</w:t>
      </w:r>
    </w:p>
    <w:p w14:paraId="2274C42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（1）预警事件已经全部消除；</w:t>
      </w:r>
    </w:p>
    <w:p w14:paraId="31554DD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（2）预警事件发生的风险已经被有效控制；</w:t>
      </w:r>
    </w:p>
    <w:p w14:paraId="1153302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（3）预警响应范围内的单位已经全部解除预警状态；</w:t>
      </w:r>
    </w:p>
    <w:p w14:paraId="6D1E1AE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（4）事件已经发生，从预警状态转入应急状态，预警自动解除。</w:t>
      </w:r>
    </w:p>
    <w:p w14:paraId="27A89C7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5.2.6 预警信息传播</w:t>
      </w:r>
    </w:p>
    <w:p w14:paraId="17603A0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预警信息的发布、调整和解除可通过广播、电视、通信、互联网、特定区域应急短信、微博、微信、电子显示屏、有线广播警报器、宣传车或组织人员公开播送、派发传单、逐户通知等方式进行，对老幼病残孕等特殊人群以及医院、学校等特殊场所和警报盲区应当采取有针对性的公告方式。</w:t>
      </w:r>
    </w:p>
    <w:p w14:paraId="0962CAC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国家、省、县有关法律、法规、规章或规范性文件对预警信息发布另有规定的，从其规定。</w:t>
      </w:r>
    </w:p>
    <w:p w14:paraId="4681466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35" w:name="_Toc15755"/>
      <w:r>
        <w:rPr>
          <w:rFonts w:hint="eastAsia" w:ascii="黑体" w:hAnsi="黑体" w:eastAsia="黑体" w:cs="Times New Roman"/>
          <w:color w:val="000000"/>
          <w:kern w:val="0"/>
          <w:sz w:val="32"/>
          <w:szCs w:val="32"/>
          <w:lang w:val="en-US" w:eastAsia="zh-CN"/>
        </w:rPr>
        <w:t>6 应急响应</w:t>
      </w:r>
      <w:bookmarkEnd w:id="35"/>
    </w:p>
    <w:p w14:paraId="554D20D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6" w:name="_Toc28679"/>
      <w:r>
        <w:rPr>
          <w:rFonts w:hint="eastAsia" w:ascii="楷体_GB2312" w:hAnsi="Arial" w:eastAsia="楷体_GB2312" w:cs="楷体_GB2312"/>
          <w:color w:val="auto"/>
          <w:kern w:val="0"/>
          <w:sz w:val="32"/>
          <w:szCs w:val="32"/>
          <w:lang w:val="en-US" w:eastAsia="zh-CN" w:bidi="ar-SA"/>
        </w:rPr>
        <w:t>6.1 信息报送</w:t>
      </w:r>
      <w:bookmarkEnd w:id="36"/>
    </w:p>
    <w:p w14:paraId="6FAC8F0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6.1.1 突发事件信息归口管理制度</w:t>
      </w:r>
    </w:p>
    <w:p w14:paraId="517764B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县应急管理局负责全县突发事件信息的收集汇总、分析研判、报告处置。信息报送应贯穿于突发事件的预防与应急准备、监测与预警、</w:t>
      </w:r>
      <w:r>
        <w:rPr>
          <w:rFonts w:hint="eastAsia" w:ascii="仿宋_GB2312" w:hAnsi="Calibri" w:eastAsia="仿宋_GB2312" w:cs="仿宋_GB2312"/>
          <w:color w:val="000000"/>
          <w:kern w:val="0"/>
          <w:sz w:val="32"/>
          <w:szCs w:val="32"/>
          <w:lang w:val="en-US" w:eastAsia="zh-CN" w:bidi="ar-SA"/>
        </w:rPr>
        <w:t>应急处置与救援、事后恢复与重建等应对活动的全过程。各专项应急指挥部办公室、各部门、各乡镇政府应按规定将突发事件初始信息、预测预警信息、续报信息和最终处置报告报送县委县政府总值班室。</w:t>
      </w:r>
    </w:p>
    <w:p w14:paraId="6D6AC7D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color w:val="000000"/>
          <w:kern w:val="0"/>
          <w:sz w:val="32"/>
          <w:szCs w:val="32"/>
          <w:lang w:val="en-US" w:eastAsia="zh-CN" w:bidi="ar-SA"/>
        </w:rPr>
        <w:t>发生</w:t>
      </w:r>
      <w:r>
        <w:rPr>
          <w:rFonts w:hint="default" w:ascii="仿宋_GB2312" w:hAnsi="Calibri" w:eastAsia="仿宋_GB2312" w:cs="仿宋_GB2312"/>
          <w:color w:val="000000"/>
          <w:kern w:val="0"/>
          <w:sz w:val="32"/>
          <w:szCs w:val="32"/>
          <w:lang w:val="en-US" w:eastAsia="zh-CN" w:bidi="ar-SA"/>
        </w:rPr>
        <w:t>自然灾害类和事故灾难类造成人员伤亡和财产损失的，及时上报</w:t>
      </w:r>
      <w:r>
        <w:rPr>
          <w:rFonts w:hint="eastAsia" w:ascii="仿宋_GB2312" w:hAnsi="Calibri" w:eastAsia="仿宋_GB2312" w:cs="仿宋_GB2312"/>
          <w:color w:val="000000"/>
          <w:kern w:val="0"/>
          <w:sz w:val="32"/>
          <w:szCs w:val="32"/>
          <w:lang w:val="en-US" w:eastAsia="zh-CN" w:bidi="ar-SA"/>
        </w:rPr>
        <w:t>县应急管理局</w:t>
      </w:r>
      <w:r>
        <w:rPr>
          <w:rFonts w:hint="default" w:ascii="仿宋_GB2312" w:hAnsi="Calibri" w:eastAsia="仿宋_GB2312" w:cs="仿宋_GB2312"/>
          <w:color w:val="000000"/>
          <w:kern w:val="0"/>
          <w:sz w:val="32"/>
          <w:szCs w:val="32"/>
          <w:lang w:val="en-US" w:eastAsia="zh-CN" w:bidi="ar-SA"/>
        </w:rPr>
        <w:t>；</w:t>
      </w:r>
      <w:r>
        <w:rPr>
          <w:rFonts w:hint="eastAsia" w:ascii="仿宋_GB2312" w:hAnsi="Calibri" w:eastAsia="仿宋_GB2312" w:cs="仿宋_GB2312"/>
          <w:color w:val="000000"/>
          <w:kern w:val="0"/>
          <w:sz w:val="32"/>
          <w:szCs w:val="32"/>
          <w:lang w:val="en-US" w:eastAsia="zh-CN" w:bidi="ar-SA"/>
        </w:rPr>
        <w:t>发生</w:t>
      </w:r>
      <w:r>
        <w:rPr>
          <w:rFonts w:hint="default" w:ascii="仿宋_GB2312" w:hAnsi="Calibri" w:eastAsia="仿宋_GB2312" w:cs="仿宋_GB2312"/>
          <w:color w:val="000000"/>
          <w:kern w:val="0"/>
          <w:sz w:val="32"/>
          <w:szCs w:val="32"/>
          <w:lang w:val="en-US" w:eastAsia="zh-CN" w:bidi="ar-SA"/>
        </w:rPr>
        <w:t>公共卫生事件类，及时上报</w:t>
      </w:r>
      <w:r>
        <w:rPr>
          <w:rFonts w:hint="eastAsia" w:ascii="仿宋_GB2312" w:hAnsi="Calibri" w:eastAsia="仿宋_GB2312" w:cs="仿宋_GB2312"/>
          <w:color w:val="000000"/>
          <w:kern w:val="0"/>
          <w:sz w:val="32"/>
          <w:szCs w:val="32"/>
          <w:lang w:val="en-US" w:eastAsia="zh-CN" w:bidi="ar-SA"/>
        </w:rPr>
        <w:t>县</w:t>
      </w:r>
      <w:r>
        <w:rPr>
          <w:rFonts w:hint="default" w:ascii="仿宋_GB2312" w:hAnsi="Calibri" w:eastAsia="仿宋_GB2312" w:cs="仿宋_GB2312"/>
          <w:color w:val="000000"/>
          <w:kern w:val="0"/>
          <w:sz w:val="32"/>
          <w:szCs w:val="32"/>
          <w:lang w:val="en-US" w:eastAsia="zh-CN" w:bidi="ar-SA"/>
        </w:rPr>
        <w:t>卫生健康</w:t>
      </w:r>
      <w:r>
        <w:rPr>
          <w:rFonts w:hint="eastAsia" w:ascii="仿宋_GB2312" w:hAnsi="Calibri" w:eastAsia="仿宋_GB2312" w:cs="仿宋_GB2312"/>
          <w:color w:val="000000"/>
          <w:kern w:val="0"/>
          <w:sz w:val="32"/>
          <w:szCs w:val="32"/>
          <w:lang w:val="en-US" w:eastAsia="zh-CN" w:bidi="ar-SA"/>
        </w:rPr>
        <w:t>委员会或有关行业主管部门</w:t>
      </w:r>
      <w:r>
        <w:rPr>
          <w:rFonts w:hint="default" w:ascii="仿宋_GB2312" w:hAnsi="Calibri" w:eastAsia="仿宋_GB2312" w:cs="仿宋_GB2312"/>
          <w:color w:val="000000"/>
          <w:kern w:val="0"/>
          <w:sz w:val="32"/>
          <w:szCs w:val="32"/>
          <w:lang w:val="en-US" w:eastAsia="zh-CN" w:bidi="ar-SA"/>
        </w:rPr>
        <w:t>；</w:t>
      </w:r>
      <w:r>
        <w:rPr>
          <w:rFonts w:hint="eastAsia" w:ascii="仿宋_GB2312" w:hAnsi="Calibri" w:eastAsia="仿宋_GB2312" w:cs="仿宋_GB2312"/>
          <w:color w:val="000000"/>
          <w:kern w:val="0"/>
          <w:sz w:val="32"/>
          <w:szCs w:val="32"/>
          <w:lang w:val="en-US" w:eastAsia="zh-CN" w:bidi="ar-SA"/>
        </w:rPr>
        <w:t>发生</w:t>
      </w:r>
      <w:r>
        <w:rPr>
          <w:rFonts w:hint="default" w:ascii="仿宋_GB2312" w:hAnsi="Calibri" w:eastAsia="仿宋_GB2312" w:cs="仿宋_GB2312"/>
          <w:color w:val="000000"/>
          <w:kern w:val="0"/>
          <w:sz w:val="32"/>
          <w:szCs w:val="32"/>
          <w:lang w:val="en-US" w:eastAsia="zh-CN" w:bidi="ar-SA"/>
        </w:rPr>
        <w:t>社会安全事件类</w:t>
      </w:r>
      <w:r>
        <w:rPr>
          <w:rFonts w:hint="eastAsia" w:ascii="仿宋_GB2312" w:hAnsi="Calibri" w:eastAsia="仿宋_GB2312" w:cs="仿宋_GB2312"/>
          <w:color w:val="000000"/>
          <w:kern w:val="0"/>
          <w:sz w:val="32"/>
          <w:szCs w:val="32"/>
          <w:lang w:val="en-US" w:eastAsia="zh-CN" w:bidi="ar-SA"/>
        </w:rPr>
        <w:t>，</w:t>
      </w:r>
      <w:r>
        <w:rPr>
          <w:rFonts w:hint="default" w:ascii="仿宋_GB2312" w:hAnsi="Calibri" w:eastAsia="仿宋_GB2312" w:cs="仿宋_GB2312"/>
          <w:color w:val="000000"/>
          <w:kern w:val="0"/>
          <w:sz w:val="32"/>
          <w:szCs w:val="32"/>
          <w:lang w:val="en-US" w:eastAsia="zh-CN" w:bidi="ar-SA"/>
        </w:rPr>
        <w:t>及时上报</w:t>
      </w:r>
      <w:r>
        <w:rPr>
          <w:rFonts w:hint="eastAsia" w:ascii="仿宋_GB2312" w:hAnsi="Calibri" w:eastAsia="仿宋_GB2312" w:cs="仿宋_GB2312"/>
          <w:color w:val="000000"/>
          <w:kern w:val="0"/>
          <w:sz w:val="32"/>
          <w:szCs w:val="32"/>
          <w:lang w:val="en-US" w:eastAsia="zh-CN" w:bidi="ar-SA"/>
        </w:rPr>
        <w:t>县</w:t>
      </w:r>
      <w:r>
        <w:rPr>
          <w:rFonts w:hint="default" w:ascii="仿宋_GB2312" w:hAnsi="Calibri" w:eastAsia="仿宋_GB2312" w:cs="仿宋_GB2312"/>
          <w:color w:val="000000"/>
          <w:kern w:val="0"/>
          <w:sz w:val="32"/>
          <w:szCs w:val="32"/>
          <w:lang w:val="en-US" w:eastAsia="zh-CN" w:bidi="ar-SA"/>
        </w:rPr>
        <w:t>公安</w:t>
      </w:r>
      <w:r>
        <w:rPr>
          <w:rFonts w:hint="eastAsia" w:ascii="仿宋_GB2312" w:hAnsi="Calibri" w:eastAsia="仿宋_GB2312" w:cs="仿宋_GB2312"/>
          <w:color w:val="000000"/>
          <w:kern w:val="0"/>
          <w:sz w:val="32"/>
          <w:szCs w:val="32"/>
          <w:lang w:val="en-US" w:eastAsia="zh-CN" w:bidi="ar-SA"/>
        </w:rPr>
        <w:t>局；各信息归口部门接到突发事件信息报告后，要及时研判，并上报县委县政府总值班室。</w:t>
      </w:r>
    </w:p>
    <w:p w14:paraId="28948B4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default" w:ascii="仿宋_GB2312" w:hAnsi="Calibri" w:eastAsia="仿宋_GB2312" w:cs="仿宋_GB2312"/>
          <w:color w:val="000000"/>
          <w:kern w:val="0"/>
          <w:sz w:val="32"/>
          <w:szCs w:val="32"/>
          <w:lang w:val="en-US" w:eastAsia="zh-CN" w:bidi="ar-SA"/>
        </w:rPr>
      </w:pPr>
      <w:r>
        <w:rPr>
          <w:rFonts w:hint="eastAsia" w:ascii="仿宋_GB2312" w:hAnsi="Calibri" w:eastAsia="仿宋_GB2312" w:cs="仿宋_GB2312"/>
          <w:color w:val="000000"/>
          <w:kern w:val="0"/>
          <w:sz w:val="32"/>
          <w:szCs w:val="32"/>
          <w:lang w:val="en-US" w:eastAsia="zh-CN" w:bidi="ar-SA"/>
        </w:rPr>
        <w:t>对事件比较敏感或发生在敏感地区、敏感时间，极可能演化为一般以上突发事件的信息，县委县政府总值班室请示县委、县政府主要领导同意后，第一时间向省委总值班室、省政府总值班室报告。重大节假日和特殊时期实行突发事件零报告制度。</w:t>
      </w:r>
    </w:p>
    <w:p w14:paraId="3E3B7A4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6.1.2 初始信息和预测信息报告</w:t>
      </w:r>
    </w:p>
    <w:p w14:paraId="6BDDDFA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监测机构、监测网点、专兼职信息报告员和其他负有监测职责的单位及其工作人员，发现突发事件可能发生、即将发生或者已经发生的，应当在第一时间通过县应急信息报送平台和其他专门通信系统向事发地乡镇政府、县应急管理局和行业主管部门上报。</w:t>
      </w:r>
    </w:p>
    <w:p w14:paraId="5D87845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其他单位和个人发现突发事件可能发生、即将发生或者已经发生的，立即向县应急管理局、县公安局、县卫健委、所在乡镇政府及主管部门和责任单位报告，或通过110、119、120、122、12345、12395和事故灾难应急受理专线电话等途径报警。</w:t>
      </w:r>
    </w:p>
    <w:p w14:paraId="3CE4623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建立和完善县突发事件信息共享与通报机制，有效实现县突发事件信息报送的无缝链接。接到报告的部门应立即按照突发事件分级标准，对事件性质、严重程度、可控性和影响范围等因素进行核实和综合研判，作出初步判断。必要时，根据突发事件类别，组织相关部门、有关专家咨询，评估发生突发事件的可能性。认为可能发生突发事件，县应急委应当及时向省应急委报告，同时向可能受到危害的毗邻市、县政府通报。</w:t>
      </w:r>
    </w:p>
    <w:p w14:paraId="04C04F8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（4）各行业信息归口部门接到各类基础信息和动态信息后，应迅速进行信息处理，在1小时内上报县委县政府总值班室，并通报县应急委成员单位。</w:t>
      </w:r>
    </w:p>
    <w:p w14:paraId="1E13493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发生突发事件后，县应急管理局、县公安局、县卫健委应按规定及时将信息报到县委县政府总值班室，并随时续报汇总现场采集的相关动态信息。现场信息采集报送由专项指挥部办公室主任负总责，具体报送人员由专项指挥部办公室主任指定，一般由负责事件处置的牵头单位或事发乡镇政府信息专报员承担。现场具体信息专报员确定后及时报告县应急管理局、县公安局、县卫健委和县有关专项应急指挥部，现场救援处置动态信息应主动、快速、及时、不间断报送县应急管理局、县公安局、县卫健委和县有关专项应急指挥部。</w:t>
      </w:r>
    </w:p>
    <w:p w14:paraId="03EB661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（6）各行业主管部门要组织有关专家迅速对灾情信息进行分析、评估，筛选提出紧急处置方案和建议，供县应急委指挥决策参考。各职能部门要及时、主动为县应急委的紧急决策提供信息服务和支持。</w:t>
      </w:r>
    </w:p>
    <w:p w14:paraId="5AC59B78">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（7）发生涉外突发事件的，由现场指挥部上报县应急委，由县应急委报告省应急委，并通知省外事办公室按正规渠道上报相关部门，按有关规定办理。</w:t>
      </w:r>
    </w:p>
    <w:p w14:paraId="3421676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（8）对于暂时无法判明等级的突发事件，应迅速核实，同时根据事件可能达到或演化的级别和影响程度，参照上述规定做好信息上报和续报。</w:t>
      </w:r>
    </w:p>
    <w:p w14:paraId="55317AF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6.1.3 突发事件信息上报内容</w:t>
      </w:r>
    </w:p>
    <w:p w14:paraId="4C95FA0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突发事件信息上报内容应包括：时间、地点、信息来源、事件性质、危害程度、影响范围、事件趋势、初步原因、已采取措施等，并及时续报事件处置进展情况。</w:t>
      </w:r>
    </w:p>
    <w:p w14:paraId="11D3B35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6.1.4 报告时限</w:t>
      </w:r>
    </w:p>
    <w:p w14:paraId="3C3CF79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凡属报告范围的突发事件，事发乡镇政府、县政府相关部门、相关单位必须严格遵守突发事件应急信息限时报送制度规定。发生一般突发事件，接到报告后必须在事件发生1小时内，向县应急管理局或行业主管部门初报，接着再续报；发生较大、重大或特别重大突发事件，必须立即报告。</w:t>
      </w:r>
    </w:p>
    <w:p w14:paraId="7C2D578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对于较大、重大、特别重大突发事件信息，县委县政府总值班室、县应急管理局和各行业主管部门必须在第一时间向省委、省政府总值班室及上级行业主管部门报告。</w:t>
      </w:r>
    </w:p>
    <w:p w14:paraId="25B226F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对于事件本身比较敏感或发生在敏感地区、敏感时间，或可能演化为较大、重大、特别重大以上突发事件的信息，必须立即报告。对于涉及</w:t>
      </w:r>
      <w:bookmarkStart w:id="196" w:name="_GoBack"/>
      <w:bookmarkEnd w:id="196"/>
      <w:r>
        <w:rPr>
          <w:rFonts w:hint="eastAsia" w:ascii="仿宋_GB2312" w:hAnsi="Calibri" w:eastAsia="仿宋_GB2312" w:cs="仿宋_GB2312"/>
          <w:color w:val="auto"/>
          <w:kern w:val="0"/>
          <w:sz w:val="32"/>
          <w:szCs w:val="32"/>
          <w:lang w:val="en-US" w:eastAsia="zh-CN" w:bidi="ar-SA"/>
        </w:rPr>
        <w:t>港澳驻县机构、港澳台人员，外国在县机构、人员或县属驻外（港澳）派出机构、赴外（港澳）人员事件，县外事办公室或县应急管理局必须立即报告县委、县政府及省应急管理厅、省政府总值班室和省委总值班室，同时报省外事办公室。</w:t>
      </w:r>
    </w:p>
    <w:p w14:paraId="09B0C7A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6.1.5 人员伤亡和失踪信息报送</w:t>
      </w:r>
    </w:p>
    <w:p w14:paraId="6F31E8F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死亡、受伤和失踪人员的数量、姓名等信息，由事发单位提供，现场指挥部掌握并发布，同时报县应急委。</w:t>
      </w:r>
    </w:p>
    <w:p w14:paraId="21B6B4C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6.1.6 信息通报</w:t>
      </w:r>
    </w:p>
    <w:p w14:paraId="74EA05F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生突发事件，涉及或影响到本县行政区域外时，按照事件的实际级别与相关市县实行通报。发生Ⅳ级、Ⅲ级事件时，由县应急委及时通报相关市县应急管理部门；发生Ⅱ级和I级事件时，由行业主管部门及时上报上级行业主管部门。</w:t>
      </w:r>
    </w:p>
    <w:p w14:paraId="712503F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7" w:name="_Toc7101"/>
      <w:r>
        <w:rPr>
          <w:rFonts w:hint="eastAsia" w:ascii="楷体_GB2312" w:hAnsi="Arial" w:eastAsia="楷体_GB2312" w:cs="楷体_GB2312"/>
          <w:color w:val="auto"/>
          <w:kern w:val="0"/>
          <w:sz w:val="32"/>
          <w:szCs w:val="32"/>
          <w:lang w:val="en-US" w:eastAsia="zh-CN" w:bidi="ar-SA"/>
        </w:rPr>
        <w:t>6.2 先期处置</w:t>
      </w:r>
      <w:bookmarkEnd w:id="37"/>
    </w:p>
    <w:p w14:paraId="589CFD5C">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6.2.1突发事件发生后，事发单位及责任部门主要负责人应第一时间赶赴现场，组织指挥本单位应急救援队伍和工作人员营救受害人员，疏散、撤离、安置受到威胁的人员；控制危险源，标明危险区域，封锁危险场所，采取管控、疏导、分离等必要措施防止危害扩大的必要措施；向公众发出危险或避险警示，采取必要的安全防护措施，防止次生、衍生事件，迅速果断控制事态发展；收集现场信息，向所在地政府及有关部门、单位报告。</w:t>
      </w:r>
    </w:p>
    <w:p w14:paraId="61A83B4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6.2.2事发地乡镇政府及有关部门应调动应急救援力量，采取措施控制事态发展，组织开展应急救援和处置工作，按照突发事件分类及时向县应急管理局、县公安局和县卫健委或行业主管部门报告。事发地居委会、村委会和其他组织要按照县应急委的决定、命令进行宣传动员，组织群众开展自救互救，协助维护社会秩序。</w:t>
      </w:r>
    </w:p>
    <w:p w14:paraId="42AA365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6.2.3在境外发生涉及本县公民和机构的突发事件，县委统战部和县外事办公室及县相关部门、有关单位要积极配合驻外机构做好境外领事保护工作。</w:t>
      </w:r>
    </w:p>
    <w:p w14:paraId="5FA52E6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8" w:name="_Toc7755"/>
      <w:r>
        <w:rPr>
          <w:rFonts w:hint="eastAsia" w:ascii="楷体_GB2312" w:hAnsi="Arial" w:eastAsia="楷体_GB2312" w:cs="楷体_GB2312"/>
          <w:color w:val="auto"/>
          <w:kern w:val="0"/>
          <w:sz w:val="32"/>
          <w:szCs w:val="32"/>
          <w:lang w:val="en-US" w:eastAsia="zh-CN" w:bidi="ar-SA"/>
        </w:rPr>
        <w:t>6.3 基本响应与分级响应</w:t>
      </w:r>
      <w:bookmarkEnd w:id="38"/>
    </w:p>
    <w:p w14:paraId="428B180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6.3.1 基本响应</w:t>
      </w:r>
    </w:p>
    <w:p w14:paraId="276F0CE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发生后，县应急管理局应与相关部门会商，根据突发事件初始信息，从事件级别、应急资源匹配程度、社会影响、上级政府关注程度等方面综合判断，提出需启动的应急预案和应急响应级别建议。并在先期处置的基础上，由县应急委按照分级响应的原则和标准启动相应级别的专项应急预案进行处置。</w:t>
      </w:r>
    </w:p>
    <w:p w14:paraId="64DCF67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6.3.2 分级响应</w:t>
      </w:r>
    </w:p>
    <w:p w14:paraId="4B23863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 w:hAnsi="仿宋" w:eastAsia="仿宋" w:cs="宋体"/>
          <w:b w:val="0"/>
          <w:bCs w:val="0"/>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发生Ⅳ级、Ⅲ级事件，启动县政府专项应急预案进行处置；发生Ⅱ级、I级事件，报请省政府启动相应的专项应急预案进行处置，县相应专项应急指挥部全力参与并进行先期处置。事件已受到有效控制、影响范围已明显减少的，可考虑降低响应级别。应对同一突发事件需要启动多个应急预案时，应根据事件的主要成因和性质，启动主要的应急预案。</w:t>
      </w:r>
    </w:p>
    <w:p w14:paraId="2BA2E56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6.3.3 联合应急响应</w:t>
      </w:r>
    </w:p>
    <w:p w14:paraId="3C3FABA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生跨行政区域、跨行业的突发事件时，事发地乡镇政府和有关部门要及时联系，相互沟通和协调，了解和掌握事件信息。县外发生涉及本县的突发事件时，视具体情况，按照有关规定，启动县有关专项应急预案配合进行处置。</w:t>
      </w:r>
    </w:p>
    <w:p w14:paraId="5108803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6.3.4 涉外应急响应</w:t>
      </w:r>
    </w:p>
    <w:p w14:paraId="6E77DF9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发生涉外突发事件时，县政府办、县政法委、县委外事办、县发改委、县教育局、县旅文局等部门，要根据紧急处置工作需要和部门职责分工，在县应急委的统一指挥下，参与应急处置工作。</w:t>
      </w:r>
    </w:p>
    <w:p w14:paraId="5B814A4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6.3.5 事发地乡镇政府应急响应</w:t>
      </w:r>
    </w:p>
    <w:p w14:paraId="3324DA2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发生后，事发地乡镇政府应立即向县应急管理局或行业主管部门报告，并采取措施，启动乡镇政府应急预案全力进行先期处置，随时向县应急管理局、县公安局、县卫健委及有关行业主管部门报告先期处置情况。事发地乡镇政府主要领导应赶赴现场，指挥有关应急救援队伍控制事态发展，努力减少损失。同时组织力量对事件的性质、类别、危害程度、影响范围等进行核实与初步评估，并立即向县应急管理局、县公安局和县卫健委及有关行业主管部门报告。根据实际情况，采取下列应对措施：</w:t>
      </w:r>
    </w:p>
    <w:p w14:paraId="4921A52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（1）实施紧急疏散和救援行动，组织群众开展自救互救；</w:t>
      </w:r>
    </w:p>
    <w:p w14:paraId="6B7D0E1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（2）紧急调配辖区应急资源用于应急处置；</w:t>
      </w:r>
    </w:p>
    <w:p w14:paraId="1A4B15F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（3）依法划定警戒区域，采取必要强制措施；</w:t>
      </w:r>
    </w:p>
    <w:p w14:paraId="66638E6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（4）对现场实施动态监测，采取必要的安全防护措施，防止次生、衍生事件的连锁反应，迅速果断地控制局面；</w:t>
      </w:r>
    </w:p>
    <w:p w14:paraId="55DE738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（5）向公众发出危险或避险警告；</w:t>
      </w:r>
    </w:p>
    <w:p w14:paraId="7510FA9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（6）乡镇政府自身无法有效控制事态发展的，应及时请求县政府给予支援。影响或可能影响其他市县的，事发地乡镇政府应当及时向县应急管理局报告，并由县应急管理局通报相关市县应急管理部门；</w:t>
      </w:r>
    </w:p>
    <w:p w14:paraId="48D0874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（7）其他必要的先期处置措施。</w:t>
      </w:r>
    </w:p>
    <w:p w14:paraId="0BE97D53">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6.3.6 县人民政府应急响应</w:t>
      </w:r>
    </w:p>
    <w:p w14:paraId="4C992A7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县应急管理局和相关部门接到较大、重大、特别重大突发事件报告后，应根据突发事件的性质、危害程度、影响范围和可控性，采取如下对策：</w:t>
      </w:r>
    </w:p>
    <w:p w14:paraId="7AB363C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（1）立即向县政府主要领导报告有关情况，责成县政府相关部门立即采取相应的应急措施；</w:t>
      </w:r>
    </w:p>
    <w:p w14:paraId="7760464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（2）派出应急工作组、专家组或相关部门负责人赶赴事发地进行指导和督查；</w:t>
      </w:r>
    </w:p>
    <w:p w14:paraId="6D60F2E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（3）批准启动县专项应急预案，专项应急指挥机构立即开始运作；</w:t>
      </w:r>
    </w:p>
    <w:p w14:paraId="6DC04EE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（4）调集专业处置力量和抢险救援物资增援，必要时，请求驻县部队和武警部队给予支援；</w:t>
      </w:r>
    </w:p>
    <w:p w14:paraId="14B7CFF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（5）县长或分管副县长赶赴事发地，靠前指挥；</w:t>
      </w:r>
    </w:p>
    <w:p w14:paraId="6E22EE8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（6）及时向省政府及相关部门报告。必要时，请求省政府或相关部门给予支持。</w:t>
      </w:r>
    </w:p>
    <w:p w14:paraId="6612CE2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应及时将县应急委决定传达到事发地乡镇政府、县相关专项应急指挥机构和县政府相关部门，并督办落实情况；加强与事发地乡镇政府和相关方面的联系，掌握事件动态信息，及时向县应急委报告，为县应急委的决策提出参考意见。专项应急预案启动后，担任指挥长的县长或分管副县长应迅速组织事发地乡镇政府和县政府相关部门按应急预案部署行动方案，责成各相关部门和单位的领导及工作人员按照县突发事件应急联动的职责分工，立即开展应急处置、应急保障等工作，保证组织到位、应急救援队伍到位、应急物资和保障到位。县突发事件应急联动的职责分工由县各专项应急预案具体规定。</w:t>
      </w:r>
    </w:p>
    <w:p w14:paraId="14112CE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39" w:name="_Toc22524"/>
      <w:r>
        <w:rPr>
          <w:rFonts w:hint="eastAsia" w:ascii="楷体_GB2312" w:hAnsi="Arial" w:eastAsia="楷体_GB2312" w:cs="楷体_GB2312"/>
          <w:color w:val="auto"/>
          <w:kern w:val="0"/>
          <w:sz w:val="32"/>
          <w:szCs w:val="32"/>
          <w:lang w:val="en-US" w:eastAsia="zh-CN" w:bidi="ar-SA"/>
        </w:rPr>
        <w:t>6.4 指挥与协调</w:t>
      </w:r>
      <w:bookmarkEnd w:id="39"/>
    </w:p>
    <w:p w14:paraId="60F0E76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6.4.1 研判决策</w:t>
      </w:r>
    </w:p>
    <w:p w14:paraId="7BF7295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突发事件发生后，由县应急管理局组织行业主管部门、县应急专家组对接报的信息进行综合分析、评估与判定，第一时间内作出启动预案或者不响应的建议，报请县应急委决策。</w:t>
      </w:r>
    </w:p>
    <w:p w14:paraId="6CDCF8EA">
      <w:pPr>
        <w:keepNext w:val="0"/>
        <w:keepLines w:val="0"/>
        <w:pageBreakBefore w:val="0"/>
        <w:widowControl w:val="0"/>
        <w:kinsoku/>
        <w:overflowPunct/>
        <w:autoSpaceDE/>
        <w:autoSpaceDN/>
        <w:bidi w:val="0"/>
        <w:spacing w:before="0" w:beforeAutospacing="0" w:after="0" w:afterAutospacing="0" w:line="560" w:lineRule="exact"/>
        <w:ind w:left="0" w:leftChars="0" w:firstLine="602" w:firstLineChars="200"/>
        <w:jc w:val="both"/>
        <w:textAlignment w:val="auto"/>
        <w:outlineLvl w:val="9"/>
        <w:rPr>
          <w:rFonts w:hint="eastAsia" w:ascii="仿宋" w:hAnsi="仿宋" w:eastAsia="仿宋" w:cs="宋体"/>
          <w:b/>
          <w:bCs/>
          <w:color w:val="auto"/>
          <w:kern w:val="0"/>
          <w:sz w:val="30"/>
          <w:szCs w:val="30"/>
          <w:lang w:val="en-US" w:eastAsia="zh-CN" w:bidi="ar-SA"/>
        </w:rPr>
      </w:pPr>
      <w:r>
        <w:rPr>
          <w:rFonts w:hint="eastAsia" w:ascii="仿宋" w:hAnsi="仿宋" w:eastAsia="仿宋" w:cs="宋体"/>
          <w:b/>
          <w:bCs/>
          <w:color w:val="auto"/>
          <w:kern w:val="0"/>
          <w:sz w:val="30"/>
          <w:szCs w:val="30"/>
          <w:lang w:val="en-US" w:eastAsia="zh-CN" w:bidi="ar-SA"/>
        </w:rPr>
        <w:t>6.4.2 现场指挥部的设置及通报</w:t>
      </w:r>
    </w:p>
    <w:p w14:paraId="43D8876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现场指挥部设在灾害事故现场周边适当的位置，也可设在具有视频、音频、数据信息传输功能的指挥通信车辆上。要保证情况掌握及时，信息通信顺畅，指挥迅速且不间断。要建立专门工作标识，保证现场指挥部正常工作秩序。</w:t>
      </w:r>
    </w:p>
    <w:p w14:paraId="3223A7F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现场指挥部成立后，县应急委应将现场指挥部组成情况、设置地点、联系方式等信息通报县有关部门、事发地乡镇政府和相关单位。</w:t>
      </w:r>
    </w:p>
    <w:p w14:paraId="280111E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6.4.3 现场指挥部基本工作程序</w:t>
      </w:r>
    </w:p>
    <w:p w14:paraId="54D7CBE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察看事件发生现场；组织人员救护；听取先期处理报告情况；传达县应急委的有关指示；在听取专家建议和意见的基础上，对突发事件进行综合分析、评估，制定处置措施；按处置工作方案发布命令，全面展开各项紧急处置工作。</w:t>
      </w:r>
    </w:p>
    <w:p w14:paraId="245E318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0" w:name="_Toc12170"/>
      <w:r>
        <w:rPr>
          <w:rFonts w:hint="eastAsia" w:ascii="楷体_GB2312" w:hAnsi="Arial" w:eastAsia="楷体_GB2312" w:cs="楷体_GB2312"/>
          <w:color w:val="auto"/>
          <w:kern w:val="0"/>
          <w:sz w:val="32"/>
          <w:szCs w:val="32"/>
          <w:lang w:val="en-US" w:eastAsia="zh-CN" w:bidi="ar-SA"/>
        </w:rPr>
        <w:t>6.5 响应升级</w:t>
      </w:r>
      <w:bookmarkEnd w:id="40"/>
    </w:p>
    <w:p w14:paraId="73F68F8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因突发事件次生或衍生出其它突发事件，已经采取的应急措施不足以控制事态发展，需由多个专项应急指挥部、多个部门（单位）增援参与应急处置的，先期牵头处置的专项应急指挥部、有关部门（单位）应及时报告县应急委。</w:t>
      </w:r>
    </w:p>
    <w:p w14:paraId="649E8A5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当突发事件造成的危害程度超出本县自身控制能力，需要省政府或其他市县提供援助和支持时，县委县政府总值班室应立即上报省委总值班室和省政府总值班室。当发生巨灾时，县应急管理局、各专项指挥部办公室、相关部门、有关单位要立即协调全县应急力量，全面开展先期处置，有效遏制突发事件可能造成的损失，配合上级政府做好各项应急响应。</w:t>
      </w:r>
    </w:p>
    <w:p w14:paraId="65F95F3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1" w:name="_Toc237"/>
      <w:r>
        <w:rPr>
          <w:rFonts w:hint="eastAsia" w:ascii="楷体_GB2312" w:hAnsi="Arial" w:eastAsia="楷体_GB2312" w:cs="楷体_GB2312"/>
          <w:color w:val="auto"/>
          <w:kern w:val="0"/>
          <w:sz w:val="32"/>
          <w:szCs w:val="32"/>
          <w:lang w:val="en-US" w:eastAsia="zh-CN" w:bidi="ar-SA"/>
        </w:rPr>
        <w:t>6.6 社会动员</w:t>
      </w:r>
      <w:bookmarkEnd w:id="41"/>
    </w:p>
    <w:p w14:paraId="38A19B8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县应急委应当根据应对突发事件的实际需要，动员公民、法人和其他组织，配合政府及有关部门做好灾害防御、自救互救、道路引领、后勤保障、秩序维护、医疗救援、卫生防疫、心理疏导等协助处置工作。</w:t>
      </w:r>
    </w:p>
    <w:p w14:paraId="1A1798F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全县范围内的突发事件社会动员，由县应急委提请县政府批准。乡镇政府范围内的社会动员，由各乡镇政府报请县政府批准。局部小范围内的社会动员，由各乡镇政府决定并组织实施。</w:t>
      </w:r>
    </w:p>
    <w:p w14:paraId="44BBDB1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2" w:name="_Toc4810"/>
      <w:r>
        <w:rPr>
          <w:rFonts w:hint="eastAsia" w:ascii="楷体_GB2312" w:hAnsi="Arial" w:eastAsia="楷体_GB2312" w:cs="楷体_GB2312"/>
          <w:color w:val="auto"/>
          <w:kern w:val="0"/>
          <w:sz w:val="32"/>
          <w:szCs w:val="32"/>
          <w:lang w:val="en-US" w:eastAsia="zh-CN" w:bidi="ar-SA"/>
        </w:rPr>
        <w:t>6.7 信息发布和新闻报道</w:t>
      </w:r>
      <w:bookmarkEnd w:id="42"/>
    </w:p>
    <w:p w14:paraId="4EC3CDD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6.7.1 信息发布</w:t>
      </w:r>
    </w:p>
    <w:p w14:paraId="061FA06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r>
        <w:rPr>
          <w:rFonts w:hint="eastAsia" w:ascii="仿宋_GB2312" w:hAnsi="Calibri" w:eastAsia="仿宋_GB2312" w:cs="仿宋_GB2312"/>
          <w:color w:val="auto"/>
          <w:kern w:val="0"/>
          <w:sz w:val="32"/>
          <w:szCs w:val="32"/>
          <w:lang w:val="en-US" w:eastAsia="zh-CN" w:bidi="ar-SA"/>
        </w:rPr>
        <w:t>县应急委或者其授权机构负责统一发布突发事件相关信息。在启动应急响应1小时之内发布突发事件基本信息，随后发布初步核实情况、政府应对措施和公众防范措施等信息，并根据事件处置情况做好后续发布工作。县委宣传部（县政府新闻办）应派员参加现场指</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挥部工作，负责对突发事件现场媒体活动实施管理、协调和指导。县应急委办公室负责组织有关单位和专家撰写新闻稿、专家评论或灾情公告，报县应急委同意后统一向社会发布。</w:t>
      </w:r>
    </w:p>
    <w:p w14:paraId="3A84CA0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6.7.2 新闻发布和新闻报道</w:t>
      </w:r>
    </w:p>
    <w:p w14:paraId="130F9B3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一般和较大突发事件发生后，经应急委或县政府批准后，由县委宣传部（县政府新闻办）组织召开新闻发布会和邀请媒体，承担突发事件处置的牵头部门负责发布信息。重大、特别重大突发事件发生后，牵头部门配合县委宣传部（县政府新闻办）参加现场指挥部宣传组，协助现场指挥部在24小</w:t>
      </w:r>
      <w:r>
        <w:rPr>
          <w:rFonts w:hint="eastAsia" w:ascii="仿宋_GB2312" w:hAnsi="Calibri" w:eastAsia="仿宋_GB2312" w:cs="仿宋_GB2312"/>
          <w:color w:val="auto"/>
          <w:kern w:val="0"/>
          <w:sz w:val="32"/>
          <w:szCs w:val="32"/>
          <w:lang w:val="en-US" w:eastAsia="zh-CN" w:bidi="ar-SA"/>
        </w:rPr>
        <w:t>时之内组织突发事件的新闻发布、现场采访管理，及时、准确、客观、全面地发布突发事件信息，正确引导舆论导向。对于社会安全事件，依照有关规定开展相应工作。对于可能引起国际社会关注的突发事件，对外报道工作应由承担突发事件处置的牵头部门会同县委宣传部（县政府新闻办）等部门共同组织，各新闻媒体要严格遵守突发事件新闻报道的有关规定。</w:t>
      </w:r>
    </w:p>
    <w:p w14:paraId="67EC224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3" w:name="_Toc24720"/>
      <w:r>
        <w:rPr>
          <w:rFonts w:hint="eastAsia" w:ascii="楷体_GB2312" w:hAnsi="Arial" w:eastAsia="楷体_GB2312" w:cs="楷体_GB2312"/>
          <w:color w:val="auto"/>
          <w:kern w:val="0"/>
          <w:sz w:val="32"/>
          <w:szCs w:val="32"/>
          <w:lang w:val="en-US" w:eastAsia="zh-CN" w:bidi="ar-SA"/>
        </w:rPr>
        <w:t>6.8 应急处置结束</w:t>
      </w:r>
      <w:bookmarkEnd w:id="43"/>
    </w:p>
    <w:p w14:paraId="23DE39A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6.8.1突发事件处置工作已基本完成，事件危害基本消除，县专项应急指挥部或者现场指挥部确认突发事件得到有效控制、危害已经消除后，应向县应急委提出结束应急的申请。县应急委在综合各方面意见后，宣布应急结束。</w:t>
      </w:r>
    </w:p>
    <w:p w14:paraId="0B49083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6.8.2县应急委宣布结束现场应急处置工作后，现场指挥部解散，善后工作由县有关部门、事发地乡镇政府继续完成。</w:t>
      </w:r>
    </w:p>
    <w:p w14:paraId="076E77F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6.8.3应急处置阶段结束后，事发地乡镇政府或县专项应急指挥部应当在1周内向县应急委提交突发事件处置情况专题报告，报告内容包括：事件发生概况、人员伤亡或财产损失情况、事件处置情况、引发事件的原因初步分析、善后处理情况及拟采取的防范措施等。</w:t>
      </w:r>
    </w:p>
    <w:p w14:paraId="24AFD59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44" w:name="_Toc27867"/>
      <w:r>
        <w:rPr>
          <w:rFonts w:hint="eastAsia" w:ascii="黑体" w:hAnsi="黑体" w:eastAsia="黑体" w:cs="Times New Roman"/>
          <w:color w:val="000000"/>
          <w:kern w:val="0"/>
          <w:sz w:val="32"/>
          <w:szCs w:val="32"/>
          <w:lang w:val="en-US" w:eastAsia="zh-CN"/>
        </w:rPr>
        <w:t>7 后期处置</w:t>
      </w:r>
      <w:bookmarkEnd w:id="44"/>
    </w:p>
    <w:p w14:paraId="693C4A7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5" w:name="_Toc10262"/>
      <w:r>
        <w:rPr>
          <w:rFonts w:hint="eastAsia" w:ascii="楷体_GB2312" w:hAnsi="Arial" w:eastAsia="楷体_GB2312" w:cs="楷体_GB2312"/>
          <w:color w:val="auto"/>
          <w:kern w:val="0"/>
          <w:sz w:val="32"/>
          <w:szCs w:val="32"/>
          <w:lang w:val="en-US" w:eastAsia="zh-CN" w:bidi="ar-SA"/>
        </w:rPr>
        <w:t>7.1 善后处置</w:t>
      </w:r>
      <w:bookmarkEnd w:id="45"/>
    </w:p>
    <w:p w14:paraId="1F1FE86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应急处置阶段结束后，在县应急委统一领导下，各乡镇政府、相关部门、单位应及时制定恢复重建计划和救助、补偿、抚慰、抚恤、安置等善后工作方案，并组织实施。</w:t>
      </w:r>
    </w:p>
    <w:p w14:paraId="7AE21EB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善后处置工作由事发地乡镇政府和县政府有关职能部门牵头，组织县应急管理、民政、公安、卫健、生态环境、市政、人社、工会等相关部门参加，组成善后处置组，具体分工是：灾后重建、物资和劳务征用由乡镇政府、县民政局、县住建局负责；社会治安由县公安局负责；人员安置和赔偿工作由乡镇政府、县应急管理局、县民政局、县人社局负责；伤病员救援由县卫健委负责；化学污染物处置由县生态环境局负责；垃圾处理、道路清障、园林树木整理、市政设施维修等由县综合行政执法局负责。各单位对所负责的善后工作要制定严格的处置程序，尽快恢复灾区的正常工作和生活秩序。 </w:t>
      </w:r>
    </w:p>
    <w:p w14:paraId="1F1D969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6" w:name="_Toc21308"/>
      <w:r>
        <w:rPr>
          <w:rFonts w:hint="eastAsia" w:ascii="楷体_GB2312" w:hAnsi="Arial" w:eastAsia="楷体_GB2312" w:cs="楷体_GB2312"/>
          <w:color w:val="auto"/>
          <w:kern w:val="0"/>
          <w:sz w:val="32"/>
          <w:szCs w:val="32"/>
          <w:lang w:val="en-US" w:eastAsia="zh-CN" w:bidi="ar-SA"/>
        </w:rPr>
        <w:t>7.2 社会救助</w:t>
      </w:r>
      <w:bookmarkEnd w:id="46"/>
    </w:p>
    <w:p w14:paraId="6A92A09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7.2.1县应急管理局或事发地乡镇政府负责统筹突发事件社会救助工作，做好救灾物资和生活必需品的调拨与发放，安置好受灾群众，保障灾民的基本生活。</w:t>
      </w:r>
    </w:p>
    <w:p w14:paraId="40FDE0A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7.2.2县应急管理局或事发地乡镇政府可根据事件损失情况，在一定范围内号召社会、个人捐款捐物，并协调、组织救灾捐助和捐赠款物的分配、调拨；各级接受救灾捐赠部门应立即开通24小时捐赠热线，启动社会募捐机制，动员社会各界提供援助，并按照规定程序安排使用。</w:t>
      </w:r>
    </w:p>
    <w:p w14:paraId="66FF055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县应急管理局要进一步规范接受捐赠工作的制度，为灾后社会救助工作提供物资和资金补充。县审计局负责对捐赠款物的使用情况进行审计监督。</w:t>
      </w:r>
    </w:p>
    <w:p w14:paraId="1B8096B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7.2.3县红十字会、县民政局、县慈善机构等社会公益性组织，应依据相关法律法规和行政规章，积极开展互助互济和救灾捐赠活动。加强与国际红十字会等国际组织的交流与合作，积极吸纳国际捐赠的救助款物。</w:t>
      </w:r>
    </w:p>
    <w:p w14:paraId="1E571D9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突发事件受害人的合法权益得不到合理解决的，应为受害人员提供法律援助。</w:t>
      </w:r>
    </w:p>
    <w:p w14:paraId="76170B1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县卫健委要组织专家及时开展心理咨询、安抚救援工作。</w:t>
      </w:r>
    </w:p>
    <w:p w14:paraId="7324D71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7" w:name="_Toc949"/>
      <w:r>
        <w:rPr>
          <w:rFonts w:hint="eastAsia" w:ascii="楷体_GB2312" w:hAnsi="Arial" w:eastAsia="楷体_GB2312" w:cs="楷体_GB2312"/>
          <w:color w:val="auto"/>
          <w:kern w:val="0"/>
          <w:sz w:val="32"/>
          <w:szCs w:val="32"/>
          <w:lang w:val="en-US" w:eastAsia="zh-CN" w:bidi="ar-SA"/>
        </w:rPr>
        <w:t>7.3 社会保险</w:t>
      </w:r>
      <w:bookmarkEnd w:id="47"/>
      <w:r>
        <w:rPr>
          <w:rFonts w:hint="eastAsia" w:ascii="楷体_GB2312" w:hAnsi="Arial" w:eastAsia="楷体_GB2312" w:cs="楷体_GB2312"/>
          <w:color w:val="auto"/>
          <w:kern w:val="0"/>
          <w:sz w:val="32"/>
          <w:szCs w:val="32"/>
          <w:lang w:val="en-US" w:eastAsia="zh-CN" w:bidi="ar-SA"/>
        </w:rPr>
        <w:t xml:space="preserve"> </w:t>
      </w:r>
    </w:p>
    <w:p w14:paraId="3D6088F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发生后，保险机构要按照救援优先、特事特办和简化程序的原则，及时为遇难者亲属、事发单位理赔。各乡镇政府、县相关部门、有关单位应提前为应急救援人员购买人身意外伤害保险，有效降低应急救援人员的人身风险。</w:t>
      </w:r>
    </w:p>
    <w:p w14:paraId="6D737546">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8" w:name="_Toc17213"/>
      <w:r>
        <w:rPr>
          <w:rFonts w:hint="eastAsia" w:ascii="楷体_GB2312" w:hAnsi="Arial" w:eastAsia="楷体_GB2312" w:cs="楷体_GB2312"/>
          <w:color w:val="auto"/>
          <w:kern w:val="0"/>
          <w:sz w:val="32"/>
          <w:szCs w:val="32"/>
          <w:lang w:val="en-US" w:eastAsia="zh-CN" w:bidi="ar-SA"/>
        </w:rPr>
        <w:t>7.4 调查评估和总结</w:t>
      </w:r>
      <w:bookmarkEnd w:id="48"/>
    </w:p>
    <w:p w14:paraId="301267E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责任单位、行业主管部门要依照有关规定，组成联合调查组开展调查评估工作；调查评估工作需对突发事件发生的原因、过程和损失，以及事前、事发、事中、事后全过程的响应、处置和应急救援能力，进行全面客观的调查、分析、评估，找出不足并明确改进方向，提出改进措施，形成突发事件调查评估报告；有关单位应根据调查和总结成果，进一步完善和改进应急预案。调查报告应报县应急委，必要时向社会公布处理结果。</w:t>
      </w:r>
    </w:p>
    <w:p w14:paraId="40CD1E4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有关法律、法规、行政规章对突发事件调查评估工作另有规定的，依照其规定。</w:t>
      </w:r>
    </w:p>
    <w:p w14:paraId="6150967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49" w:name="_Toc7614"/>
      <w:r>
        <w:rPr>
          <w:rFonts w:hint="eastAsia" w:ascii="楷体_GB2312" w:hAnsi="Arial" w:eastAsia="楷体_GB2312" w:cs="楷体_GB2312"/>
          <w:color w:val="auto"/>
          <w:kern w:val="0"/>
          <w:sz w:val="32"/>
          <w:szCs w:val="32"/>
          <w:lang w:val="en-US" w:eastAsia="zh-CN" w:bidi="ar-SA"/>
        </w:rPr>
        <w:t>7.5恢复与重建</w:t>
      </w:r>
      <w:bookmarkEnd w:id="49"/>
    </w:p>
    <w:p w14:paraId="280E867F">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处置工作结束后，事发地乡镇政府或责任单位应立即组织制定恢复与重建计划，报县人民政府。负责落实资金、物资和技术保障，迅速组织开展生产自救，恢复生产、生活、工作和社会秩序，尽快修复被破坏的城市基础设施。</w:t>
      </w:r>
    </w:p>
    <w:p w14:paraId="51EC8EF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0"/>
        <w:rPr>
          <w:rFonts w:hint="eastAsia" w:ascii="仿宋" w:hAnsi="仿宋" w:eastAsia="仿宋" w:cs="Times New Roman"/>
          <w:color w:val="auto"/>
          <w:sz w:val="30"/>
          <w:szCs w:val="30"/>
        </w:rPr>
      </w:pPr>
      <w:bookmarkStart w:id="50" w:name="_Toc24350"/>
      <w:r>
        <w:rPr>
          <w:rFonts w:hint="eastAsia" w:ascii="黑体" w:hAnsi="黑体" w:eastAsia="黑体" w:cs="Times New Roman"/>
          <w:color w:val="000000"/>
          <w:kern w:val="0"/>
          <w:sz w:val="32"/>
          <w:szCs w:val="32"/>
          <w:lang w:val="en-US" w:eastAsia="zh-CN"/>
        </w:rPr>
        <w:t>8 保障措施</w:t>
      </w:r>
      <w:bookmarkEnd w:id="50"/>
      <w:r>
        <w:rPr>
          <w:rFonts w:hint="eastAsia" w:ascii="黑体" w:hAnsi="黑体" w:eastAsia="黑体" w:cs="Times New Roman"/>
          <w:color w:val="auto"/>
          <w:sz w:val="30"/>
          <w:szCs w:val="30"/>
        </w:rPr>
        <w:t xml:space="preserve">   </w:t>
      </w:r>
      <w:r>
        <w:rPr>
          <w:rFonts w:hint="eastAsia" w:ascii="仿宋" w:hAnsi="仿宋" w:eastAsia="仿宋" w:cs="Times New Roman"/>
          <w:color w:val="auto"/>
          <w:sz w:val="30"/>
          <w:szCs w:val="30"/>
        </w:rPr>
        <w:t xml:space="preserve"> </w:t>
      </w:r>
    </w:p>
    <w:p w14:paraId="2B42EAA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1" w:name="_Toc5058"/>
      <w:r>
        <w:rPr>
          <w:rFonts w:hint="eastAsia" w:ascii="楷体_GB2312" w:hAnsi="Arial" w:eastAsia="楷体_GB2312" w:cs="楷体_GB2312"/>
          <w:color w:val="auto"/>
          <w:kern w:val="0"/>
          <w:sz w:val="32"/>
          <w:szCs w:val="32"/>
          <w:lang w:val="en-US" w:eastAsia="zh-CN" w:bidi="ar-SA"/>
        </w:rPr>
        <w:t>8.1 指挥、通信、信息保障</w:t>
      </w:r>
      <w:bookmarkEnd w:id="51"/>
      <w:r>
        <w:rPr>
          <w:rFonts w:hint="eastAsia" w:ascii="楷体_GB2312" w:hAnsi="Arial" w:eastAsia="楷体_GB2312" w:cs="楷体_GB2312"/>
          <w:color w:val="auto"/>
          <w:kern w:val="0"/>
          <w:sz w:val="32"/>
          <w:szCs w:val="32"/>
          <w:lang w:val="en-US" w:eastAsia="zh-CN" w:bidi="ar-SA"/>
        </w:rPr>
        <w:t xml:space="preserve">  </w:t>
      </w:r>
    </w:p>
    <w:p w14:paraId="1DE38D7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8.1.1 应急指挥保障</w:t>
      </w:r>
    </w:p>
    <w:p w14:paraId="576A816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各专项应急指挥部办公室、相关部门、有关单位和各乡镇政府配合县应急委，建立县应急指挥技术支撑体系，以满足各种复杂情况下处置各类突发事件的指挥要求。主要包含：有线通信调度系统、无线通信指挥系统、图像监控系统、计算机网络应用系统、综合保障系统、信息报送系统、视频会议系统、移动指挥系统、预警信息发布系统等。各应急指挥岗位应明确接替顺序和人员，确保应急指挥连续。</w:t>
      </w:r>
    </w:p>
    <w:p w14:paraId="2C632D3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8.1.2 应急通信保障</w:t>
      </w:r>
    </w:p>
    <w:p w14:paraId="54D09BA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机要部门负责协调机要通信指挥保障。县科学技术和工业信息化局要组织各通信运营商和负有救援保障任务的政府部门、单位和企业建立通信系统日检查、周维护制度，加强信息采集和分析，及时提出改进通信的建议。以县有线政务专网和无线政务网为核心，形成覆盖乡镇、村（居）的网络传输体系，建立跨部门、多方式、多路由、有线和无线相结合、基础电信网络与机动通信系统相配套的应急通信系统。加强应急通信抢修队伍建设，保障重要通信设施、线路及装备的完好。</w:t>
      </w:r>
    </w:p>
    <w:p w14:paraId="129D930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所有参加救援的部门、单位要保持与县应急委的电话联系，及时报告现场情况；要确保应急期间各救援组现场救援力量与党政军领导机关的通讯畅通，各种通信方式应建立应急备份。</w:t>
      </w:r>
    </w:p>
    <w:p w14:paraId="71762B3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8.1.3 应急信息保障</w:t>
      </w:r>
    </w:p>
    <w:p w14:paraId="4EB2E3B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建设完善县政务地理空间信息资源共享服务平台，形成应急地理空间信息资源更新维护的长效机制，完善县应急管理信息资源库，建立各类风险与隐患监控数据库、专业数据库、应急预案库、应急专家库、辅助决策知识库以及应急管理信息资源目录体系，实现对突发事件应急指挥的辅助决策与支持。</w:t>
      </w:r>
    </w:p>
    <w:p w14:paraId="4402B7B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2" w:name="_Toc2365"/>
      <w:r>
        <w:rPr>
          <w:rFonts w:hint="eastAsia" w:ascii="楷体_GB2312" w:hAnsi="Arial" w:eastAsia="楷体_GB2312" w:cs="楷体_GB2312"/>
          <w:color w:val="auto"/>
          <w:kern w:val="0"/>
          <w:sz w:val="32"/>
          <w:szCs w:val="32"/>
          <w:lang w:val="en-US" w:eastAsia="zh-CN" w:bidi="ar-SA"/>
        </w:rPr>
        <w:t>8.2 应急队伍保障</w:t>
      </w:r>
      <w:bookmarkEnd w:id="52"/>
      <w:r>
        <w:rPr>
          <w:rFonts w:hint="eastAsia" w:ascii="楷体_GB2312" w:hAnsi="Arial" w:eastAsia="楷体_GB2312" w:cs="楷体_GB2312"/>
          <w:color w:val="auto"/>
          <w:kern w:val="0"/>
          <w:sz w:val="32"/>
          <w:szCs w:val="32"/>
          <w:lang w:val="en-US" w:eastAsia="zh-CN" w:bidi="ar-SA"/>
        </w:rPr>
        <w:t xml:space="preserve">    </w:t>
      </w:r>
    </w:p>
    <w:p w14:paraId="3C6B21A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8.2.1 综合应急救援队伍</w:t>
      </w:r>
    </w:p>
    <w:p w14:paraId="448B999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白沙黎族自治县综合应急救援队伍建设，依托县消防救援大队和县综合应急救援队伍组成，由县应急委协调，承担综合应急救援任务。</w:t>
      </w:r>
    </w:p>
    <w:p w14:paraId="086C741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8.2.2 专业应急救援队伍</w:t>
      </w:r>
    </w:p>
    <w:p w14:paraId="30A465E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加强综合应急救援、公安、消防、医疗卫生、地震救援、矿山救援、森林消防、防洪抢险、环境监测、危险化学品事故救援、道路交通事故、综合执法、基础信息网络和重要信息系统事故处置，以及水、电、油、气工程抢险救援等专业队伍和骨干力量建设。各专项应急指挥部、有关单位要做好本领域专业应急救援队伍规划、布局，充分发挥各自专业优势，经常性地开展协同演练，提高共同应对突发事件的能力。并根据需要和上级指令，承担其他抢险救援工作。各乡镇政府也要不断加强对应急救援队伍（民兵）的技能培训。</w:t>
      </w:r>
    </w:p>
    <w:p w14:paraId="4FAD54F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8.2.3 应急救援突击队伍</w:t>
      </w:r>
    </w:p>
    <w:p w14:paraId="4A6C373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驻县军警、预备役部队和民兵是本县处置突发事件的骨干力量，按照有关规定参与本县突发事件处置工作。建立健全军地协同机制，应急平台实现互联互通。</w:t>
      </w:r>
    </w:p>
    <w:p w14:paraId="73CFE23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8.2.4 社会应急队伍</w:t>
      </w:r>
    </w:p>
    <w:p w14:paraId="1406C4C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要组织动员社会各方面力量，建立基层应急救援队伍，完善信息报告员制度，加强日常管理和培训。充分发挥团县委、县红十字会等作用，鼓励社会团体、企事业单位等参与应急救援工作，努力提高应急队伍的社会化程度，形成群防群治队伍体系。</w:t>
      </w:r>
    </w:p>
    <w:p w14:paraId="4EFD674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健全社会动员机制，将应急志愿者服务纳入全县应急管理体系。由县应急管理局、团县委、县卫健委和县红十字会牵头，组织有相关知识、经验和资质的志愿者成立应急救援队，动员志愿者参与防灾避险、疏散安置、急救技能等应急知识宣教普及工作，随时准备参与突发事件的抢险救援、卫生防疫、群众安置、设施抢修和心理安抚等工作。各乡镇政府、县相关部门对志愿者队伍组织、技术装备、培训、应急演练、救援行动人身保险等方面给予支持和帮助。</w:t>
      </w:r>
    </w:p>
    <w:p w14:paraId="2ED47FB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仿宋" w:hAnsi="仿宋" w:eastAsia="仿宋" w:cs="Times New Roman"/>
          <w:b/>
          <w:bCs/>
          <w:color w:val="auto"/>
          <w:sz w:val="30"/>
          <w:szCs w:val="30"/>
        </w:rPr>
      </w:pPr>
      <w:bookmarkStart w:id="53" w:name="_Toc13708"/>
      <w:r>
        <w:rPr>
          <w:rFonts w:hint="eastAsia" w:ascii="楷体_GB2312" w:hAnsi="Arial" w:eastAsia="楷体_GB2312" w:cs="楷体_GB2312"/>
          <w:color w:val="auto"/>
          <w:kern w:val="0"/>
          <w:sz w:val="32"/>
          <w:szCs w:val="32"/>
          <w:lang w:val="en-US" w:eastAsia="zh-CN" w:bidi="ar-SA"/>
        </w:rPr>
        <w:t>8.3 交通运输保障</w:t>
      </w:r>
      <w:bookmarkEnd w:id="53"/>
      <w:r>
        <w:rPr>
          <w:rFonts w:hint="eastAsia" w:ascii="楷体_GB2312" w:hAnsi="Arial" w:eastAsia="楷体_GB2312" w:cs="楷体_GB2312"/>
          <w:color w:val="auto"/>
          <w:kern w:val="0"/>
          <w:sz w:val="32"/>
          <w:szCs w:val="32"/>
          <w:lang w:val="en-US" w:eastAsia="zh-CN" w:bidi="ar-SA"/>
        </w:rPr>
        <w:t xml:space="preserve">    </w:t>
      </w:r>
      <w:r>
        <w:rPr>
          <w:rFonts w:hint="eastAsia" w:ascii="仿宋" w:hAnsi="仿宋" w:eastAsia="仿宋" w:cs="Times New Roman"/>
          <w:b/>
          <w:bCs/>
          <w:color w:val="auto"/>
          <w:sz w:val="30"/>
          <w:szCs w:val="30"/>
        </w:rPr>
        <w:t xml:space="preserve"> </w:t>
      </w:r>
    </w:p>
    <w:p w14:paraId="3B2E10EE">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8.3.1建立健全交通运输保障联动机制。突发事件发生后，由县专项应急指挥部迅速组织力量配合县交通运输局、白沙公路分局、县有关部门和相关单位组织尽快对被毁坏的道路、桥涵、交通干线等交通设施进行抢修，保障交通畅通。</w:t>
      </w:r>
    </w:p>
    <w:p w14:paraId="538CECDE">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8.3.2县专项应急指挥部根据需要协调县交通部门调用一定数量安全系数高、性能好的车辆，确保处于良好状态，指定停放地点。由县交通运输局根据县政府或本部门制定的征用方案和驾驶员应急准备措施启用方案参与辖区内救援。</w:t>
      </w:r>
    </w:p>
    <w:p w14:paraId="17E2896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8.3.3县交通运输局与县公安局交警大队按照制定的交通管制方案，根据需要开设应急救援“绿色通道”，优先运送应急处置人员、物资和装备。  </w:t>
      </w:r>
    </w:p>
    <w:p w14:paraId="05560C0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4" w:name="_Toc30091"/>
      <w:r>
        <w:rPr>
          <w:rFonts w:hint="eastAsia" w:ascii="楷体_GB2312" w:hAnsi="Arial" w:eastAsia="楷体_GB2312" w:cs="楷体_GB2312"/>
          <w:color w:val="auto"/>
          <w:kern w:val="0"/>
          <w:sz w:val="32"/>
          <w:szCs w:val="32"/>
          <w:lang w:val="en-US" w:eastAsia="zh-CN" w:bidi="ar-SA"/>
        </w:rPr>
        <w:t>8.4 物资保障</w:t>
      </w:r>
      <w:bookmarkEnd w:id="54"/>
      <w:r>
        <w:rPr>
          <w:rFonts w:hint="eastAsia" w:ascii="楷体_GB2312" w:hAnsi="Arial" w:eastAsia="楷体_GB2312" w:cs="楷体_GB2312"/>
          <w:color w:val="auto"/>
          <w:kern w:val="0"/>
          <w:sz w:val="32"/>
          <w:szCs w:val="32"/>
          <w:lang w:val="en-US" w:eastAsia="zh-CN" w:bidi="ar-SA"/>
        </w:rPr>
        <w:t xml:space="preserve">    </w:t>
      </w:r>
    </w:p>
    <w:p w14:paraId="2A7792D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8.4.1建设应急物资储备库。按照实物储备与商业储备相结合、生产能力与技术储备相结合、政府采购与政府补贴相结合的方式，由县有关部门（单位）及县专项应急指挥部分区域、分部门制定本区域、本部门应急装备与备品备件的配置标准和应急物资储备计划，建设应急物资储备库，并使应急物资的监管、生产、储备、更新、补充、调拨和紧急配送体系处于动态优化中。</w:t>
      </w:r>
    </w:p>
    <w:p w14:paraId="39DBE25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合理配备应急救援所需的各种救援机械设备、监测仪器、交通工具、个体防护设备、医疗设备、药品及其它保障物资；根据实际状况，合理配置卫星通信设备、应急电源车等重要应急物资。</w:t>
      </w:r>
    </w:p>
    <w:p w14:paraId="37D91D5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8.4.2县应急委可指定相关单位酌情组织有加工能力的单位突击生产，确保应急救援的需要；根据需要协调县公安局交警大队、县交通运输局对现场救援物资进行有偿调拨和运输。</w:t>
      </w:r>
    </w:p>
    <w:p w14:paraId="7600F55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8.4.3负责突发事件处置的牵头部门根据处置需要提出应急物资需求，经县分管领导批准后，下达应急物资调拨指令。</w:t>
      </w:r>
    </w:p>
    <w:p w14:paraId="56398CD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8.4.4各专项应急指挥部、相关部门应充分利用外部资源，积极建立与上级部门、驻县军警、其他市县的物资调剂供应渠道，以备急需时从外地调入。</w:t>
      </w:r>
    </w:p>
    <w:p w14:paraId="3A2A93C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8.4.5必要时，县政府向单位和个人征用应急救援所需设备、设施、场地、交通工具和其他物资，要求生活必需品和应急救援物资的生产经营企业组织生产、保证供给。</w:t>
      </w:r>
    </w:p>
    <w:p w14:paraId="5497619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5" w:name="_Toc25911"/>
      <w:r>
        <w:rPr>
          <w:rFonts w:hint="eastAsia" w:ascii="楷体_GB2312" w:hAnsi="Arial" w:eastAsia="楷体_GB2312" w:cs="楷体_GB2312"/>
          <w:color w:val="auto"/>
          <w:kern w:val="0"/>
          <w:sz w:val="32"/>
          <w:szCs w:val="32"/>
          <w:lang w:val="en-US" w:eastAsia="zh-CN" w:bidi="ar-SA"/>
        </w:rPr>
        <w:t>8.5 医疗卫生保障</w:t>
      </w:r>
      <w:bookmarkEnd w:id="55"/>
      <w:r>
        <w:rPr>
          <w:rFonts w:hint="eastAsia" w:ascii="楷体_GB2312" w:hAnsi="Arial" w:eastAsia="楷体_GB2312" w:cs="楷体_GB2312"/>
          <w:color w:val="auto"/>
          <w:kern w:val="0"/>
          <w:sz w:val="32"/>
          <w:szCs w:val="32"/>
          <w:lang w:val="en-US" w:eastAsia="zh-CN" w:bidi="ar-SA"/>
        </w:rPr>
        <w:t xml:space="preserve">   </w:t>
      </w:r>
    </w:p>
    <w:p w14:paraId="4809FF8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8.5.1突发事件发生后，县卫健委负责组织医疗救护队伍到达救灾现场，对伤员进行救治；采取有效措施防止和控制灾区传染病的爆发流行；县市场监督管理局负责对灾区的食品安全情况进行检查和监测。</w:t>
      </w:r>
    </w:p>
    <w:p w14:paraId="6F31361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8.5.2根据“分级救治”原则，按照现场抢救、院前急救、专科治疗几个阶段，安排医护人员，组织实施救护。县120救护组负责应急处置工作中的现场抢救、院前急救工作；各级医院负责后续救治；团县委配合县红十字会应组织群众性救援队伍，积极配合专业医疗队伍，开展群众性救护、救援工作。</w:t>
      </w:r>
    </w:p>
    <w:p w14:paraId="7ED66AC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8.5.3在县120急救中心基础上，规划建设乡镇政府，村（居）卫生急救点，共同构成院前急救体系。</w:t>
      </w:r>
    </w:p>
    <w:p w14:paraId="4BC2E35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8.5.4县卫健委负责公共卫生信息系统建设。准确掌握本县急救资源状况（院前急救、综合医院急诊科、急救队伍等），建立动态数据库，明确医疗救治和疾病预防控制机构的资源分布、救治能力和专长等。</w:t>
      </w:r>
    </w:p>
    <w:p w14:paraId="093D11C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8.5.5各级医疗卫生机构在实施医疗救治时要贯彻现场救治、就近救治、转送治疗的原则，及时报告救治伤员及需要增援的急救医药、器材及资源情况。团县委配合县红十字会负责依法开展医疗卫生救援知识培训，提高公众自救、互救和疾病预防能力，组织群众开展意外伤害和自然灾害的现场救护。</w:t>
      </w:r>
    </w:p>
    <w:p w14:paraId="73BF95E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 w:hAnsi="楷体" w:eastAsia="楷体" w:cs="Times New Roman"/>
          <w:b/>
          <w:bCs/>
          <w:color w:val="auto"/>
          <w:sz w:val="30"/>
          <w:szCs w:val="30"/>
        </w:rPr>
      </w:pPr>
      <w:bookmarkStart w:id="56" w:name="_Toc19431"/>
      <w:r>
        <w:rPr>
          <w:rFonts w:hint="eastAsia" w:ascii="楷体_GB2312" w:hAnsi="Arial" w:eastAsia="楷体_GB2312" w:cs="楷体_GB2312"/>
          <w:color w:val="auto"/>
          <w:kern w:val="0"/>
          <w:sz w:val="32"/>
          <w:szCs w:val="32"/>
          <w:lang w:val="en-US" w:eastAsia="zh-CN" w:bidi="ar-SA"/>
        </w:rPr>
        <w:t>8.6 治安保障</w:t>
      </w:r>
      <w:bookmarkEnd w:id="56"/>
      <w:r>
        <w:rPr>
          <w:rFonts w:hint="eastAsia" w:ascii="楷体_GB2312" w:hAnsi="Arial" w:eastAsia="楷体_GB2312" w:cs="楷体_GB2312"/>
          <w:color w:val="auto"/>
          <w:kern w:val="0"/>
          <w:sz w:val="32"/>
          <w:szCs w:val="32"/>
          <w:lang w:val="en-US" w:eastAsia="zh-CN" w:bidi="ar-SA"/>
        </w:rPr>
        <w:t xml:space="preserve">  </w:t>
      </w:r>
      <w:r>
        <w:rPr>
          <w:rFonts w:hint="eastAsia" w:ascii="楷体" w:hAnsi="楷体" w:eastAsia="楷体" w:cs="Times New Roman"/>
          <w:b/>
          <w:bCs/>
          <w:color w:val="auto"/>
          <w:sz w:val="30"/>
          <w:szCs w:val="30"/>
        </w:rPr>
        <w:t xml:space="preserve">  </w:t>
      </w:r>
    </w:p>
    <w:p w14:paraId="022A131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8.6.1县公安局交警大队实施交通管制，对危害区内外的交通路口实施定向、定时封锁，严格控制进出事故现场人员，避免出现意外人员伤亡或引起现场混乱；负责指挥危害区域内人员的撤离、保障车辆顺利通行，指引应急救援车辆进入现场，及时疏通交通堵塞。</w:t>
      </w:r>
    </w:p>
    <w:p w14:paraId="0C52160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8.6.2县公安局负责维护撤离区和人员安置场所的社会治安秩序，加强撤离区内和各封锁路口重要目标和财产安全保护。</w:t>
      </w:r>
    </w:p>
    <w:p w14:paraId="3D4A24E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8.6.3事发地乡镇政府及村委会、居委会要发动和组织群众开展群防群治，协助公安部门维持治安秩序。</w:t>
      </w:r>
    </w:p>
    <w:p w14:paraId="4CB02D25">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7" w:name="_Toc26797"/>
      <w:r>
        <w:rPr>
          <w:rFonts w:hint="eastAsia" w:ascii="楷体_GB2312" w:hAnsi="Arial" w:eastAsia="楷体_GB2312" w:cs="楷体_GB2312"/>
          <w:color w:val="auto"/>
          <w:kern w:val="0"/>
          <w:sz w:val="32"/>
          <w:szCs w:val="32"/>
          <w:lang w:val="en-US" w:eastAsia="zh-CN" w:bidi="ar-SA"/>
        </w:rPr>
        <w:t>8.7 现场救援和工程抢险装备保障</w:t>
      </w:r>
      <w:bookmarkEnd w:id="57"/>
      <w:r>
        <w:rPr>
          <w:rFonts w:hint="eastAsia" w:ascii="楷体_GB2312" w:hAnsi="Arial" w:eastAsia="楷体_GB2312" w:cs="楷体_GB2312"/>
          <w:color w:val="auto"/>
          <w:kern w:val="0"/>
          <w:sz w:val="32"/>
          <w:szCs w:val="32"/>
          <w:lang w:val="en-US" w:eastAsia="zh-CN" w:bidi="ar-SA"/>
        </w:rPr>
        <w:t xml:space="preserve">   </w:t>
      </w:r>
    </w:p>
    <w:p w14:paraId="73E5E62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8.7.1各类应急救援队伍和工程抢险队伍要加强演练和设备维护，确保“召之即来，来之能战、战之必胜”。各级应急机构应将可供应急救援使用的设备类型、数量、性能和存放位置列表造册，逐级上报，供全县应急救援查询和调用。</w:t>
      </w:r>
    </w:p>
    <w:p w14:paraId="5455A31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8.7.2要加强应急工程设施建设，组织实施抗震、防汛、民防等防护工程的建设和应急维护，注重紧急疏散避难场所和相关防护工程的建设，设立应急标志和设施，并进行有效维护和管理。</w:t>
      </w:r>
    </w:p>
    <w:p w14:paraId="2E081EC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58" w:name="_Toc2573"/>
      <w:r>
        <w:rPr>
          <w:rFonts w:hint="eastAsia" w:ascii="楷体_GB2312" w:hAnsi="Arial" w:eastAsia="楷体_GB2312" w:cs="楷体_GB2312"/>
          <w:color w:val="auto"/>
          <w:kern w:val="0"/>
          <w:sz w:val="32"/>
          <w:szCs w:val="32"/>
          <w:lang w:val="en-US" w:eastAsia="zh-CN" w:bidi="ar-SA"/>
        </w:rPr>
        <w:t>8.8 经费保障</w:t>
      </w:r>
      <w:bookmarkEnd w:id="58"/>
      <w:r>
        <w:rPr>
          <w:rFonts w:hint="eastAsia" w:ascii="楷体_GB2312" w:hAnsi="Arial" w:eastAsia="楷体_GB2312" w:cs="楷体_GB2312"/>
          <w:color w:val="auto"/>
          <w:kern w:val="0"/>
          <w:sz w:val="32"/>
          <w:szCs w:val="32"/>
          <w:lang w:val="en-US" w:eastAsia="zh-CN" w:bidi="ar-SA"/>
        </w:rPr>
        <w:t xml:space="preserve">    </w:t>
      </w:r>
    </w:p>
    <w:p w14:paraId="602C41F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8.8.1县、乡镇政府财政预算要安排应急救援专项资金，主要用于应急平台建设、应急预案修编及演练、应急宣传培训、救援设备更新、应急救援队伍补贴和征用物资补偿等。建立财政经费应急保障机制和应急救援经费快速拨付机制，及时支付、优先办理、不得拖欠。</w:t>
      </w:r>
    </w:p>
    <w:p w14:paraId="6A65696E">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8.8.2突发事件对事发地经济社会造成严重影响的，县政府、乡镇政府要根据企事业单位或个人的申请，开展损失评估工作，并提出相应的扶持措施。</w:t>
      </w:r>
    </w:p>
    <w:p w14:paraId="7D9E5EE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8.8.3加强应急财政资金的监督管理，明确支出用途和处理程序。县监察、审计部门应对突发事件财政应急保障资金、捐赠款物的拨付和使用等情况进行监察和审计，并及时向社会公开结果。</w:t>
      </w:r>
    </w:p>
    <w:p w14:paraId="4F1D19C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 xml:space="preserve">8.8.4鼓励自然灾害多发地区和从事高风险活动的公民、法人和其他组织购买财产和人身意外伤害保险。鼓励公民、法人和其他组织为应对突发事件提供财物捐助。 </w:t>
      </w:r>
      <w:r>
        <w:rPr>
          <w:rFonts w:hint="eastAsia" w:ascii="仿宋" w:hAnsi="仿宋" w:eastAsia="仿宋" w:cs="宋体"/>
          <w:color w:val="auto"/>
          <w:kern w:val="0"/>
          <w:sz w:val="30"/>
          <w:szCs w:val="30"/>
          <w:lang w:val="en-US" w:eastAsia="zh-CN" w:bidi="ar-SA"/>
        </w:rPr>
        <w:t xml:space="preserve"> </w:t>
      </w:r>
    </w:p>
    <w:p w14:paraId="5787562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仿宋" w:hAnsi="仿宋" w:eastAsia="仿宋" w:cs="Times New Roman"/>
          <w:b/>
          <w:bCs/>
          <w:color w:val="auto"/>
          <w:sz w:val="30"/>
          <w:szCs w:val="30"/>
        </w:rPr>
      </w:pPr>
      <w:r>
        <w:rPr>
          <w:rFonts w:hint="eastAsia" w:ascii="楷体_GB2312" w:hAnsi="Arial" w:eastAsia="楷体_GB2312" w:cs="楷体_GB2312"/>
          <w:color w:val="auto"/>
          <w:kern w:val="0"/>
          <w:sz w:val="32"/>
          <w:szCs w:val="32"/>
          <w:lang w:val="en-US" w:eastAsia="zh-CN" w:bidi="ar-SA"/>
        </w:rPr>
        <w:t xml:space="preserve">8.9 避难场地保障 </w:t>
      </w:r>
      <w:r>
        <w:rPr>
          <w:rFonts w:hint="eastAsia" w:ascii="楷体" w:hAnsi="楷体" w:eastAsia="楷体" w:cs="Times New Roman"/>
          <w:b/>
          <w:bCs/>
          <w:color w:val="auto"/>
          <w:sz w:val="30"/>
          <w:szCs w:val="30"/>
        </w:rPr>
        <w:t xml:space="preserve">  </w:t>
      </w:r>
      <w:r>
        <w:rPr>
          <w:rFonts w:hint="eastAsia" w:ascii="仿宋" w:hAnsi="仿宋" w:eastAsia="仿宋" w:cs="Times New Roman"/>
          <w:b/>
          <w:bCs/>
          <w:color w:val="auto"/>
          <w:sz w:val="30"/>
          <w:szCs w:val="30"/>
        </w:rPr>
        <w:t xml:space="preserve"> </w:t>
      </w:r>
    </w:p>
    <w:p w14:paraId="3956576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8.9.1 制定应急避难场所专项规划</w:t>
      </w:r>
    </w:p>
    <w:p w14:paraId="0C54EFE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各乡镇政府、有关部门（单位）负责本辖区、本行业、本区域的应急避难场所建设、管理和维护工作。县科工信局、县住建局指导和检查室内、室外（地震）应急避难场所的建设、管理工作，灾害发生时配合各乡镇政府使用和管理应急避难场所。</w:t>
      </w:r>
    </w:p>
    <w:p w14:paraId="74B90DB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8.9.2 发挥现有应急避难场所作用</w:t>
      </w:r>
    </w:p>
    <w:p w14:paraId="3EA733F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已建成的县综合应急避难场所，主管单位应按照要求配置各种设施设备，划定各类功能区，设置规范的标志牌，储备必要的物资，建立健全应急避难场所维护、管理制度和灾时应急预案。</w:t>
      </w:r>
    </w:p>
    <w:p w14:paraId="57171F0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依托全县各中小学校、体育广场、公园等场所设立的临时避难场，有关部门应规划投入建设应急避难场所的基本生活设施保障工作。</w:t>
      </w:r>
    </w:p>
    <w:p w14:paraId="5DF61619">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仿宋" w:hAnsi="仿宋" w:eastAsia="仿宋" w:cs="Times New Roman"/>
          <w:b/>
          <w:bCs/>
          <w:color w:val="auto"/>
          <w:sz w:val="30"/>
          <w:szCs w:val="30"/>
        </w:rPr>
      </w:pPr>
      <w:bookmarkStart w:id="59" w:name="_Toc2617"/>
      <w:r>
        <w:rPr>
          <w:rFonts w:hint="eastAsia" w:ascii="楷体_GB2312" w:hAnsi="Arial" w:eastAsia="楷体_GB2312" w:cs="楷体_GB2312"/>
          <w:color w:val="auto"/>
          <w:kern w:val="0"/>
          <w:sz w:val="32"/>
          <w:szCs w:val="32"/>
          <w:lang w:val="en-US" w:eastAsia="zh-CN" w:bidi="ar-SA"/>
        </w:rPr>
        <w:t>8.10 法律规章保障</w:t>
      </w:r>
      <w:bookmarkEnd w:id="59"/>
      <w:r>
        <w:rPr>
          <w:rFonts w:hint="eastAsia" w:ascii="楷体_GB2312" w:hAnsi="Arial" w:eastAsia="楷体_GB2312" w:cs="楷体_GB2312"/>
          <w:color w:val="auto"/>
          <w:kern w:val="0"/>
          <w:sz w:val="32"/>
          <w:szCs w:val="32"/>
          <w:lang w:val="en-US" w:eastAsia="zh-CN" w:bidi="ar-SA"/>
        </w:rPr>
        <w:t xml:space="preserve">  </w:t>
      </w:r>
      <w:r>
        <w:rPr>
          <w:rFonts w:hint="eastAsia" w:ascii="仿宋" w:hAnsi="仿宋" w:eastAsia="仿宋" w:cs="Times New Roman"/>
          <w:b/>
          <w:bCs/>
          <w:color w:val="auto"/>
          <w:sz w:val="30"/>
          <w:szCs w:val="30"/>
        </w:rPr>
        <w:t xml:space="preserve">  </w:t>
      </w:r>
      <w:r>
        <w:rPr>
          <w:rFonts w:hint="eastAsia" w:ascii="仿宋" w:hAnsi="仿宋" w:eastAsia="仿宋" w:cs="Times New Roman"/>
          <w:color w:val="auto"/>
          <w:sz w:val="30"/>
          <w:szCs w:val="30"/>
        </w:rPr>
        <w:t xml:space="preserve">    </w:t>
      </w:r>
    </w:p>
    <w:p w14:paraId="428A5A5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依照《中华人民共和国突发事件应对法》《中华人民共和国安全生产法》《中华人民共和国消防法》《中华人民共和国防震减灾法》《中华人民共和国防洪法》《国务院办公厅关于印发〈突发事件应急预案管理办法〉（国办发〔2013〕101号）》等有关法律、法规和地方性行政规章执行。</w:t>
      </w:r>
    </w:p>
    <w:p w14:paraId="206E828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在突发事件发生和延续期间，县政府根据需要依法制定和发布紧急决定和命令。县司法局为县政府提供突发事件处置的法律意见。</w:t>
      </w:r>
    </w:p>
    <w:p w14:paraId="3C91E38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60" w:name="_Toc29557"/>
      <w:r>
        <w:rPr>
          <w:rFonts w:hint="eastAsia" w:ascii="楷体_GB2312" w:hAnsi="Arial" w:eastAsia="楷体_GB2312" w:cs="楷体_GB2312"/>
          <w:color w:val="auto"/>
          <w:kern w:val="0"/>
          <w:sz w:val="32"/>
          <w:szCs w:val="32"/>
          <w:lang w:val="en-US" w:eastAsia="zh-CN" w:bidi="ar-SA"/>
        </w:rPr>
        <w:t>8.11 其他保障</w:t>
      </w:r>
      <w:bookmarkEnd w:id="60"/>
      <w:r>
        <w:rPr>
          <w:rFonts w:hint="eastAsia" w:ascii="楷体_GB2312" w:hAnsi="Arial" w:eastAsia="楷体_GB2312" w:cs="楷体_GB2312"/>
          <w:color w:val="auto"/>
          <w:kern w:val="0"/>
          <w:sz w:val="32"/>
          <w:szCs w:val="32"/>
          <w:lang w:val="en-US" w:eastAsia="zh-CN" w:bidi="ar-SA"/>
        </w:rPr>
        <w:t xml:space="preserve">    </w:t>
      </w:r>
    </w:p>
    <w:p w14:paraId="7747194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突发事件应急处置的科学研究工作，由县科学技术和工业信息化局会同县应急管理局负责组织、指导。全县所有直接参与或支持应急行动的组织应成立专家组或技术支持机构，建立信息库和紧急联系方式，及时制定和完善现场救援预案，为应急联动指挥中心提供决策依据和措施。县政府要积极推进应急产业发展，为提高全县综合应急管理能力和应急保障能力提供重要引擎。</w:t>
      </w:r>
    </w:p>
    <w:p w14:paraId="3AA408C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61" w:name="_Toc31667"/>
      <w:r>
        <w:rPr>
          <w:rFonts w:hint="eastAsia" w:ascii="黑体" w:hAnsi="黑体" w:eastAsia="黑体" w:cs="Times New Roman"/>
          <w:color w:val="000000"/>
          <w:kern w:val="0"/>
          <w:sz w:val="32"/>
          <w:szCs w:val="32"/>
          <w:lang w:val="en-US" w:eastAsia="zh-CN"/>
        </w:rPr>
        <w:t>9 监督管理</w:t>
      </w:r>
      <w:bookmarkEnd w:id="61"/>
    </w:p>
    <w:p w14:paraId="79141A2F">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62" w:name="_Toc2963"/>
      <w:r>
        <w:rPr>
          <w:rFonts w:hint="eastAsia" w:ascii="楷体_GB2312" w:hAnsi="Arial" w:eastAsia="楷体_GB2312" w:cs="楷体_GB2312"/>
          <w:color w:val="auto"/>
          <w:kern w:val="0"/>
          <w:sz w:val="32"/>
          <w:szCs w:val="32"/>
          <w:lang w:val="en-US" w:eastAsia="zh-CN" w:bidi="ar-SA"/>
        </w:rPr>
        <w:t>9.1 责任追究</w:t>
      </w:r>
      <w:bookmarkEnd w:id="62"/>
    </w:p>
    <w:p w14:paraId="21DDF8A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9.1.1 政府责任追究</w:t>
      </w:r>
    </w:p>
    <w:p w14:paraId="6525BAFF">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行政机关领导及其工作人员有下列情形之一的，由其上级行政机关责令改正；情节严重或者造成严重后果的，直接负责的领导和其他直接责任人，引咎辞职或者责令辞职，并依法给予行政处分；构成犯罪的，由司法机关依法追究其刑事责任：</w:t>
      </w:r>
    </w:p>
    <w:p w14:paraId="399FF4C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（1）不按规定做好突发事件预防工作、应急准备工作的，导致发生重大突发事件的；</w:t>
      </w:r>
    </w:p>
    <w:p w14:paraId="1047C09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（2）不服从上级行政机关对突发事件应急处置工作统一领导和协调的，不按规定报送和公布有关突发事件信息或者瞒报、谎报、缓报的；</w:t>
      </w:r>
    </w:p>
    <w:p w14:paraId="6F5988A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（3）不按规定及时发布有关应对突发事件命令的；</w:t>
      </w:r>
    </w:p>
    <w:p w14:paraId="7C4C8AE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（4）不及时采取措施处置突发事件，或者处置不力导致事态扩大的；</w:t>
      </w:r>
    </w:p>
    <w:p w14:paraId="37ECDEE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（5）不按规定公布有关应对突发事件决定和命令的；</w:t>
      </w:r>
    </w:p>
    <w:p w14:paraId="5F3A68B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（6）不及时进行人员安置、开展生产自救、恢复生产、生活和工作秩序的；</w:t>
      </w:r>
    </w:p>
    <w:p w14:paraId="08401C0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（7）截留、挪用、私分或者贪污应急资金或者物资的；</w:t>
      </w:r>
    </w:p>
    <w:p w14:paraId="553A6E2C">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（8）不按规定的权限和程序征收、征用公民、法人或者其他组织的财产，或者不按规定给予补偿的；</w:t>
      </w:r>
    </w:p>
    <w:p w14:paraId="16AF6D9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（9）不及时归还征收、征用的公民、法人或者其他组织的财产，或者不按规定给予补偿的。    </w:t>
      </w:r>
    </w:p>
    <w:p w14:paraId="6E2B384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9.1.2 基层组织责任追究</w:t>
      </w:r>
    </w:p>
    <w:p w14:paraId="0139B29F">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居民委员会、村民委员会、企事业单位和其他组织有下列情形之一的，由有关行政机关责令改正；违反法律规定的，依法给予相应处罚；构成犯罪的，由司法机关依法追究刑事责任：</w:t>
      </w:r>
    </w:p>
    <w:p w14:paraId="1CE1CC1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（1）未按规定做好突发事件应急准备工作，宣传普及应急常识，造成严重后果的；</w:t>
      </w:r>
    </w:p>
    <w:p w14:paraId="7003560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（2）公共场所、公共交通工具、人群密集场所等不按规定制定突发事件应急预案、采取应急措施的；</w:t>
      </w:r>
    </w:p>
    <w:p w14:paraId="0748D62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（3）不及时向行政机关报告突发事件信息的；</w:t>
      </w:r>
    </w:p>
    <w:p w14:paraId="7BDD6FE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（4）突发事件发生后，不服从行政机关决定、命令和指示，不听从调遣的；</w:t>
      </w:r>
    </w:p>
    <w:p w14:paraId="5669A76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（5）不积极开展救助工作，协助维护社会秩序的。</w:t>
      </w:r>
    </w:p>
    <w:p w14:paraId="2542AF5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9.1.3 个人责任追究</w:t>
      </w:r>
    </w:p>
    <w:p w14:paraId="2D34E1B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公民个人有下列情形之一的，由有关行政机关责令改正；对相关责任人依法给予行政处罚；构成犯罪的，由司法机关依法追究其刑事责任：</w:t>
      </w:r>
    </w:p>
    <w:p w14:paraId="39BB729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 xml:space="preserve">（1）不服从地方政府和基层组织的应急指挥调度，严重干扰妨碍应急疏散、紧急避险、应急动员、应急抢险等应急处置工作，造成较大损失的；   </w:t>
      </w:r>
    </w:p>
    <w:p w14:paraId="0D04669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（2）破坏干扰交通、通信、避难场所、救援装备、市政设施等应急保障工作，造成较大损失的；</w:t>
      </w:r>
    </w:p>
    <w:p w14:paraId="61757C0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（3）破坏干扰善后处理、社会治安、市场供应，造成较大损失的；</w:t>
      </w:r>
    </w:p>
    <w:p w14:paraId="3F668D0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（4）编造、传播不实信息，蓄意滋事或恶意报复，造成社会较大负面影响的。</w:t>
      </w:r>
    </w:p>
    <w:p w14:paraId="1CA26D0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63" w:name="_Toc17624"/>
      <w:r>
        <w:rPr>
          <w:rFonts w:hint="eastAsia" w:ascii="楷体_GB2312" w:hAnsi="Arial" w:eastAsia="楷体_GB2312" w:cs="楷体_GB2312"/>
          <w:color w:val="auto"/>
          <w:kern w:val="0"/>
          <w:sz w:val="32"/>
          <w:szCs w:val="32"/>
          <w:lang w:val="en-US" w:eastAsia="zh-CN" w:bidi="ar-SA"/>
        </w:rPr>
        <w:t>9.2 监督检查与奖励</w:t>
      </w:r>
      <w:bookmarkEnd w:id="63"/>
    </w:p>
    <w:p w14:paraId="15FF678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9.2.1 监督检查</w:t>
      </w:r>
    </w:p>
    <w:p w14:paraId="67EA252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县应急管理局要加强对各乡镇政府、各部门应急工作检查考核，乡镇政府、各部门、各企事业单位要严格落实应急预案要求，做到资金、物资到位，保障措施有力。</w:t>
      </w:r>
    </w:p>
    <w:p w14:paraId="1DCCBB1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9.2.2 奖励</w:t>
      </w:r>
    </w:p>
    <w:p w14:paraId="1178550F">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对在处置突发事件中表现突出的单位和个人，将按照有关规定给予表彰和奖励；对于在应急抢险中受伤、致残、遇难的救援人员，按照有关规定落实各种待遇。</w:t>
      </w:r>
    </w:p>
    <w:p w14:paraId="0C94F45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64" w:name="_Toc30282"/>
      <w:r>
        <w:rPr>
          <w:rFonts w:hint="eastAsia" w:ascii="黑体" w:hAnsi="黑体" w:eastAsia="黑体" w:cs="Times New Roman"/>
          <w:color w:val="000000"/>
          <w:kern w:val="0"/>
          <w:sz w:val="32"/>
          <w:szCs w:val="32"/>
          <w:lang w:val="en-US" w:eastAsia="zh-CN"/>
        </w:rPr>
        <w:t>10 附则</w:t>
      </w:r>
      <w:bookmarkEnd w:id="64"/>
    </w:p>
    <w:p w14:paraId="22927F9B">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65" w:name="_Toc16996"/>
      <w:r>
        <w:rPr>
          <w:rFonts w:hint="eastAsia" w:ascii="楷体_GB2312" w:hAnsi="Arial" w:eastAsia="楷体_GB2312" w:cs="楷体_GB2312"/>
          <w:color w:val="auto"/>
          <w:kern w:val="0"/>
          <w:sz w:val="32"/>
          <w:szCs w:val="32"/>
          <w:lang w:val="en-US" w:eastAsia="zh-CN" w:bidi="ar-SA"/>
        </w:rPr>
        <w:t>10.1 制定解释</w:t>
      </w:r>
      <w:bookmarkEnd w:id="65"/>
    </w:p>
    <w:p w14:paraId="17ACA82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本预案由县政府制定，县应急委（或授权县应急管理局）负责解释。</w:t>
      </w:r>
    </w:p>
    <w:p w14:paraId="08C113DA">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66" w:name="_Toc5177"/>
      <w:r>
        <w:rPr>
          <w:rFonts w:hint="eastAsia" w:ascii="楷体_GB2312" w:hAnsi="Arial" w:eastAsia="楷体_GB2312" w:cs="楷体_GB2312"/>
          <w:color w:val="auto"/>
          <w:kern w:val="0"/>
          <w:sz w:val="32"/>
          <w:szCs w:val="32"/>
          <w:lang w:val="en-US" w:eastAsia="zh-CN" w:bidi="ar-SA"/>
        </w:rPr>
        <w:t>10.2 发布实施</w:t>
      </w:r>
      <w:bookmarkEnd w:id="66"/>
    </w:p>
    <w:p w14:paraId="20B8E07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本预案自县政府发布之日</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起正式实施。   年  月  日发布的《白沙黎族自治县人民政府突发公共事件总体应急预案》（白府办〔  〕号）同时废止。</w:t>
      </w:r>
    </w:p>
    <w:p w14:paraId="305C967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outlineLvl w:val="0"/>
        <w:rPr>
          <w:rFonts w:hint="eastAsia" w:ascii="黑体" w:hAnsi="黑体" w:eastAsia="仿宋_GB2312" w:cs="Times New Roman"/>
          <w:color w:val="000000"/>
          <w:kern w:val="0"/>
          <w:sz w:val="32"/>
          <w:szCs w:val="32"/>
          <w:lang w:val="en-US" w:eastAsia="zh-CN"/>
        </w:rPr>
      </w:pPr>
      <w:bookmarkStart w:id="67" w:name="_Toc13826"/>
      <w:r>
        <w:rPr>
          <w:rFonts w:hint="eastAsia" w:ascii="黑体" w:hAnsi="黑体" w:eastAsia="黑体" w:cs="Times New Roman"/>
          <w:color w:val="000000"/>
          <w:kern w:val="0"/>
          <w:sz w:val="32"/>
          <w:szCs w:val="32"/>
          <w:lang w:val="en-US" w:eastAsia="zh-CN"/>
        </w:rPr>
        <w:t>11 附录</w:t>
      </w:r>
    </w:p>
    <w:bookmarkEnd w:id="67"/>
    <w:p w14:paraId="6D2FCA5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11.1 白沙黎族自治县突发事件专项应急预案目录（见附件1）</w:t>
      </w:r>
    </w:p>
    <w:p w14:paraId="48F87D41">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11.2 白沙黎族自治县突发事件应急组织体系框架图（见附件2）</w:t>
      </w:r>
    </w:p>
    <w:p w14:paraId="624C136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11.3 白沙黎族自治县突发事件应急响应流程图（见附件3）</w:t>
      </w:r>
    </w:p>
    <w:p w14:paraId="5275F6CE">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11.4 白沙黎族自治县应急委成员单位通讯录（见附件4）</w:t>
      </w:r>
    </w:p>
    <w:p w14:paraId="15DF21D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11.5 县</w:t>
      </w:r>
      <w:r>
        <w:rPr>
          <w:rFonts w:hint="default" w:ascii="楷体_GB2312" w:hAnsi="Arial" w:eastAsia="楷体_GB2312" w:cs="楷体_GB2312"/>
          <w:color w:val="auto"/>
          <w:kern w:val="0"/>
          <w:sz w:val="32"/>
          <w:szCs w:val="32"/>
          <w:lang w:val="en-US" w:eastAsia="zh-CN" w:bidi="ar-SA"/>
        </w:rPr>
        <w:t>专项</w:t>
      </w:r>
      <w:r>
        <w:rPr>
          <w:rFonts w:hint="eastAsia" w:ascii="楷体_GB2312" w:hAnsi="Arial" w:eastAsia="楷体_GB2312" w:cs="楷体_GB2312"/>
          <w:color w:val="auto"/>
          <w:kern w:val="0"/>
          <w:sz w:val="32"/>
          <w:szCs w:val="32"/>
          <w:lang w:val="en-US" w:eastAsia="zh-CN" w:bidi="ar-SA"/>
        </w:rPr>
        <w:t>应急</w:t>
      </w:r>
      <w:r>
        <w:rPr>
          <w:rFonts w:hint="default" w:ascii="楷体_GB2312" w:hAnsi="Arial" w:eastAsia="楷体_GB2312" w:cs="楷体_GB2312"/>
          <w:color w:val="auto"/>
          <w:kern w:val="0"/>
          <w:sz w:val="32"/>
          <w:szCs w:val="32"/>
          <w:lang w:val="en-US" w:eastAsia="zh-CN" w:bidi="ar-SA"/>
        </w:rPr>
        <w:t>指挥机构和应急主管部门</w:t>
      </w:r>
      <w:r>
        <w:rPr>
          <w:rFonts w:hint="eastAsia" w:ascii="楷体_GB2312" w:hAnsi="Arial" w:eastAsia="楷体_GB2312" w:cs="楷体_GB2312"/>
          <w:color w:val="auto"/>
          <w:kern w:val="0"/>
          <w:sz w:val="32"/>
          <w:szCs w:val="32"/>
          <w:lang w:val="en-US" w:eastAsia="zh-CN" w:bidi="ar-SA"/>
        </w:rPr>
        <w:t>关系表（见附件5）</w:t>
      </w:r>
    </w:p>
    <w:p w14:paraId="3E32963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11.6 海南省突发事件分类分级标准（见附件6）</w:t>
      </w:r>
    </w:p>
    <w:p w14:paraId="2C0E30D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00" w:firstLineChars="200"/>
        <w:jc w:val="both"/>
        <w:textAlignment w:val="auto"/>
        <w:outlineLvl w:val="9"/>
        <w:rPr>
          <w:rFonts w:hint="eastAsia" w:ascii="仿宋" w:hAnsi="仿宋" w:eastAsia="仿宋" w:cs="Times New Roman"/>
          <w:color w:val="auto"/>
          <w:sz w:val="30"/>
          <w:szCs w:val="30"/>
        </w:rPr>
      </w:pPr>
    </w:p>
    <w:p w14:paraId="4CC9104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both"/>
        <w:textAlignment w:val="auto"/>
        <w:outlineLvl w:val="0"/>
        <w:rPr>
          <w:rFonts w:hint="eastAsia" w:ascii="仿宋" w:hAnsi="仿宋" w:eastAsia="仿宋"/>
          <w:color w:val="auto"/>
          <w:sz w:val="30"/>
          <w:szCs w:val="30"/>
        </w:rPr>
        <w:sectPr>
          <w:footerReference r:id="rId3" w:type="default"/>
          <w:footerReference r:id="rId4" w:type="even"/>
          <w:pgSz w:w="11910" w:h="16840"/>
          <w:pgMar w:top="1440" w:right="1689" w:bottom="1440" w:left="1689" w:header="0" w:footer="1457" w:gutter="0"/>
          <w:lnNumType w:countBy="0" w:distance="360"/>
          <w:pgNumType w:fmt="numberInDash"/>
          <w:cols w:space="0" w:num="1"/>
          <w:rtlGutter w:val="0"/>
          <w:docGrid w:linePitch="0" w:charSpace="0"/>
        </w:sectPr>
      </w:pPr>
      <w:bookmarkStart w:id="68" w:name="_Toc1650"/>
    </w:p>
    <w:p w14:paraId="5F16FA2E">
      <w:pPr>
        <w:keepNext w:val="0"/>
        <w:keepLines w:val="0"/>
        <w:pageBreakBefore w:val="0"/>
        <w:widowControl w:val="0"/>
        <w:kinsoku/>
        <w:overflowPunct/>
        <w:autoSpaceDE/>
        <w:autoSpaceDN/>
        <w:bidi w:val="0"/>
        <w:spacing w:before="0" w:beforeAutospacing="0" w:after="0" w:afterAutospacing="0" w:line="560" w:lineRule="exact"/>
        <w:ind w:firstLine="0" w:firstLineChars="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附件1</w:t>
      </w:r>
      <w:bookmarkEnd w:id="68"/>
      <w:bookmarkStart w:id="69" w:name="_Toc13290_WPSOffice_Level1"/>
      <w:bookmarkStart w:id="70" w:name="_Toc2641_WPSOffice_Level1"/>
      <w:bookmarkStart w:id="71" w:name="_Toc21721_WPSOffice_Level1"/>
    </w:p>
    <w:p w14:paraId="1ED4C217">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bookmarkStart w:id="72" w:name="_Toc5901"/>
      <w:r>
        <w:rPr>
          <w:rFonts w:hint="eastAsia" w:ascii="仿宋_GB2312" w:hAnsi="Calibri" w:eastAsia="仿宋_GB2312" w:cs="仿宋_GB2312"/>
          <w:b/>
          <w:bCs/>
          <w:color w:val="auto"/>
          <w:kern w:val="0"/>
          <w:sz w:val="32"/>
          <w:szCs w:val="32"/>
          <w:lang w:val="en-US" w:eastAsia="zh-CN" w:bidi="ar-SA"/>
        </w:rPr>
        <w:t>白沙黎族自治县突发事件专项应急预案目录</w:t>
      </w:r>
      <w:bookmarkEnd w:id="69"/>
      <w:bookmarkEnd w:id="70"/>
      <w:bookmarkEnd w:id="71"/>
      <w:bookmarkEnd w:id="72"/>
    </w:p>
    <w:p w14:paraId="075C4BF0">
      <w:pPr>
        <w:keepNext w:val="0"/>
        <w:keepLines w:val="0"/>
        <w:pageBreakBefore w:val="0"/>
        <w:kinsoku/>
        <w:overflowPunct/>
        <w:autoSpaceDE/>
        <w:autoSpaceDN/>
        <w:bidi w:val="0"/>
        <w:spacing w:beforeAutospacing="0" w:afterAutospacing="0" w:line="560" w:lineRule="exact"/>
        <w:ind w:left="0" w:leftChars="0" w:firstLine="602" w:firstLineChars="200"/>
        <w:jc w:val="both"/>
        <w:textAlignment w:val="auto"/>
        <w:outlineLvl w:val="9"/>
        <w:rPr>
          <w:rFonts w:hint="eastAsia" w:ascii="楷体" w:hAnsi="楷体" w:eastAsia="楷体" w:cs="Times New Roman"/>
          <w:b/>
          <w:bCs/>
          <w:color w:val="auto"/>
          <w:sz w:val="30"/>
          <w:szCs w:val="30"/>
        </w:rPr>
      </w:pPr>
      <w:bookmarkStart w:id="73" w:name="_Toc16335_WPSOffice_Level1"/>
      <w:bookmarkStart w:id="74" w:name="_Toc6054_WPSOffice_Level1"/>
      <w:bookmarkStart w:id="75" w:name="_Toc13824_WPSOffice_Level1"/>
    </w:p>
    <w:p w14:paraId="605DEE67">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一、自然灾害类</w:t>
      </w:r>
      <w:bookmarkEnd w:id="73"/>
      <w:bookmarkEnd w:id="74"/>
      <w:bookmarkEnd w:id="75"/>
    </w:p>
    <w:p w14:paraId="6DE65C9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76" w:name="_Toc29904_WPSOffice_Level2"/>
      <w:bookmarkStart w:id="77" w:name="_Toc28206_WPSOffice_Level2"/>
      <w:bookmarkStart w:id="78" w:name="_Toc29414_WPSOffice_Level2"/>
      <w:r>
        <w:rPr>
          <w:rFonts w:hint="eastAsia" w:ascii="仿宋_GB2312" w:hAnsi="Calibri" w:eastAsia="仿宋_GB2312" w:cs="仿宋_GB2312"/>
          <w:color w:val="auto"/>
          <w:kern w:val="0"/>
          <w:sz w:val="32"/>
          <w:szCs w:val="32"/>
          <w:lang w:val="en-US" w:eastAsia="zh-CN" w:bidi="ar-SA"/>
        </w:rPr>
        <w:t>1、白沙黎族自治县防汛防风防旱应急预案（县应急管理局牵头）</w:t>
      </w:r>
    </w:p>
    <w:bookmarkEnd w:id="76"/>
    <w:bookmarkEnd w:id="77"/>
    <w:bookmarkEnd w:id="78"/>
    <w:p w14:paraId="37BCE30F">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default" w:ascii="仿宋_GB2312" w:hAnsi="Calibri" w:eastAsia="仿宋_GB2312" w:cs="仿宋_GB2312"/>
          <w:color w:val="auto"/>
          <w:kern w:val="0"/>
          <w:sz w:val="32"/>
          <w:szCs w:val="32"/>
          <w:lang w:val="en-US" w:eastAsia="zh-CN" w:bidi="ar-SA"/>
        </w:rPr>
      </w:pPr>
      <w:bookmarkStart w:id="79" w:name="_Toc6549_WPSOffice_Level2"/>
      <w:bookmarkStart w:id="80" w:name="_Toc833_WPSOffice_Level2"/>
      <w:bookmarkStart w:id="81" w:name="_Toc24948_WPSOffice_Level2"/>
      <w:r>
        <w:rPr>
          <w:rFonts w:hint="eastAsia" w:ascii="仿宋_GB2312" w:hAnsi="Calibri" w:eastAsia="仿宋_GB2312" w:cs="仿宋_GB2312"/>
          <w:color w:val="auto"/>
          <w:kern w:val="0"/>
          <w:sz w:val="32"/>
          <w:szCs w:val="32"/>
          <w:lang w:val="en-US" w:eastAsia="zh-CN" w:bidi="ar-SA"/>
        </w:rPr>
        <w:t>2、白沙黎族自治县破坏性地震应急预案（县应急管理局牵头）</w:t>
      </w:r>
      <w:bookmarkEnd w:id="79"/>
      <w:bookmarkEnd w:id="80"/>
      <w:bookmarkEnd w:id="81"/>
    </w:p>
    <w:p w14:paraId="47E532D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82" w:name="_Toc4782_WPSOffice_Level2"/>
      <w:bookmarkStart w:id="83" w:name="_Toc23323_WPSOffice_Level2"/>
      <w:bookmarkStart w:id="84" w:name="_Toc10262_WPSOffice_Level2"/>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、白沙黎族自治县突发性地质灾害救援应急预案</w:t>
      </w:r>
      <w:bookmarkEnd w:id="82"/>
      <w:bookmarkEnd w:id="83"/>
      <w:bookmarkEnd w:id="84"/>
      <w:r>
        <w:rPr>
          <w:rFonts w:hint="eastAsia" w:ascii="仿宋_GB2312" w:hAnsi="Calibri" w:eastAsia="仿宋_GB2312" w:cs="仿宋_GB2312"/>
          <w:color w:val="auto"/>
          <w:kern w:val="0"/>
          <w:sz w:val="32"/>
          <w:szCs w:val="32"/>
          <w:lang w:val="en-US" w:eastAsia="zh-CN" w:bidi="ar-SA"/>
        </w:rPr>
        <w:t>（县应急管理局牵头）</w:t>
      </w:r>
    </w:p>
    <w:p w14:paraId="327A6F6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default" w:ascii="仿宋_GB2312" w:hAnsi="Calibri" w:eastAsia="仿宋_GB2312" w:cs="仿宋_GB2312"/>
          <w:color w:val="auto"/>
          <w:kern w:val="0"/>
          <w:sz w:val="32"/>
          <w:szCs w:val="32"/>
          <w:lang w:val="en-US" w:eastAsia="zh-CN" w:bidi="ar-SA"/>
        </w:rPr>
      </w:pPr>
      <w:bookmarkStart w:id="85" w:name="_Toc28892_WPSOffice_Level2"/>
      <w:bookmarkStart w:id="86" w:name="_Toc3585_WPSOffice_Level2"/>
      <w:bookmarkStart w:id="87" w:name="_Toc2120_WPSOffice_Level2"/>
      <w:r>
        <w:rPr>
          <w:rFonts w:hint="default" w:ascii="仿宋_GB2312" w:hAnsi="Calibri" w:eastAsia="仿宋_GB2312" w:cs="仿宋_GB2312"/>
          <w:color w:val="auto"/>
          <w:kern w:val="0"/>
          <w:sz w:val="32"/>
          <w:szCs w:val="32"/>
          <w:lang w:val="en-US" w:eastAsia="zh-CN" w:bidi="ar-SA"/>
        </w:rPr>
        <w:t>4</w:t>
      </w:r>
      <w:r>
        <w:rPr>
          <w:rFonts w:hint="eastAsia" w:ascii="仿宋_GB2312" w:hAnsi="Calibri" w:eastAsia="仿宋_GB2312" w:cs="仿宋_GB2312"/>
          <w:color w:val="auto"/>
          <w:kern w:val="0"/>
          <w:sz w:val="32"/>
          <w:szCs w:val="32"/>
          <w:lang w:val="en-US" w:eastAsia="zh-CN" w:bidi="ar-SA"/>
        </w:rPr>
        <w:t>、白沙黎族自治县气象灾害应急预案（县气象局牵头）</w:t>
      </w:r>
      <w:bookmarkEnd w:id="85"/>
      <w:bookmarkEnd w:id="86"/>
      <w:bookmarkEnd w:id="87"/>
    </w:p>
    <w:p w14:paraId="5B47C63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88" w:name="_Toc11971_WPSOffice_Level2"/>
      <w:bookmarkStart w:id="89" w:name="_Toc10417_WPSOffice_Level2"/>
      <w:bookmarkStart w:id="90" w:name="_Toc31452_WPSOffice_Level2"/>
      <w:r>
        <w:rPr>
          <w:rFonts w:hint="default" w:ascii="仿宋_GB2312" w:hAnsi="Calibri" w:eastAsia="仿宋_GB2312" w:cs="仿宋_GB2312"/>
          <w:color w:val="auto"/>
          <w:kern w:val="0"/>
          <w:sz w:val="32"/>
          <w:szCs w:val="32"/>
          <w:lang w:val="en-US" w:eastAsia="zh-CN" w:bidi="ar-SA"/>
        </w:rPr>
        <w:t>5</w:t>
      </w:r>
      <w:r>
        <w:rPr>
          <w:rFonts w:hint="eastAsia" w:ascii="仿宋_GB2312" w:hAnsi="Calibri" w:eastAsia="仿宋_GB2312" w:cs="仿宋_GB2312"/>
          <w:color w:val="auto"/>
          <w:kern w:val="0"/>
          <w:sz w:val="32"/>
          <w:szCs w:val="32"/>
          <w:lang w:val="en-US" w:eastAsia="zh-CN" w:bidi="ar-SA"/>
        </w:rPr>
        <w:t>、白沙黎族自治县森林火灾应急预案</w:t>
      </w:r>
      <w:bookmarkEnd w:id="88"/>
      <w:bookmarkEnd w:id="89"/>
      <w:bookmarkEnd w:id="90"/>
      <w:r>
        <w:rPr>
          <w:rFonts w:hint="eastAsia" w:ascii="仿宋_GB2312" w:hAnsi="Calibri" w:eastAsia="仿宋_GB2312" w:cs="仿宋_GB2312"/>
          <w:color w:val="auto"/>
          <w:kern w:val="0"/>
          <w:sz w:val="32"/>
          <w:szCs w:val="32"/>
          <w:lang w:val="en-US" w:eastAsia="zh-CN" w:bidi="ar-SA"/>
        </w:rPr>
        <w:t>（县应急管理局牵头）</w:t>
      </w:r>
    </w:p>
    <w:p w14:paraId="632B30BE">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91" w:name="_Toc22342_WPSOffice_Level2"/>
      <w:bookmarkStart w:id="92" w:name="_Toc20514_WPSOffice_Level2"/>
      <w:bookmarkStart w:id="93" w:name="_Toc21514_WPSOffice_Level2"/>
      <w:bookmarkStart w:id="94" w:name="_Toc26508_WPSOffice_Level2"/>
      <w:bookmarkStart w:id="95" w:name="_Toc20867_WPSOffice_Level2"/>
      <w:bookmarkStart w:id="96" w:name="_Toc17817_WPSOffice_Level2"/>
      <w:r>
        <w:rPr>
          <w:rFonts w:hint="default" w:ascii="仿宋_GB2312" w:hAnsi="Calibri" w:eastAsia="仿宋_GB2312" w:cs="仿宋_GB2312"/>
          <w:color w:val="auto"/>
          <w:kern w:val="0"/>
          <w:sz w:val="32"/>
          <w:szCs w:val="32"/>
          <w:lang w:val="en-US" w:eastAsia="zh-CN" w:bidi="ar-SA"/>
        </w:rPr>
        <w:t>6</w:t>
      </w:r>
      <w:r>
        <w:rPr>
          <w:rFonts w:hint="eastAsia" w:ascii="仿宋_GB2312" w:hAnsi="Calibri" w:eastAsia="仿宋_GB2312" w:cs="仿宋_GB2312"/>
          <w:color w:val="auto"/>
          <w:kern w:val="0"/>
          <w:sz w:val="32"/>
          <w:szCs w:val="32"/>
          <w:lang w:val="en-US" w:eastAsia="zh-CN" w:bidi="ar-SA"/>
        </w:rPr>
        <w:t>、白沙黎族自治县自然灾害救助应急预案</w:t>
      </w:r>
      <w:bookmarkEnd w:id="91"/>
      <w:bookmarkEnd w:id="92"/>
      <w:bookmarkEnd w:id="93"/>
      <w:r>
        <w:rPr>
          <w:rFonts w:hint="eastAsia" w:ascii="仿宋_GB2312" w:hAnsi="Calibri" w:eastAsia="仿宋_GB2312" w:cs="仿宋_GB2312"/>
          <w:color w:val="auto"/>
          <w:kern w:val="0"/>
          <w:sz w:val="32"/>
          <w:szCs w:val="32"/>
          <w:lang w:val="en-US" w:eastAsia="zh-CN" w:bidi="ar-SA"/>
        </w:rPr>
        <w:t>（县应急管理局牵头）</w:t>
      </w:r>
    </w:p>
    <w:bookmarkEnd w:id="94"/>
    <w:bookmarkEnd w:id="95"/>
    <w:bookmarkEnd w:id="96"/>
    <w:p w14:paraId="5DF22AB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97" w:name="_Toc29085_WPSOffice_Level2"/>
      <w:bookmarkStart w:id="98" w:name="_Toc749_WPSOffice_Level2"/>
      <w:bookmarkStart w:id="99" w:name="_Toc4858_WPSOffice_Level2"/>
      <w:bookmarkStart w:id="100" w:name="_Toc18518_WPSOffice_Level1"/>
      <w:bookmarkStart w:id="101" w:name="_Toc31238_WPSOffice_Level1"/>
      <w:bookmarkStart w:id="102" w:name="_Toc15202_WPSOffice_Level1"/>
      <w:r>
        <w:rPr>
          <w:rFonts w:hint="default" w:ascii="仿宋_GB2312" w:hAnsi="Calibri" w:eastAsia="仿宋_GB2312" w:cs="仿宋_GB2312"/>
          <w:color w:val="auto"/>
          <w:kern w:val="0"/>
          <w:sz w:val="32"/>
          <w:szCs w:val="32"/>
          <w:lang w:val="en-US" w:eastAsia="zh-CN" w:bidi="ar-SA"/>
        </w:rPr>
        <w:t>7</w:t>
      </w:r>
      <w:r>
        <w:rPr>
          <w:rFonts w:hint="eastAsia" w:ascii="仿宋_GB2312" w:hAnsi="Calibri" w:eastAsia="仿宋_GB2312" w:cs="仿宋_GB2312"/>
          <w:color w:val="auto"/>
          <w:kern w:val="0"/>
          <w:sz w:val="32"/>
          <w:szCs w:val="32"/>
          <w:lang w:val="en-US" w:eastAsia="zh-CN" w:bidi="ar-SA"/>
        </w:rPr>
        <w:t>、白沙黎族自治县山洪灾害防御应急预案（县水务事务中心牵头）</w:t>
      </w:r>
      <w:bookmarkEnd w:id="97"/>
      <w:bookmarkEnd w:id="98"/>
      <w:bookmarkEnd w:id="99"/>
    </w:p>
    <w:p w14:paraId="511A39E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 w:hAnsi="仿宋" w:eastAsia="仿宋" w:cs="宋体"/>
          <w:color w:val="auto"/>
          <w:kern w:val="0"/>
          <w:sz w:val="30"/>
          <w:szCs w:val="30"/>
          <w:lang w:val="en-US" w:eastAsia="zh-CN" w:bidi="ar-SA"/>
        </w:rPr>
      </w:pPr>
      <w:r>
        <w:rPr>
          <w:rFonts w:hint="eastAsia" w:ascii="仿宋_GB2312" w:hAnsi="Calibri" w:eastAsia="仿宋_GB2312" w:cs="仿宋_GB2312"/>
          <w:color w:val="auto"/>
          <w:kern w:val="0"/>
          <w:sz w:val="32"/>
          <w:szCs w:val="32"/>
          <w:lang w:val="en-US" w:eastAsia="zh-CN" w:bidi="ar-SA"/>
        </w:rPr>
        <w:t>8、白沙黎族自治县城市防洪应急预案（县水务事务中心牵头）</w:t>
      </w:r>
    </w:p>
    <w:p w14:paraId="181CC0A0">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二、事故灾难类</w:t>
      </w:r>
      <w:bookmarkEnd w:id="100"/>
      <w:bookmarkEnd w:id="101"/>
      <w:bookmarkEnd w:id="102"/>
    </w:p>
    <w:p w14:paraId="1D4EA09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03" w:name="_Toc10656_WPSOffice_Level2"/>
      <w:bookmarkStart w:id="104" w:name="_Toc29950_WPSOffice_Level2"/>
      <w:bookmarkStart w:id="105" w:name="_Toc25704_WPSOffice_Level2"/>
      <w:r>
        <w:rPr>
          <w:rFonts w:hint="eastAsia" w:ascii="仿宋_GB2312" w:hAnsi="Calibri" w:eastAsia="仿宋_GB2312" w:cs="仿宋_GB2312"/>
          <w:color w:val="auto"/>
          <w:kern w:val="0"/>
          <w:sz w:val="32"/>
          <w:szCs w:val="32"/>
          <w:lang w:val="en-US" w:eastAsia="zh-CN" w:bidi="ar-SA"/>
        </w:rPr>
        <w:t>9、白沙黎族自治县生产安全事故综合应急预案（县应急管理局牵头）</w:t>
      </w:r>
      <w:bookmarkEnd w:id="103"/>
      <w:bookmarkEnd w:id="104"/>
      <w:bookmarkEnd w:id="105"/>
    </w:p>
    <w:p w14:paraId="1F22F30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06" w:name="_Toc10734_WPSOffice_Level2"/>
      <w:bookmarkStart w:id="107" w:name="_Toc10472_WPSOffice_Level2"/>
      <w:bookmarkStart w:id="108" w:name="_Toc1259_WPSOffice_Level2"/>
      <w:r>
        <w:rPr>
          <w:rFonts w:hint="eastAsia" w:ascii="仿宋_GB2312" w:hAnsi="Calibri" w:eastAsia="仿宋_GB2312" w:cs="仿宋_GB2312"/>
          <w:color w:val="auto"/>
          <w:kern w:val="0"/>
          <w:sz w:val="32"/>
          <w:szCs w:val="32"/>
          <w:lang w:val="en-US" w:eastAsia="zh-CN" w:bidi="ar-SA"/>
        </w:rPr>
        <w:t>10、白沙黎族自治县危险化学品生产安全事故应急预案（县应急管理局牵头）</w:t>
      </w:r>
    </w:p>
    <w:p w14:paraId="4ACD35F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11、白沙黎族自治县非煤矿山生产安全事故应急预案（县应急管理局牵头）</w:t>
      </w:r>
    </w:p>
    <w:p w14:paraId="2709705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12、白沙黎族自治县烟花爆竹生产安全事故应急预案（县应急管理局牵头）</w:t>
      </w:r>
    </w:p>
    <w:p w14:paraId="79C3C8F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09" w:name="_Toc32531_WPSOffice_Level2"/>
      <w:bookmarkStart w:id="110" w:name="_Toc15801_WPSOffice_Level2"/>
      <w:bookmarkStart w:id="111" w:name="_Toc5065_WPSOffice_Level2"/>
      <w:r>
        <w:rPr>
          <w:rFonts w:hint="eastAsia" w:ascii="仿宋_GB2312" w:hAnsi="Calibri" w:eastAsia="仿宋_GB2312" w:cs="仿宋_GB2312"/>
          <w:color w:val="auto"/>
          <w:kern w:val="0"/>
          <w:sz w:val="32"/>
          <w:szCs w:val="32"/>
          <w:lang w:val="en-US" w:eastAsia="zh-CN" w:bidi="ar-SA"/>
        </w:rPr>
        <w:t>13、白沙黎族自治县突发环境事件应急预案（县生态环境局牵头）</w:t>
      </w:r>
      <w:bookmarkEnd w:id="109"/>
      <w:bookmarkEnd w:id="110"/>
      <w:bookmarkEnd w:id="111"/>
    </w:p>
    <w:p w14:paraId="7E8E1CDA">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14、白沙黎族自治县饮用水水源地保护区突发环境污染事故应急预案（县生态环境局牵头）</w:t>
      </w:r>
    </w:p>
    <w:bookmarkEnd w:id="106"/>
    <w:bookmarkEnd w:id="107"/>
    <w:bookmarkEnd w:id="108"/>
    <w:p w14:paraId="6E8CD6C9">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1</w:t>
      </w:r>
      <w:r>
        <w:rPr>
          <w:rFonts w:hint="eastAsia" w:ascii="仿宋_GB2312" w:hAnsi="Calibri" w:eastAsia="仿宋_GB2312" w:cs="仿宋_GB2312"/>
          <w:color w:val="auto"/>
          <w:kern w:val="0"/>
          <w:sz w:val="32"/>
          <w:szCs w:val="32"/>
          <w:lang w:val="en-US" w:eastAsia="zh-CN" w:bidi="ar-SA"/>
        </w:rPr>
        <w:t>5、白沙黎族自治县道路交通事故应急预案（县公安局交警大队牵头）</w:t>
      </w:r>
    </w:p>
    <w:p w14:paraId="11EF27C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1</w:t>
      </w:r>
      <w:r>
        <w:rPr>
          <w:rFonts w:hint="eastAsia" w:ascii="仿宋_GB2312" w:hAnsi="Calibri" w:eastAsia="仿宋_GB2312" w:cs="仿宋_GB2312"/>
          <w:color w:val="auto"/>
          <w:kern w:val="0"/>
          <w:sz w:val="32"/>
          <w:szCs w:val="32"/>
          <w:lang w:val="en-US" w:eastAsia="zh-CN" w:bidi="ar-SA"/>
        </w:rPr>
        <w:t>6、白沙黎族自治县交通运输安全应急预案（县交通运输局牵头）</w:t>
      </w:r>
    </w:p>
    <w:p w14:paraId="0E49694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12" w:name="_Toc22005_WPSOffice_Level2"/>
      <w:bookmarkStart w:id="113" w:name="_Toc8661_WPSOffice_Level2"/>
      <w:bookmarkStart w:id="114" w:name="_Toc32673_WPSOffice_Level2"/>
      <w:r>
        <w:rPr>
          <w:rFonts w:hint="default" w:ascii="仿宋_GB2312" w:hAnsi="Calibri" w:eastAsia="仿宋_GB2312" w:cs="仿宋_GB2312"/>
          <w:color w:val="auto"/>
          <w:kern w:val="0"/>
          <w:sz w:val="32"/>
          <w:szCs w:val="32"/>
          <w:lang w:val="en-US" w:eastAsia="zh-CN" w:bidi="ar-SA"/>
        </w:rPr>
        <w:t>1</w:t>
      </w:r>
      <w:r>
        <w:rPr>
          <w:rFonts w:hint="eastAsia" w:ascii="仿宋_GB2312" w:hAnsi="Calibri" w:eastAsia="仿宋_GB2312" w:cs="仿宋_GB2312"/>
          <w:color w:val="auto"/>
          <w:kern w:val="0"/>
          <w:sz w:val="32"/>
          <w:szCs w:val="32"/>
          <w:lang w:val="en-US" w:eastAsia="zh-CN" w:bidi="ar-SA"/>
        </w:rPr>
        <w:t>7、白沙黎族自治县供水突发事件应急预案（县水务事务中心牵头）</w:t>
      </w:r>
    </w:p>
    <w:p w14:paraId="1533A0E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1</w:t>
      </w:r>
      <w:r>
        <w:rPr>
          <w:rFonts w:hint="eastAsia" w:ascii="仿宋_GB2312" w:hAnsi="Calibri" w:eastAsia="仿宋_GB2312" w:cs="仿宋_GB2312"/>
          <w:color w:val="auto"/>
          <w:kern w:val="0"/>
          <w:sz w:val="32"/>
          <w:szCs w:val="32"/>
          <w:lang w:val="en-US" w:eastAsia="zh-CN" w:bidi="ar-SA"/>
        </w:rPr>
        <w:t>8、白沙黎族自治县大面积停电事件应急预案</w:t>
      </w:r>
      <w:bookmarkEnd w:id="112"/>
      <w:bookmarkEnd w:id="113"/>
      <w:bookmarkEnd w:id="114"/>
      <w:r>
        <w:rPr>
          <w:rFonts w:hint="eastAsia" w:ascii="仿宋_GB2312" w:hAnsi="Calibri" w:eastAsia="仿宋_GB2312" w:cs="仿宋_GB2312"/>
          <w:color w:val="auto"/>
          <w:kern w:val="0"/>
          <w:sz w:val="32"/>
          <w:szCs w:val="32"/>
          <w:lang w:val="en-US" w:eastAsia="zh-CN" w:bidi="ar-SA"/>
        </w:rPr>
        <w:t>（县发改委牵头）</w:t>
      </w:r>
    </w:p>
    <w:p w14:paraId="37F08A16">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15" w:name="_Toc19584_WPSOffice_Level2"/>
      <w:bookmarkStart w:id="116" w:name="_Toc16192_WPSOffice_Level2"/>
      <w:bookmarkStart w:id="117" w:name="_Toc853_WPSOffice_Level2"/>
      <w:r>
        <w:rPr>
          <w:rFonts w:hint="eastAsia" w:ascii="仿宋_GB2312" w:hAnsi="Calibri" w:eastAsia="仿宋_GB2312" w:cs="仿宋_GB2312"/>
          <w:color w:val="auto"/>
          <w:kern w:val="0"/>
          <w:sz w:val="32"/>
          <w:szCs w:val="32"/>
          <w:lang w:val="en-US" w:eastAsia="zh-CN" w:bidi="ar-SA"/>
        </w:rPr>
        <w:t>19、白沙黎族自治县特种设备安全事故应急预案</w:t>
      </w:r>
      <w:bookmarkEnd w:id="115"/>
      <w:bookmarkEnd w:id="116"/>
      <w:bookmarkEnd w:id="117"/>
      <w:r>
        <w:rPr>
          <w:rFonts w:hint="eastAsia" w:ascii="仿宋_GB2312" w:hAnsi="Calibri" w:eastAsia="仿宋_GB2312" w:cs="仿宋_GB2312"/>
          <w:color w:val="auto"/>
          <w:kern w:val="0"/>
          <w:sz w:val="32"/>
          <w:szCs w:val="32"/>
          <w:lang w:val="en-US" w:eastAsia="zh-CN" w:bidi="ar-SA"/>
        </w:rPr>
        <w:t>（县市场监督管理局牵头）</w:t>
      </w:r>
    </w:p>
    <w:p w14:paraId="14C1C79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20、白沙黎族自治县城镇燃气突发安全事故应急预案（县住建局牵头）</w:t>
      </w:r>
    </w:p>
    <w:p w14:paraId="6289F6B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21、白沙黎族自治县建筑工程质量安全事故应急预案（县住建局牵头）</w:t>
      </w:r>
    </w:p>
    <w:p w14:paraId="2D34A4F5">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18" w:name="_Toc30512_WPSOffice_Level1"/>
      <w:bookmarkStart w:id="119" w:name="_Toc23381_WPSOffice_Level1"/>
      <w:bookmarkStart w:id="120" w:name="_Toc1580_WPSOffice_Level1"/>
      <w:r>
        <w:rPr>
          <w:rFonts w:hint="eastAsia" w:ascii="仿宋_GB2312" w:hAnsi="Calibri" w:eastAsia="仿宋_GB2312" w:cs="仿宋_GB2312"/>
          <w:color w:val="auto"/>
          <w:kern w:val="0"/>
          <w:sz w:val="32"/>
          <w:szCs w:val="32"/>
          <w:lang w:val="en-US" w:eastAsia="zh-CN" w:bidi="ar-SA"/>
        </w:rPr>
        <w:t>22、白沙黎族自治县重大火灾事故应急预案（县消防救援大队牵头）</w:t>
      </w:r>
    </w:p>
    <w:p w14:paraId="40477144">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r>
        <w:rPr>
          <w:rFonts w:hint="eastAsia" w:ascii="楷体_GB2312" w:hAnsi="Arial" w:eastAsia="楷体_GB2312" w:cs="楷体_GB2312"/>
          <w:color w:val="auto"/>
          <w:kern w:val="0"/>
          <w:sz w:val="32"/>
          <w:szCs w:val="32"/>
          <w:lang w:val="en-US" w:eastAsia="zh-CN" w:bidi="ar-SA"/>
        </w:rPr>
        <w:t>三、公共卫生事件类</w:t>
      </w:r>
      <w:bookmarkEnd w:id="118"/>
      <w:bookmarkEnd w:id="119"/>
      <w:bookmarkEnd w:id="120"/>
    </w:p>
    <w:p w14:paraId="57CA8C7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21" w:name="_Toc21359_WPSOffice_Level2"/>
      <w:bookmarkStart w:id="122" w:name="_Toc11245_WPSOffice_Level2"/>
      <w:bookmarkStart w:id="123" w:name="_Toc19724_WPSOffice_Level2"/>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3、白沙黎族自治县突发公共卫生事件应急预案</w:t>
      </w:r>
      <w:bookmarkEnd w:id="121"/>
      <w:bookmarkEnd w:id="122"/>
      <w:bookmarkEnd w:id="123"/>
      <w:r>
        <w:rPr>
          <w:rFonts w:hint="eastAsia" w:ascii="仿宋_GB2312" w:hAnsi="Calibri" w:eastAsia="仿宋_GB2312" w:cs="仿宋_GB2312"/>
          <w:color w:val="auto"/>
          <w:kern w:val="0"/>
          <w:sz w:val="32"/>
          <w:szCs w:val="32"/>
          <w:lang w:val="en-US" w:eastAsia="zh-CN" w:bidi="ar-SA"/>
        </w:rPr>
        <w:t>（县卫健委牵头）</w:t>
      </w:r>
    </w:p>
    <w:p w14:paraId="5CBE08ED">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24" w:name="_Toc13854_WPSOffice_Level2"/>
      <w:bookmarkStart w:id="125" w:name="_Toc17137_WPSOffice_Level2"/>
      <w:bookmarkStart w:id="126" w:name="_Toc27806_WPSOffice_Level2"/>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4、白沙黎族自治县突发事件医疗救援应急预案</w:t>
      </w:r>
      <w:bookmarkEnd w:id="124"/>
      <w:bookmarkEnd w:id="125"/>
      <w:bookmarkEnd w:id="126"/>
      <w:r>
        <w:rPr>
          <w:rFonts w:hint="eastAsia" w:ascii="仿宋_GB2312" w:hAnsi="Calibri" w:eastAsia="仿宋_GB2312" w:cs="仿宋_GB2312"/>
          <w:color w:val="auto"/>
          <w:kern w:val="0"/>
          <w:sz w:val="32"/>
          <w:szCs w:val="32"/>
          <w:lang w:val="en-US" w:eastAsia="zh-CN" w:bidi="ar-SA"/>
        </w:rPr>
        <w:t>（县卫健委牵头）</w:t>
      </w:r>
    </w:p>
    <w:p w14:paraId="227946A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27" w:name="_Toc7012_WPSOffice_Level2"/>
      <w:bookmarkStart w:id="128" w:name="_Toc5819_WPSOffice_Level2"/>
      <w:bookmarkStart w:id="129" w:name="_Toc12650_WPSOffice_Level2"/>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5、白沙黎族自治县食品安全事故应急预案</w:t>
      </w:r>
      <w:bookmarkEnd w:id="127"/>
      <w:bookmarkEnd w:id="128"/>
      <w:bookmarkEnd w:id="129"/>
      <w:r>
        <w:rPr>
          <w:rFonts w:hint="eastAsia" w:ascii="仿宋_GB2312" w:hAnsi="Calibri" w:eastAsia="仿宋_GB2312" w:cs="仿宋_GB2312"/>
          <w:color w:val="auto"/>
          <w:kern w:val="0"/>
          <w:sz w:val="32"/>
          <w:szCs w:val="32"/>
          <w:lang w:val="en-US" w:eastAsia="zh-CN" w:bidi="ar-SA"/>
        </w:rPr>
        <w:t>（县市场监督管理局牵头）</w:t>
      </w:r>
    </w:p>
    <w:p w14:paraId="6BAA06A2">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30" w:name="_Toc31429_WPSOffice_Level2"/>
      <w:bookmarkStart w:id="131" w:name="_Toc26803_WPSOffice_Level2"/>
      <w:bookmarkStart w:id="132" w:name="_Toc9185_WPSOffice_Level2"/>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6、白沙黎族自治县药品（医疗器械）安全事故应急预案（县市场监督管理局牵头）</w:t>
      </w:r>
    </w:p>
    <w:p w14:paraId="7675659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2</w:t>
      </w:r>
      <w:r>
        <w:rPr>
          <w:rFonts w:hint="eastAsia" w:ascii="仿宋_GB2312" w:hAnsi="Calibri" w:eastAsia="仿宋_GB2312" w:cs="仿宋_GB2312"/>
          <w:color w:val="auto"/>
          <w:kern w:val="0"/>
          <w:sz w:val="32"/>
          <w:szCs w:val="32"/>
          <w:lang w:val="en-US" w:eastAsia="zh-CN" w:bidi="ar-SA"/>
        </w:rPr>
        <w:t>7、白沙黎族自治县农产品质量安全事故应急预案</w:t>
      </w:r>
      <w:bookmarkEnd w:id="130"/>
      <w:bookmarkEnd w:id="131"/>
      <w:bookmarkEnd w:id="132"/>
      <w:r>
        <w:rPr>
          <w:rFonts w:hint="eastAsia" w:ascii="仿宋_GB2312" w:hAnsi="Calibri" w:eastAsia="仿宋_GB2312" w:cs="仿宋_GB2312"/>
          <w:color w:val="auto"/>
          <w:kern w:val="0"/>
          <w:sz w:val="32"/>
          <w:szCs w:val="32"/>
          <w:lang w:val="en-US" w:eastAsia="zh-CN" w:bidi="ar-SA"/>
        </w:rPr>
        <w:t>（县农业农村局牵头）</w:t>
      </w:r>
    </w:p>
    <w:p w14:paraId="24D299C7">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33" w:name="_Toc13877_WPSOffice_Level2"/>
      <w:bookmarkStart w:id="134" w:name="_Toc23572_WPSOffice_Level2"/>
      <w:bookmarkStart w:id="135" w:name="_Toc2489_WPSOffice_Level2"/>
      <w:r>
        <w:rPr>
          <w:rFonts w:hint="eastAsia" w:ascii="仿宋_GB2312" w:hAnsi="Calibri" w:eastAsia="仿宋_GB2312" w:cs="仿宋_GB2312"/>
          <w:color w:val="auto"/>
          <w:kern w:val="0"/>
          <w:sz w:val="32"/>
          <w:szCs w:val="32"/>
          <w:lang w:val="en-US" w:eastAsia="zh-CN" w:bidi="ar-SA"/>
        </w:rPr>
        <w:t>28、白沙黎族自治县突发重大动物疫情应急预案</w:t>
      </w:r>
      <w:bookmarkEnd w:id="133"/>
      <w:bookmarkEnd w:id="134"/>
      <w:bookmarkEnd w:id="135"/>
      <w:r>
        <w:rPr>
          <w:rFonts w:hint="eastAsia" w:ascii="仿宋_GB2312" w:hAnsi="Calibri" w:eastAsia="仿宋_GB2312" w:cs="仿宋_GB2312"/>
          <w:color w:val="auto"/>
          <w:kern w:val="0"/>
          <w:sz w:val="32"/>
          <w:szCs w:val="32"/>
          <w:lang w:val="en-US" w:eastAsia="zh-CN" w:bidi="ar-SA"/>
        </w:rPr>
        <w:t>（县农业农村局牵头）</w:t>
      </w:r>
    </w:p>
    <w:p w14:paraId="631198B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36" w:name="_Toc19023_WPSOffice_Level2"/>
      <w:bookmarkStart w:id="137" w:name="_Toc22839_WPSOffice_Level2"/>
      <w:bookmarkStart w:id="138" w:name="_Toc20859_WPSOffice_Level2"/>
      <w:r>
        <w:rPr>
          <w:rFonts w:hint="eastAsia" w:ascii="仿宋_GB2312" w:hAnsi="Calibri" w:eastAsia="仿宋_GB2312" w:cs="仿宋_GB2312"/>
          <w:color w:val="auto"/>
          <w:kern w:val="0"/>
          <w:sz w:val="32"/>
          <w:szCs w:val="32"/>
          <w:lang w:val="en-US" w:eastAsia="zh-CN" w:bidi="ar-SA"/>
        </w:rPr>
        <w:t>29、白沙黎族自治县外来物种入侵防控应急预案</w:t>
      </w:r>
      <w:bookmarkEnd w:id="136"/>
      <w:bookmarkEnd w:id="137"/>
      <w:bookmarkEnd w:id="138"/>
      <w:r>
        <w:rPr>
          <w:rFonts w:hint="eastAsia" w:ascii="仿宋_GB2312" w:hAnsi="Calibri" w:eastAsia="仿宋_GB2312" w:cs="仿宋_GB2312"/>
          <w:color w:val="auto"/>
          <w:kern w:val="0"/>
          <w:sz w:val="32"/>
          <w:szCs w:val="32"/>
          <w:lang w:val="en-US" w:eastAsia="zh-CN" w:bidi="ar-SA"/>
        </w:rPr>
        <w:t>（县农业农村局牵头）</w:t>
      </w:r>
    </w:p>
    <w:p w14:paraId="3B6EF392">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39" w:name="_Toc3878_WPSOffice_Level1"/>
      <w:bookmarkStart w:id="140" w:name="_Toc25839_WPSOffice_Level1"/>
      <w:bookmarkStart w:id="141" w:name="_Toc12840_WPSOffice_Level1"/>
      <w:r>
        <w:rPr>
          <w:rFonts w:hint="eastAsia" w:ascii="楷体_GB2312" w:hAnsi="Arial" w:eastAsia="楷体_GB2312" w:cs="楷体_GB2312"/>
          <w:color w:val="auto"/>
          <w:kern w:val="0"/>
          <w:sz w:val="32"/>
          <w:szCs w:val="32"/>
          <w:lang w:val="en-US" w:eastAsia="zh-CN" w:bidi="ar-SA"/>
        </w:rPr>
        <w:t>四、社会安全事件类</w:t>
      </w:r>
      <w:bookmarkEnd w:id="139"/>
      <w:bookmarkEnd w:id="140"/>
      <w:bookmarkEnd w:id="141"/>
    </w:p>
    <w:p w14:paraId="449660D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bookmarkStart w:id="142" w:name="_Toc13628_WPSOffice_Level2"/>
      <w:bookmarkStart w:id="143" w:name="_Toc21494_WPSOffice_Level2"/>
      <w:bookmarkStart w:id="144" w:name="_Toc6977_WPSOffice_Level2"/>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0、白沙黎族自治县处置群体性突发事件应急预案</w:t>
      </w:r>
      <w:bookmarkEnd w:id="142"/>
      <w:bookmarkEnd w:id="143"/>
      <w:bookmarkEnd w:id="144"/>
      <w:r>
        <w:rPr>
          <w:rFonts w:hint="eastAsia" w:ascii="仿宋_GB2312" w:hAnsi="Calibri" w:eastAsia="仿宋_GB2312" w:cs="仿宋_GB2312"/>
          <w:color w:val="auto"/>
          <w:kern w:val="0"/>
          <w:sz w:val="32"/>
          <w:szCs w:val="32"/>
          <w:lang w:val="en-US" w:eastAsia="zh-CN" w:bidi="ar-SA"/>
        </w:rPr>
        <w:t>（县委政</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法委牵头）</w:t>
      </w:r>
    </w:p>
    <w:p w14:paraId="57E6E4DE">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bookmarkStart w:id="145" w:name="_Toc29104_WPSOffice_Level2"/>
      <w:bookmarkStart w:id="146" w:name="_Toc17091_WPSOffice_Level2"/>
      <w:bookmarkStart w:id="147" w:name="_Toc8614_WPSOffice_Level2"/>
      <w:r>
        <w:rPr>
          <w:rFonts w:hint="default" w:ascii="仿宋_GB2312" w:hAnsi="Calibri" w:eastAsia="仿宋_GB2312" w:cs="仿宋_GB2312"/>
          <w:color w:val="000000" w:themeColor="text1"/>
          <w:kern w:val="0"/>
          <w:sz w:val="32"/>
          <w:szCs w:val="32"/>
          <w:lang w:val="en-US" w:eastAsia="zh-CN" w:bidi="ar-SA"/>
          <w14:textFill>
            <w14:solidFill>
              <w14:schemeClr w14:val="tx1"/>
            </w14:solidFill>
          </w14:textFill>
        </w:rPr>
        <w:t>3</w:t>
      </w:r>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1、白沙黎族自治县互联网舆论引导应急预案（县委宣传部（县政府新闻办）牵头）</w:t>
      </w:r>
      <w:bookmarkEnd w:id="145"/>
      <w:bookmarkEnd w:id="146"/>
      <w:bookmarkEnd w:id="147"/>
    </w:p>
    <w:p w14:paraId="7669B22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48" w:name="_Toc25628_WPSOffice_Level2"/>
      <w:bookmarkStart w:id="149" w:name="_Toc8558_WPSOffice_Level2"/>
      <w:bookmarkStart w:id="150" w:name="_Toc20226_WPSOffice_Level2"/>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2、白沙黎族自治县处置欠薪群体性事件应急预案（县人社局牵头）</w:t>
      </w:r>
      <w:bookmarkEnd w:id="148"/>
      <w:bookmarkEnd w:id="149"/>
      <w:bookmarkEnd w:id="150"/>
    </w:p>
    <w:p w14:paraId="72B32EDB">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51" w:name="_Toc3358_WPSOffice_Level2"/>
      <w:bookmarkStart w:id="152" w:name="_Toc1650_WPSOffice_Level2"/>
      <w:bookmarkStart w:id="153" w:name="_Toc31166_WPSOffice_Level2"/>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3、白沙黎族自治县地方政府性债务风险预警应急预案（县财政局牵头）</w:t>
      </w:r>
      <w:bookmarkEnd w:id="151"/>
      <w:bookmarkEnd w:id="152"/>
      <w:bookmarkEnd w:id="153"/>
    </w:p>
    <w:p w14:paraId="421C2E2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default"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4、白沙黎族自治县金融突发事件应急预案（县金融服务中心牵头）</w:t>
      </w:r>
    </w:p>
    <w:p w14:paraId="1386E0F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54" w:name="_Toc8146_WPSOffice_Level2"/>
      <w:bookmarkStart w:id="155" w:name="_Toc16080_WPSOffice_Level2"/>
      <w:bookmarkStart w:id="156" w:name="_Toc23847_WPSOffice_Level2"/>
      <w:r>
        <w:rPr>
          <w:rFonts w:hint="default" w:ascii="仿宋_GB2312" w:hAnsi="Calibri" w:eastAsia="仿宋_GB2312" w:cs="仿宋_GB2312"/>
          <w:color w:val="auto"/>
          <w:kern w:val="0"/>
          <w:sz w:val="32"/>
          <w:szCs w:val="32"/>
          <w:lang w:val="en-US" w:eastAsia="zh-CN" w:bidi="ar-SA"/>
        </w:rPr>
        <w:t>3</w:t>
      </w:r>
      <w:r>
        <w:rPr>
          <w:rFonts w:hint="eastAsia" w:ascii="仿宋_GB2312" w:hAnsi="Calibri" w:eastAsia="仿宋_GB2312" w:cs="仿宋_GB2312"/>
          <w:color w:val="auto"/>
          <w:kern w:val="0"/>
          <w:sz w:val="32"/>
          <w:szCs w:val="32"/>
          <w:lang w:val="en-US" w:eastAsia="zh-CN" w:bidi="ar-SA"/>
        </w:rPr>
        <w:t>5、白沙黎族自治县教育系统突发事件应急预案（县教育局牵头）</w:t>
      </w:r>
    </w:p>
    <w:p w14:paraId="648EBF30">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eastAsia" w:ascii="仿宋_GB2312" w:hAnsi="Calibri" w:eastAsia="仿宋_GB2312" w:cs="仿宋_GB2312"/>
          <w:color w:val="auto"/>
          <w:kern w:val="0"/>
          <w:sz w:val="32"/>
          <w:szCs w:val="32"/>
          <w:lang w:val="en-US" w:eastAsia="zh-CN" w:bidi="ar-SA"/>
        </w:rPr>
        <w:t>36、白沙黎族自治县旅文行业突发事件应急预案（县旅文局牵头）</w:t>
      </w:r>
    </w:p>
    <w:bookmarkEnd w:id="154"/>
    <w:bookmarkEnd w:id="155"/>
    <w:bookmarkEnd w:id="156"/>
    <w:p w14:paraId="08D4251D">
      <w:pPr>
        <w:keepNext w:val="0"/>
        <w:keepLines w:val="0"/>
        <w:pageBreakBefore w:val="0"/>
        <w:widowControl w:val="0"/>
        <w:kinsoku/>
        <w:overflowPunct/>
        <w:autoSpaceDE/>
        <w:autoSpaceDN/>
        <w:bidi w:val="0"/>
        <w:spacing w:beforeAutospacing="0" w:afterAutospacing="0" w:line="560" w:lineRule="exact"/>
        <w:ind w:left="0" w:leftChars="0" w:firstLine="640" w:firstLineChars="200"/>
        <w:jc w:val="both"/>
        <w:textAlignment w:val="auto"/>
        <w:outlineLvl w:val="1"/>
        <w:rPr>
          <w:rFonts w:hint="eastAsia" w:ascii="楷体_GB2312" w:hAnsi="Times New Roman" w:eastAsia="楷体_GB2312" w:cs="楷体_GB2312"/>
          <w:color w:val="auto"/>
          <w:kern w:val="0"/>
          <w:sz w:val="32"/>
          <w:szCs w:val="32"/>
          <w:lang w:val="en-US" w:eastAsia="zh-CN" w:bidi="ar-SA"/>
        </w:rPr>
      </w:pPr>
      <w:bookmarkStart w:id="157" w:name="_Toc22069_WPSOffice_Level1"/>
      <w:bookmarkStart w:id="158" w:name="_Toc26922_WPSOffice_Level1"/>
      <w:bookmarkStart w:id="159" w:name="_Toc32153_WPSOffice_Level1"/>
      <w:r>
        <w:rPr>
          <w:rFonts w:hint="eastAsia" w:ascii="楷体_GB2312" w:hAnsi="Arial" w:eastAsia="楷体_GB2312" w:cs="楷体_GB2312"/>
          <w:color w:val="auto"/>
          <w:kern w:val="0"/>
          <w:sz w:val="32"/>
          <w:szCs w:val="32"/>
          <w:lang w:val="en-US" w:eastAsia="zh-CN" w:bidi="ar-SA"/>
        </w:rPr>
        <w:t>五、应急保障类</w:t>
      </w:r>
      <w:bookmarkEnd w:id="157"/>
      <w:bookmarkEnd w:id="158"/>
      <w:bookmarkEnd w:id="159"/>
    </w:p>
    <w:p w14:paraId="12B3266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pPr>
      <w:bookmarkStart w:id="160" w:name="_Toc30510_WPSOffice_Level2"/>
      <w:bookmarkStart w:id="161" w:name="_Toc17594_WPSOffice_Level2"/>
      <w:bookmarkStart w:id="162" w:name="_Toc19193_WPSOffice_Level2"/>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37、白沙黎族自治县突发事件新闻报道应急预案</w:t>
      </w:r>
      <w:bookmarkEnd w:id="160"/>
      <w:bookmarkEnd w:id="161"/>
      <w:bookmarkEnd w:id="162"/>
      <w:r>
        <w:rPr>
          <w:rFonts w:hint="eastAsia" w:ascii="仿宋_GB2312" w:hAnsi="Calibri" w:eastAsia="仿宋_GB2312" w:cs="仿宋_GB2312"/>
          <w:color w:val="000000" w:themeColor="text1"/>
          <w:kern w:val="0"/>
          <w:sz w:val="32"/>
          <w:szCs w:val="32"/>
          <w:lang w:val="en-US" w:eastAsia="zh-CN" w:bidi="ar-SA"/>
          <w14:textFill>
            <w14:solidFill>
              <w14:schemeClr w14:val="tx1"/>
            </w14:solidFill>
          </w14:textFill>
        </w:rPr>
        <w:t>（县委宣传部（县政府新闻办）牵头）</w:t>
      </w:r>
    </w:p>
    <w:p w14:paraId="0F059B23">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63" w:name="_Toc1221_WPSOffice_Level2"/>
      <w:bookmarkStart w:id="164" w:name="_Toc14944_WPSOffice_Level2"/>
      <w:bookmarkStart w:id="165" w:name="_Toc100_WPSOffice_Level2"/>
      <w:r>
        <w:rPr>
          <w:rFonts w:hint="eastAsia" w:ascii="仿宋_GB2312" w:hAnsi="Calibri" w:eastAsia="仿宋_GB2312" w:cs="仿宋_GB2312"/>
          <w:color w:val="auto"/>
          <w:kern w:val="0"/>
          <w:sz w:val="32"/>
          <w:szCs w:val="32"/>
          <w:lang w:val="en-US" w:eastAsia="zh-CN" w:bidi="ar-SA"/>
        </w:rPr>
        <w:t>38、白沙黎族自治县粮食和物资储备突发事件应急预案</w:t>
      </w:r>
      <w:bookmarkEnd w:id="163"/>
      <w:bookmarkEnd w:id="164"/>
      <w:bookmarkEnd w:id="165"/>
      <w:r>
        <w:rPr>
          <w:rFonts w:hint="eastAsia" w:ascii="仿宋_GB2312" w:hAnsi="Calibri" w:eastAsia="仿宋_GB2312" w:cs="仿宋_GB2312"/>
          <w:color w:val="auto"/>
          <w:kern w:val="0"/>
          <w:sz w:val="32"/>
          <w:szCs w:val="32"/>
          <w:lang w:val="en-US" w:eastAsia="zh-CN" w:bidi="ar-SA"/>
        </w:rPr>
        <w:t>（县发改委牵头）</w:t>
      </w:r>
    </w:p>
    <w:p w14:paraId="01005084">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bookmarkStart w:id="166" w:name="_Toc7099_WPSOffice_Level2"/>
      <w:bookmarkStart w:id="167" w:name="_Toc21889_WPSOffice_Level2"/>
      <w:bookmarkStart w:id="168" w:name="_Toc15825_WPSOffice_Level2"/>
      <w:r>
        <w:rPr>
          <w:rFonts w:hint="eastAsia" w:ascii="仿宋_GB2312" w:hAnsi="Calibri" w:eastAsia="仿宋_GB2312" w:cs="仿宋_GB2312"/>
          <w:color w:val="auto"/>
          <w:kern w:val="0"/>
          <w:sz w:val="32"/>
          <w:szCs w:val="32"/>
          <w:lang w:val="en-US" w:eastAsia="zh-CN" w:bidi="ar-SA"/>
        </w:rPr>
        <w:t>39、白沙黎族自治县农村饮水安全应急预案</w:t>
      </w:r>
      <w:bookmarkEnd w:id="166"/>
      <w:bookmarkEnd w:id="167"/>
      <w:bookmarkEnd w:id="168"/>
      <w:r>
        <w:rPr>
          <w:rFonts w:hint="eastAsia" w:ascii="仿宋_GB2312" w:hAnsi="Calibri" w:eastAsia="仿宋_GB2312" w:cs="仿宋_GB2312"/>
          <w:color w:val="auto"/>
          <w:kern w:val="0"/>
          <w:sz w:val="32"/>
          <w:szCs w:val="32"/>
          <w:lang w:val="en-US" w:eastAsia="zh-CN" w:bidi="ar-SA"/>
        </w:rPr>
        <w:t>（县水务事务中心牵头）</w:t>
      </w:r>
    </w:p>
    <w:p w14:paraId="064FD178">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eastAsia"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4</w:t>
      </w:r>
      <w:r>
        <w:rPr>
          <w:rFonts w:hint="eastAsia" w:ascii="仿宋_GB2312" w:hAnsi="Calibri" w:eastAsia="仿宋_GB2312" w:cs="仿宋_GB2312"/>
          <w:color w:val="auto"/>
          <w:kern w:val="0"/>
          <w:sz w:val="32"/>
          <w:szCs w:val="32"/>
          <w:lang w:val="en-US" w:eastAsia="zh-CN" w:bidi="ar-SA"/>
        </w:rPr>
        <w:t>0、白沙黎族自治县交通运输保障应急预案（县交通运输局牵头）</w:t>
      </w:r>
    </w:p>
    <w:p w14:paraId="4B029191">
      <w:pPr>
        <w:keepNext w:val="0"/>
        <w:keepLines w:val="0"/>
        <w:pageBreakBefore w:val="0"/>
        <w:widowControl w:val="0"/>
        <w:kinsoku/>
        <w:overflowPunct/>
        <w:autoSpaceDE/>
        <w:autoSpaceDN/>
        <w:bidi w:val="0"/>
        <w:spacing w:before="0" w:beforeAutospacing="0" w:after="0" w:afterAutospacing="0" w:line="560" w:lineRule="exact"/>
        <w:ind w:left="0" w:leftChars="0" w:firstLine="640" w:firstLineChars="200"/>
        <w:jc w:val="both"/>
        <w:textAlignment w:val="auto"/>
        <w:outlineLvl w:val="9"/>
        <w:rPr>
          <w:rFonts w:hint="default" w:ascii="仿宋_GB2312" w:hAnsi="Calibri" w:eastAsia="仿宋_GB2312" w:cs="仿宋_GB2312"/>
          <w:color w:val="auto"/>
          <w:kern w:val="0"/>
          <w:sz w:val="32"/>
          <w:szCs w:val="32"/>
          <w:lang w:val="en-US" w:eastAsia="zh-CN" w:bidi="ar-SA"/>
        </w:rPr>
      </w:pPr>
      <w:r>
        <w:rPr>
          <w:rFonts w:hint="default" w:ascii="仿宋_GB2312" w:hAnsi="Calibri" w:eastAsia="仿宋_GB2312" w:cs="仿宋_GB2312"/>
          <w:color w:val="auto"/>
          <w:kern w:val="0"/>
          <w:sz w:val="32"/>
          <w:szCs w:val="32"/>
          <w:lang w:val="en-US" w:eastAsia="zh-CN" w:bidi="ar-SA"/>
        </w:rPr>
        <w:t>注：随着应急管理体制</w:t>
      </w:r>
      <w:r>
        <w:rPr>
          <w:rFonts w:hint="eastAsia" w:ascii="仿宋_GB2312" w:hAnsi="Calibri" w:eastAsia="仿宋_GB2312" w:cs="仿宋_GB2312"/>
          <w:color w:val="auto"/>
          <w:kern w:val="0"/>
          <w:sz w:val="32"/>
          <w:szCs w:val="32"/>
          <w:lang w:val="en-US" w:eastAsia="zh-CN" w:bidi="ar-SA"/>
        </w:rPr>
        <w:t>改革</w:t>
      </w:r>
      <w:r>
        <w:rPr>
          <w:rFonts w:hint="default" w:ascii="仿宋_GB2312" w:hAnsi="Calibri" w:eastAsia="仿宋_GB2312" w:cs="仿宋_GB2312"/>
          <w:color w:val="auto"/>
          <w:kern w:val="0"/>
          <w:sz w:val="32"/>
          <w:szCs w:val="32"/>
          <w:lang w:val="en-US" w:eastAsia="zh-CN" w:bidi="ar-SA"/>
        </w:rPr>
        <w:t>的健全和实际情况的变化，</w:t>
      </w:r>
      <w:r>
        <w:rPr>
          <w:rFonts w:hint="eastAsia" w:ascii="仿宋_GB2312" w:hAnsi="Calibri" w:eastAsia="仿宋_GB2312" w:cs="仿宋_GB2312"/>
          <w:color w:val="auto"/>
          <w:kern w:val="0"/>
          <w:sz w:val="32"/>
          <w:szCs w:val="32"/>
          <w:lang w:val="en-US" w:eastAsia="zh-CN" w:bidi="ar-SA"/>
        </w:rPr>
        <w:t>县</w:t>
      </w:r>
      <w:r>
        <w:rPr>
          <w:rFonts w:hint="default" w:ascii="仿宋_GB2312" w:hAnsi="Calibri" w:eastAsia="仿宋_GB2312" w:cs="仿宋_GB2312"/>
          <w:color w:val="auto"/>
          <w:kern w:val="0"/>
          <w:sz w:val="32"/>
          <w:szCs w:val="32"/>
          <w:lang w:val="en-US" w:eastAsia="zh-CN" w:bidi="ar-SA"/>
        </w:rPr>
        <w:t>专项</w:t>
      </w:r>
      <w:r>
        <w:rPr>
          <w:rFonts w:hint="eastAsia" w:ascii="仿宋_GB2312" w:hAnsi="Calibri" w:eastAsia="仿宋_GB2312" w:cs="仿宋_GB2312"/>
          <w:color w:val="auto"/>
          <w:kern w:val="0"/>
          <w:sz w:val="32"/>
          <w:szCs w:val="32"/>
          <w:lang w:val="en-US" w:eastAsia="zh-CN" w:bidi="ar-SA"/>
        </w:rPr>
        <w:t>应急</w:t>
      </w:r>
      <w:r>
        <w:rPr>
          <w:rFonts w:hint="default" w:ascii="仿宋_GB2312" w:hAnsi="Calibri" w:eastAsia="仿宋_GB2312" w:cs="仿宋_GB2312"/>
          <w:color w:val="auto"/>
          <w:kern w:val="0"/>
          <w:sz w:val="32"/>
          <w:szCs w:val="32"/>
          <w:lang w:val="en-US" w:eastAsia="zh-CN" w:bidi="ar-SA"/>
        </w:rPr>
        <w:t>预案将不断补充完善。</w:t>
      </w:r>
    </w:p>
    <w:p w14:paraId="0C20B49B">
      <w:pPr>
        <w:spacing w:line="560" w:lineRule="exact"/>
        <w:ind w:firstLine="0" w:firstLineChars="0"/>
        <w:jc w:val="left"/>
        <w:outlineLvl w:val="9"/>
        <w:rPr>
          <w:rFonts w:hint="eastAsia" w:ascii="仿宋" w:hAnsi="仿宋" w:eastAsia="仿宋" w:cs="Times New Roman"/>
          <w:color w:val="auto"/>
          <w:sz w:val="28"/>
          <w:szCs w:val="28"/>
        </w:rPr>
      </w:pPr>
    </w:p>
    <w:p w14:paraId="2E67594F">
      <w:pPr>
        <w:spacing w:line="560" w:lineRule="exact"/>
        <w:ind w:firstLine="0" w:firstLineChars="0"/>
        <w:jc w:val="left"/>
        <w:outlineLvl w:val="0"/>
        <w:rPr>
          <w:rFonts w:hint="eastAsia" w:ascii="仿宋" w:hAnsi="仿宋" w:eastAsia="仿宋"/>
          <w:color w:val="auto"/>
          <w:sz w:val="28"/>
          <w:szCs w:val="28"/>
        </w:rPr>
        <w:sectPr>
          <w:pgSz w:w="11910" w:h="16840"/>
          <w:pgMar w:top="1600" w:right="1440" w:bottom="1640" w:left="1420" w:header="0" w:footer="1459" w:gutter="0"/>
          <w:lnNumType w:countBy="0" w:distance="360"/>
          <w:pgNumType w:fmt="numberInDash"/>
          <w:cols w:space="720" w:num="1"/>
        </w:sectPr>
      </w:pPr>
      <w:bookmarkStart w:id="169" w:name="_Toc17860"/>
    </w:p>
    <w:p w14:paraId="597F3113">
      <w:pPr>
        <w:keepNext w:val="0"/>
        <w:keepLines w:val="0"/>
        <w:pageBreakBefore w:val="0"/>
        <w:widowControl w:val="0"/>
        <w:kinsoku/>
        <w:overflowPunct/>
        <w:autoSpaceDE/>
        <w:autoSpaceDN/>
        <w:bidi w:val="0"/>
        <w:spacing w:before="0" w:beforeAutospacing="0" w:after="0" w:afterAutospacing="0" w:line="560" w:lineRule="exact"/>
        <w:ind w:firstLine="0" w:firstLineChars="0"/>
        <w:jc w:val="both"/>
        <w:textAlignment w:val="auto"/>
        <w:outlineLvl w:val="9"/>
        <w:rPr>
          <w:rFonts w:hint="eastAsia" w:ascii="仿宋_GB2312" w:hAnsi="Calibri" w:eastAsia="仿宋_GB2312" w:cs="仿宋_GB2312"/>
          <w:b w:val="0"/>
          <w:bCs w:val="0"/>
          <w:color w:val="auto"/>
          <w:kern w:val="0"/>
          <w:sz w:val="32"/>
          <w:szCs w:val="32"/>
          <w:lang w:val="en-US" w:eastAsia="zh-CN" w:bidi="ar-SA"/>
        </w:rPr>
      </w:pPr>
      <w:r>
        <w:rPr>
          <w:rFonts w:hint="eastAsia" w:ascii="仿宋_GB2312" w:hAnsi="Calibri" w:eastAsia="仿宋_GB2312" w:cs="仿宋_GB2312"/>
          <w:b w:val="0"/>
          <w:bCs w:val="0"/>
          <w:color w:val="auto"/>
          <w:kern w:val="0"/>
          <w:sz w:val="32"/>
          <w:szCs w:val="32"/>
          <w:lang w:val="en-US" w:eastAsia="zh-CN" w:bidi="ar-SA"/>
        </w:rPr>
        <w:t>附件2</w:t>
      </w:r>
      <w:bookmarkEnd w:id="169"/>
    </w:p>
    <w:p w14:paraId="24BA9E4D">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bookmarkStart w:id="170" w:name="_Toc5627"/>
      <w:r>
        <w:rPr>
          <w:rFonts w:hint="eastAsia" w:ascii="仿宋_GB2312" w:hAnsi="Calibri" w:eastAsia="仿宋_GB2312" w:cs="仿宋_GB2312"/>
          <w:b/>
          <w:bCs/>
          <w:color w:val="auto"/>
          <w:kern w:val="0"/>
          <w:sz w:val="32"/>
          <w:szCs w:val="32"/>
          <w:lang w:val="en-US" w:eastAsia="zh-CN" w:bidi="ar-SA"/>
        </w:rPr>
        <w:t>白沙黎族自治县突发事件应急组织体系框架图</w:t>
      </w:r>
      <w:bookmarkEnd w:id="170"/>
    </w:p>
    <w:p w14:paraId="489A719D">
      <w:pPr>
        <w:spacing w:line="600" w:lineRule="exact"/>
        <w:ind w:firstLine="720" w:firstLineChars="200"/>
        <w:outlineLvl w:val="9"/>
        <w:rPr>
          <w:rFonts w:hint="eastAsia" w:ascii="Times New Roman" w:hAnsi="Times New Roman" w:eastAsia="仿宋_GB2312" w:cs="Times New Roman"/>
          <w:color w:val="auto"/>
          <w:sz w:val="28"/>
          <w:szCs w:val="28"/>
          <w:lang w:val="en-US" w:eastAsia="zh-CN"/>
        </w:rPr>
      </w:pPr>
      <w:r>
        <w:rPr>
          <w:rFonts w:ascii="Times New Roman" w:hAnsi="Times New Roman" w:eastAsia="仿宋_GB2312" w:cs="Times New Roman"/>
          <w:sz w:val="36"/>
          <w:szCs w:val="32"/>
        </w:rPr>
        <mc:AlternateContent>
          <mc:Choice Requires="wpg">
            <w:drawing>
              <wp:anchor distT="0" distB="0" distL="0" distR="0" simplePos="0" relativeHeight="251660288" behindDoc="0" locked="0" layoutInCell="1" allowOverlap="1">
                <wp:simplePos x="0" y="0"/>
                <wp:positionH relativeFrom="column">
                  <wp:posOffset>-87630</wp:posOffset>
                </wp:positionH>
                <wp:positionV relativeFrom="paragraph">
                  <wp:posOffset>150495</wp:posOffset>
                </wp:positionV>
                <wp:extent cx="5824855" cy="7581265"/>
                <wp:effectExtent l="4445" t="4445" r="19050" b="15240"/>
                <wp:wrapNone/>
                <wp:docPr id="72" name="组合 55"/>
                <wp:cNvGraphicFramePr/>
                <a:graphic xmlns:a="http://schemas.openxmlformats.org/drawingml/2006/main">
                  <a:graphicData uri="http://schemas.microsoft.com/office/word/2010/wordprocessingGroup">
                    <wpg:wgp>
                      <wpg:cNvGrpSpPr/>
                      <wpg:grpSpPr>
                        <a:xfrm rot="0">
                          <a:off x="0" y="0"/>
                          <a:ext cx="5824855" cy="7581263"/>
                          <a:chOff x="3966" y="1046874"/>
                          <a:chExt cx="9173" cy="11939"/>
                        </a:xfrm>
                      </wpg:grpSpPr>
                      <wpg:grpSp>
                        <wpg:cNvPr id="73" name="组合 1"/>
                        <wpg:cNvGrpSpPr/>
                        <wpg:grpSpPr>
                          <a:xfrm>
                            <a:off x="3966" y="1046874"/>
                            <a:ext cx="8832" cy="11939"/>
                            <a:chOff x="4341" y="1046874"/>
                            <a:chExt cx="8832" cy="11939"/>
                          </a:xfrm>
                        </wpg:grpSpPr>
                        <wpg:grpSp>
                          <wpg:cNvPr id="74" name="组合 2"/>
                          <wpg:cNvGrpSpPr/>
                          <wpg:grpSpPr>
                            <a:xfrm>
                              <a:off x="5215" y="1046874"/>
                              <a:ext cx="6503" cy="10786"/>
                              <a:chOff x="6607" y="1046874"/>
                              <a:chExt cx="6503" cy="10786"/>
                            </a:xfrm>
                          </wpg:grpSpPr>
                          <wpg:grpSp>
                            <wpg:cNvPr id="75" name="组合 3"/>
                            <wpg:cNvGrpSpPr/>
                            <wpg:grpSpPr>
                              <a:xfrm>
                                <a:off x="6675" y="1046874"/>
                                <a:ext cx="6435" cy="6123"/>
                                <a:chOff x="6675" y="1046874"/>
                                <a:chExt cx="6435" cy="6123"/>
                              </a:xfrm>
                            </wpg:grpSpPr>
                            <wpg:grpSp>
                              <wpg:cNvPr id="76" name="组合 4"/>
                              <wpg:cNvGrpSpPr/>
                              <wpg:grpSpPr>
                                <a:xfrm>
                                  <a:off x="6675" y="1048646"/>
                                  <a:ext cx="6435" cy="4351"/>
                                  <a:chOff x="6675" y="1048646"/>
                                  <a:chExt cx="6435" cy="4351"/>
                                </a:xfrm>
                              </wpg:grpSpPr>
                              <wps:wsp>
                                <wps:cNvPr id="77" name="矩形 5"/>
                                <wps:cNvSpPr/>
                                <wps:spPr>
                                  <a:xfrm>
                                    <a:off x="6675" y="1049048"/>
                                    <a:ext cx="690" cy="352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91F6F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8"/>
                                          <w:szCs w:val="28"/>
                                          <w:lang w:val="en-US" w:eastAsia="zh-CN"/>
                                        </w:rPr>
                                      </w:pPr>
                                      <w:r>
                                        <w:rPr>
                                          <w:rFonts w:hint="eastAsia" w:ascii="Times New Roman" w:hAnsi="Times New Roman" w:eastAsia="仿宋_GB2312" w:cs="Times New Roman"/>
                                          <w:sz w:val="28"/>
                                          <w:szCs w:val="28"/>
                                          <w:lang w:eastAsia="zh-CN"/>
                                        </w:rPr>
                                        <w:t>县应急保障类应急指挥部</w:t>
                                      </w:r>
                                      <w:r>
                                        <w:rPr>
                                          <w:rFonts w:hint="eastAsia" w:ascii="Times New Roman" w:hAnsi="Times New Roman" w:eastAsia="仿宋_GB2312" w:cs="Times New Roman"/>
                                          <w:sz w:val="28"/>
                                          <w:szCs w:val="28"/>
                                          <w:lang w:val="en-US" w:eastAsia="zh-CN"/>
                                        </w:rPr>
                                        <w:t xml:space="preserve"> </w:t>
                                      </w:r>
                                    </w:p>
                                  </w:txbxContent>
                                </wps:txbx>
                                <wps:bodyPr vert="eaVert" upright="1"/>
                              </wps:wsp>
                              <wps:wsp>
                                <wps:cNvPr id="78" name="矩形 6"/>
                                <wps:cNvSpPr/>
                                <wps:spPr>
                                  <a:xfrm>
                                    <a:off x="8135" y="10490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3274B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县自然灾害类事件应急指挥部</w:t>
                                      </w:r>
                                    </w:p>
                                  </w:txbxContent>
                                </wps:txbx>
                                <wps:bodyPr vert="eaVert" upright="1"/>
                              </wps:wsp>
                              <wps:wsp>
                                <wps:cNvPr id="79" name="矩形 7"/>
                                <wps:cNvSpPr/>
                                <wps:spPr>
                                  <a:xfrm>
                                    <a:off x="9520" y="1049060"/>
                                    <a:ext cx="690" cy="393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EA270F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县生产安全类事故应急指挥部</w:t>
                                      </w:r>
                                    </w:p>
                                  </w:txbxContent>
                                </wps:txbx>
                                <wps:bodyPr vert="eaVert" upright="1"/>
                              </wps:wsp>
                              <wps:wsp>
                                <wps:cNvPr id="80" name="矩形 8"/>
                                <wps:cNvSpPr/>
                                <wps:spPr>
                                  <a:xfrm>
                                    <a:off x="11030" y="10490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3897A0">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县公共卫生类事件应急指挥部</w:t>
                                      </w:r>
                                    </w:p>
                                  </w:txbxContent>
                                </wps:txbx>
                                <wps:bodyPr vert="eaVert" upright="1"/>
                              </wps:wsp>
                              <wps:wsp>
                                <wps:cNvPr id="81" name="矩形 9"/>
                                <wps:cNvSpPr/>
                                <wps:spPr>
                                  <a:xfrm>
                                    <a:off x="12420" y="10490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72DCB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val="en-US" w:eastAsia="zh-CN"/>
                                        </w:rPr>
                                      </w:pPr>
                                      <w:r>
                                        <w:rPr>
                                          <w:rFonts w:hint="eastAsia" w:ascii="Times New Roman" w:hAnsi="Times New Roman" w:eastAsia="仿宋_GB2312" w:cs="Times New Roman"/>
                                          <w:sz w:val="28"/>
                                          <w:szCs w:val="28"/>
                                          <w:lang w:val="en-US" w:eastAsia="zh-CN"/>
                                        </w:rPr>
                                        <w:t>县社会安全类事件应急指挥部</w:t>
                                      </w:r>
                                    </w:p>
                                  </w:txbxContent>
                                </wps:txbx>
                                <wps:bodyPr vert="eaVert" upright="1"/>
                              </wps:wsp>
                              <wps:wsp>
                                <wps:cNvPr id="82" name="直接连接符 10"/>
                                <wps:cNvCnPr/>
                                <wps:spPr>
                                  <a:xfrm flipH="1">
                                    <a:off x="9855" y="1048701"/>
                                    <a:ext cx="2" cy="359"/>
                                  </a:xfrm>
                                  <a:prstGeom prst="line">
                                    <a:avLst/>
                                  </a:prstGeom>
                                  <a:ln w="15875" cap="flat" cmpd="sng">
                                    <a:solidFill>
                                      <a:srgbClr val="000000"/>
                                    </a:solidFill>
                                    <a:prstDash val="solid"/>
                                    <a:round/>
                                    <a:headEnd type="none" w="med" len="med"/>
                                    <a:tailEnd type="triangle" w="med" len="med"/>
                                  </a:ln>
                                </wps:spPr>
                                <wps:bodyPr/>
                              </wps:wsp>
                              <wps:wsp>
                                <wps:cNvPr id="83" name="肘形连接符 11"/>
                                <wps:cNvCnPr/>
                                <wps:spPr>
                                  <a:xfrm rot="16200000" flipH="1">
                                    <a:off x="9892" y="1046176"/>
                                    <a:ext cx="1" cy="5745"/>
                                  </a:xfrm>
                                  <a:prstGeom prst="bentConnector3">
                                    <a:avLst>
                                      <a:gd name="adj1" fmla="val -37500000"/>
                                    </a:avLst>
                                  </a:prstGeom>
                                  <a:ln w="15875" cap="flat" cmpd="sng">
                                    <a:solidFill>
                                      <a:srgbClr val="000000"/>
                                    </a:solidFill>
                                    <a:prstDash val="solid"/>
                                    <a:miter/>
                                    <a:headEnd type="arrow" w="med" len="med"/>
                                    <a:tailEnd type="arrow" w="med" len="med"/>
                                  </a:ln>
                                </wps:spPr>
                                <wps:bodyPr/>
                              </wps:wsp>
                              <wps:wsp>
                                <wps:cNvPr id="84" name="直接连接符 12"/>
                                <wps:cNvCnPr/>
                                <wps:spPr>
                                  <a:xfrm>
                                    <a:off x="8486" y="1048658"/>
                                    <a:ext cx="3" cy="356"/>
                                  </a:xfrm>
                                  <a:prstGeom prst="line">
                                    <a:avLst/>
                                  </a:prstGeom>
                                  <a:ln w="15875" cap="flat" cmpd="sng">
                                    <a:solidFill>
                                      <a:srgbClr val="000000"/>
                                    </a:solidFill>
                                    <a:prstDash val="solid"/>
                                    <a:round/>
                                    <a:headEnd type="none" w="med" len="med"/>
                                    <a:tailEnd type="triangle" w="med" len="med"/>
                                  </a:ln>
                                </wps:spPr>
                                <wps:bodyPr/>
                              </wps:wsp>
                              <wps:wsp>
                                <wps:cNvPr id="85" name="直接连接符 13"/>
                                <wps:cNvCnPr/>
                                <wps:spPr>
                                  <a:xfrm>
                                    <a:off x="11396" y="1048646"/>
                                    <a:ext cx="2" cy="387"/>
                                  </a:xfrm>
                                  <a:prstGeom prst="line">
                                    <a:avLst/>
                                  </a:prstGeom>
                                  <a:ln w="15875" cap="flat" cmpd="sng">
                                    <a:solidFill>
                                      <a:srgbClr val="000000"/>
                                    </a:solidFill>
                                    <a:prstDash val="solid"/>
                                    <a:round/>
                                    <a:headEnd type="none" w="med" len="med"/>
                                    <a:tailEnd type="triangle" w="med" len="med"/>
                                  </a:ln>
                                </wps:spPr>
                                <wps:bodyPr/>
                              </wps:wsp>
                            </wpg:grpSp>
                            <wpg:grpSp>
                              <wpg:cNvPr id="86" name="组合 14"/>
                              <wpg:cNvGrpSpPr/>
                              <wpg:grpSpPr>
                                <a:xfrm>
                                  <a:off x="7656" y="1046874"/>
                                  <a:ext cx="4832" cy="1793"/>
                                  <a:chOff x="7656" y="1046874"/>
                                  <a:chExt cx="4832" cy="1793"/>
                                </a:xfrm>
                              </wpg:grpSpPr>
                              <wps:wsp>
                                <wps:cNvPr id="87" name="矩形 15"/>
                                <wps:cNvSpPr/>
                                <wps:spPr>
                                  <a:xfrm>
                                    <a:off x="7832" y="1046874"/>
                                    <a:ext cx="4067" cy="58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B84C1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白沙黎族自治县人民政府</w:t>
                                      </w:r>
                                    </w:p>
                                  </w:txbxContent>
                                </wps:txbx>
                                <wps:bodyPr upright="1"/>
                              </wps:wsp>
                              <wps:wsp>
                                <wps:cNvPr id="88" name="矩形 16"/>
                                <wps:cNvSpPr/>
                                <wps:spPr>
                                  <a:xfrm>
                                    <a:off x="7656" y="1047864"/>
                                    <a:ext cx="4832" cy="53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15AEF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白沙黎族自治县突发事件应急委员会</w:t>
                                      </w:r>
                                    </w:p>
                                  </w:txbxContent>
                                </wps:txbx>
                                <wps:bodyPr upright="1"/>
                              </wps:wsp>
                              <wps:wsp>
                                <wps:cNvPr id="89" name="直接连接符 17"/>
                                <wps:cNvCnPr/>
                                <wps:spPr>
                                  <a:xfrm>
                                    <a:off x="10075" y="1047443"/>
                                    <a:ext cx="8" cy="426"/>
                                  </a:xfrm>
                                  <a:prstGeom prst="line">
                                    <a:avLst/>
                                  </a:prstGeom>
                                  <a:ln w="15875" cap="flat" cmpd="sng">
                                    <a:solidFill>
                                      <a:srgbClr val="000000"/>
                                    </a:solidFill>
                                    <a:prstDash val="solid"/>
                                    <a:round/>
                                    <a:headEnd type="none" w="med" len="med"/>
                                    <a:tailEnd type="triangle" w="med" len="med"/>
                                  </a:ln>
                                </wps:spPr>
                                <wps:bodyPr/>
                              </wps:wsp>
                              <wps:wsp>
                                <wps:cNvPr id="90" name="直接连接符 18"/>
                                <wps:cNvCnPr/>
                                <wps:spPr>
                                  <a:xfrm>
                                    <a:off x="10072" y="1048404"/>
                                    <a:ext cx="9" cy="263"/>
                                  </a:xfrm>
                                  <a:prstGeom prst="line">
                                    <a:avLst/>
                                  </a:prstGeom>
                                  <a:ln w="15875" cap="flat" cmpd="sng">
                                    <a:solidFill>
                                      <a:srgbClr val="000000"/>
                                    </a:solidFill>
                                    <a:prstDash val="solid"/>
                                    <a:round/>
                                    <a:headEnd type="none" w="med" len="med"/>
                                    <a:tailEnd type="triangle" w="med" len="med"/>
                                  </a:ln>
                                </wps:spPr>
                                <wps:bodyPr/>
                              </wps:wsp>
                            </wpg:grpSp>
                          </wpg:grpSp>
                          <wpg:grpSp>
                            <wpg:cNvPr id="91" name="组合 19"/>
                            <wpg:cNvGrpSpPr/>
                            <wpg:grpSpPr>
                              <a:xfrm>
                                <a:off x="6607" y="1052612"/>
                                <a:ext cx="6502" cy="5048"/>
                                <a:chOff x="6607" y="1052612"/>
                                <a:chExt cx="6502" cy="5048"/>
                              </a:xfrm>
                            </wpg:grpSpPr>
                            <wpg:grpSp>
                              <wpg:cNvPr id="92" name="组合 20"/>
                              <wpg:cNvGrpSpPr/>
                              <wpg:grpSpPr>
                                <a:xfrm>
                                  <a:off x="6926" y="1052612"/>
                                  <a:ext cx="5816" cy="961"/>
                                  <a:chOff x="6926" y="1052612"/>
                                  <a:chExt cx="5816" cy="961"/>
                                </a:xfrm>
                              </wpg:grpSpPr>
                              <wps:wsp>
                                <wps:cNvPr id="93" name="直接连接符 21"/>
                                <wps:cNvCnPr/>
                                <wps:spPr>
                                  <a:xfrm>
                                    <a:off x="8447" y="1053009"/>
                                    <a:ext cx="1" cy="565"/>
                                  </a:xfrm>
                                  <a:prstGeom prst="line">
                                    <a:avLst/>
                                  </a:prstGeom>
                                  <a:ln w="15875" cap="flat" cmpd="sng">
                                    <a:solidFill>
                                      <a:srgbClr val="000000"/>
                                    </a:solidFill>
                                    <a:prstDash val="solid"/>
                                    <a:round/>
                                    <a:headEnd type="none" w="med" len="med"/>
                                    <a:tailEnd type="triangle" w="med" len="med"/>
                                  </a:ln>
                                </wps:spPr>
                                <wps:bodyPr/>
                              </wps:wsp>
                              <wps:wsp>
                                <wps:cNvPr id="94" name="直接连接符 22"/>
                                <wps:cNvCnPr/>
                                <wps:spPr>
                                  <a:xfrm>
                                    <a:off x="11357" y="1052987"/>
                                    <a:ext cx="11" cy="557"/>
                                  </a:xfrm>
                                  <a:prstGeom prst="line">
                                    <a:avLst/>
                                  </a:prstGeom>
                                  <a:ln w="15875" cap="flat" cmpd="sng">
                                    <a:solidFill>
                                      <a:srgbClr val="000000"/>
                                    </a:solidFill>
                                    <a:prstDash val="solid"/>
                                    <a:round/>
                                    <a:headEnd type="none" w="med" len="med"/>
                                    <a:tailEnd type="triangle" w="med" len="med"/>
                                  </a:ln>
                                </wps:spPr>
                                <wps:bodyPr/>
                              </wps:wsp>
                              <wps:wsp>
                                <wps:cNvPr id="95" name="直接连接符 23"/>
                                <wps:cNvCnPr/>
                                <wps:spPr>
                                  <a:xfrm>
                                    <a:off x="9977" y="1052987"/>
                                    <a:ext cx="11" cy="557"/>
                                  </a:xfrm>
                                  <a:prstGeom prst="line">
                                    <a:avLst/>
                                  </a:prstGeom>
                                  <a:ln w="15875" cap="flat" cmpd="sng">
                                    <a:solidFill>
                                      <a:srgbClr val="000000"/>
                                    </a:solidFill>
                                    <a:prstDash val="solid"/>
                                    <a:round/>
                                    <a:headEnd type="none" w="med" len="med"/>
                                    <a:tailEnd type="triangle" w="med" len="med"/>
                                  </a:ln>
                                </wps:spPr>
                                <wps:bodyPr/>
                              </wps:wsp>
                              <wps:wsp>
                                <wps:cNvPr id="96" name="肘形连接符 24"/>
                                <wps:cNvCnPr/>
                                <wps:spPr>
                                  <a:xfrm>
                                    <a:off x="6926" y="1053237"/>
                                    <a:ext cx="5809" cy="297"/>
                                  </a:xfrm>
                                  <a:prstGeom prst="bentConnector2">
                                    <a:avLst/>
                                  </a:prstGeom>
                                  <a:ln w="15875" cap="flat" cmpd="sng">
                                    <a:solidFill>
                                      <a:srgbClr val="000000"/>
                                    </a:solidFill>
                                    <a:prstDash val="solid"/>
                                    <a:miter/>
                                    <a:headEnd type="none" w="med" len="med"/>
                                    <a:tailEnd type="triangle" w="med" len="med"/>
                                  </a:ln>
                                </wps:spPr>
                                <wps:bodyPr/>
                              </wps:wsp>
                              <wps:wsp>
                                <wps:cNvPr id="97" name="直接连接符 25"/>
                                <wps:cNvCnPr/>
                                <wps:spPr>
                                  <a:xfrm flipH="1">
                                    <a:off x="6942" y="1052612"/>
                                    <a:ext cx="12" cy="933"/>
                                  </a:xfrm>
                                  <a:prstGeom prst="line">
                                    <a:avLst/>
                                  </a:prstGeom>
                                  <a:ln w="15875" cap="flat" cmpd="sng">
                                    <a:solidFill>
                                      <a:srgbClr val="000000"/>
                                    </a:solidFill>
                                    <a:prstDash val="solid"/>
                                    <a:round/>
                                    <a:headEnd type="none" w="med" len="med"/>
                                    <a:tailEnd type="triangle" w="med" len="med"/>
                                  </a:ln>
                                </wps:spPr>
                                <wps:bodyPr/>
                              </wps:wsp>
                              <wps:wsp>
                                <wps:cNvPr id="98" name="直接连接符 26"/>
                                <wps:cNvCnPr/>
                                <wps:spPr>
                                  <a:xfrm>
                                    <a:off x="12742" y="1053005"/>
                                    <a:ext cx="1" cy="480"/>
                                  </a:xfrm>
                                  <a:prstGeom prst="line">
                                    <a:avLst/>
                                  </a:prstGeom>
                                  <a:ln w="15875" cap="flat" cmpd="sng">
                                    <a:solidFill>
                                      <a:srgbClr val="000000"/>
                                    </a:solidFill>
                                    <a:prstDash val="solid"/>
                                    <a:round/>
                                    <a:headEnd type="none" w="med" len="med"/>
                                    <a:tailEnd type="none" w="med" len="med"/>
                                  </a:ln>
                                </wps:spPr>
                                <wps:bodyPr/>
                              </wps:wsp>
                            </wpg:grpSp>
                            <wpg:grpSp>
                              <wpg:cNvPr id="99" name="组合 27"/>
                              <wpg:cNvGrpSpPr/>
                              <wpg:grpSpPr>
                                <a:xfrm>
                                  <a:off x="6607" y="1053532"/>
                                  <a:ext cx="6503" cy="4128"/>
                                  <a:chOff x="6607" y="1053532"/>
                                  <a:chExt cx="6503" cy="4128"/>
                                </a:xfrm>
                              </wpg:grpSpPr>
                              <wps:wsp>
                                <wps:cNvPr id="100" name="矩形 28"/>
                                <wps:cNvSpPr/>
                                <wps:spPr>
                                  <a:xfrm>
                                    <a:off x="9625" y="1053565"/>
                                    <a:ext cx="690" cy="393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77752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指挥部办公室（县应急管理局）</w:t>
                                      </w:r>
                                    </w:p>
                                  </w:txbxContent>
                                </wps:txbx>
                                <wps:bodyPr vert="eaVert" upright="1"/>
                              </wps:wsp>
                              <wps:wsp>
                                <wps:cNvPr id="101" name="矩形 29"/>
                                <wps:cNvSpPr/>
                                <wps:spPr>
                                  <a:xfrm>
                                    <a:off x="8135" y="10535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2DCD9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指挥部办公室（县应急管理局）</w:t>
                                      </w:r>
                                    </w:p>
                                  </w:txbxContent>
                                </wps:txbx>
                                <wps:bodyPr vert="eaVert" upright="1"/>
                              </wps:wsp>
                              <wps:wsp>
                                <wps:cNvPr id="102" name="矩形 30"/>
                                <wps:cNvSpPr/>
                                <wps:spPr>
                                  <a:xfrm>
                                    <a:off x="11030" y="10535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AA227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指挥部办公室（县卫健委）</w:t>
                                      </w:r>
                                    </w:p>
                                  </w:txbxContent>
                                </wps:txbx>
                                <wps:bodyPr vert="eaVert" upright="1"/>
                              </wps:wsp>
                              <wps:wsp>
                                <wps:cNvPr id="103" name="矩形 31"/>
                                <wps:cNvSpPr/>
                                <wps:spPr>
                                  <a:xfrm>
                                    <a:off x="12420" y="1053549"/>
                                    <a:ext cx="690" cy="394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2F686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指挥部办公室（县公安局等）</w:t>
                                      </w:r>
                                    </w:p>
                                  </w:txbxContent>
                                </wps:txbx>
                                <wps:bodyPr vert="eaVert" upright="1"/>
                              </wps:wsp>
                              <wps:wsp>
                                <wps:cNvPr id="104" name="矩形 32"/>
                                <wps:cNvSpPr/>
                                <wps:spPr>
                                  <a:xfrm>
                                    <a:off x="6607" y="1053532"/>
                                    <a:ext cx="690" cy="412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83255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指挥部办公室（各相关保障部门）</w:t>
                                      </w:r>
                                    </w:p>
                                  </w:txbxContent>
                                </wps:txbx>
                                <wps:bodyPr vert="eaVert" upright="1"/>
                              </wps:wsp>
                            </wpg:grpSp>
                          </wpg:grpSp>
                        </wpg:grpSp>
                        <wpg:grpSp>
                          <wpg:cNvPr id="105" name="组合 33"/>
                          <wpg:cNvGrpSpPr/>
                          <wpg:grpSpPr>
                            <a:xfrm>
                              <a:off x="4341" y="1057497"/>
                              <a:ext cx="8832" cy="1316"/>
                              <a:chOff x="4341" y="1057497"/>
                              <a:chExt cx="8832" cy="1316"/>
                            </a:xfrm>
                          </wpg:grpSpPr>
                          <wps:wsp>
                            <wps:cNvPr id="106" name="矩形 34"/>
                            <wps:cNvSpPr/>
                            <wps:spPr>
                              <a:xfrm>
                                <a:off x="4341" y="1058229"/>
                                <a:ext cx="2592" cy="58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FDFF5A">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乡镇人民政府</w:t>
                                  </w:r>
                                </w:p>
                              </w:txbxContent>
                            </wps:txbx>
                            <wps:bodyPr upright="1"/>
                          </wps:wsp>
                          <wps:wsp>
                            <wps:cNvPr id="107" name="矩形 35"/>
                            <wps:cNvSpPr/>
                            <wps:spPr>
                              <a:xfrm>
                                <a:off x="7511" y="1058229"/>
                                <a:ext cx="2592" cy="58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DD5518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相关应急联动部门</w:t>
                                  </w:r>
                                </w:p>
                              </w:txbxContent>
                            </wps:txbx>
                            <wps:bodyPr upright="1"/>
                          </wps:wsp>
                          <wps:wsp>
                            <wps:cNvPr id="108" name="矩形 36"/>
                            <wps:cNvSpPr/>
                            <wps:spPr>
                              <a:xfrm>
                                <a:off x="10581" y="1058229"/>
                                <a:ext cx="2592" cy="58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83B6DF">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应急保障部门</w:t>
                                  </w:r>
                                </w:p>
                              </w:txbxContent>
                            </wps:txbx>
                            <wps:bodyPr upright="1"/>
                          </wps:wsp>
                          <wpg:grpSp>
                            <wpg:cNvPr id="109" name="组合 37"/>
                            <wpg:cNvGrpSpPr/>
                            <wpg:grpSpPr>
                              <a:xfrm>
                                <a:off x="4990" y="1057497"/>
                                <a:ext cx="6924" cy="731"/>
                                <a:chOff x="4990" y="1057497"/>
                                <a:chExt cx="6924" cy="731"/>
                              </a:xfrm>
                            </wpg:grpSpPr>
                            <wps:wsp>
                              <wps:cNvPr id="110" name="直接连接符 38"/>
                              <wps:cNvCnPr/>
                              <wps:spPr>
                                <a:xfrm flipH="1">
                                  <a:off x="8885" y="1057903"/>
                                  <a:ext cx="10" cy="312"/>
                                </a:xfrm>
                                <a:prstGeom prst="line">
                                  <a:avLst/>
                                </a:prstGeom>
                                <a:ln w="15875" cap="flat" cmpd="sng">
                                  <a:solidFill>
                                    <a:srgbClr val="000000"/>
                                  </a:solidFill>
                                  <a:prstDash val="solid"/>
                                  <a:round/>
                                  <a:headEnd type="none" w="med" len="med"/>
                                  <a:tailEnd type="triangle" w="med" len="med"/>
                                </a:ln>
                              </wps:spPr>
                              <wps:bodyPr/>
                            </wps:wsp>
                            <wps:wsp>
                              <wps:cNvPr id="111" name="直接连接符 39"/>
                              <wps:cNvCnPr/>
                              <wps:spPr>
                                <a:xfrm>
                                  <a:off x="9965" y="1057497"/>
                                  <a:ext cx="1" cy="380"/>
                                </a:xfrm>
                                <a:prstGeom prst="line">
                                  <a:avLst/>
                                </a:prstGeom>
                                <a:ln w="15875" cap="flat" cmpd="sng">
                                  <a:solidFill>
                                    <a:srgbClr val="000000"/>
                                  </a:solidFill>
                                  <a:prstDash val="solid"/>
                                  <a:round/>
                                  <a:headEnd type="none" w="med" len="med"/>
                                  <a:tailEnd type="triangle" w="med" len="med"/>
                                </a:ln>
                              </wps:spPr>
                              <wps:bodyPr/>
                            </wps:wsp>
                            <wps:wsp>
                              <wps:cNvPr id="112" name="直接连接符 40"/>
                              <wps:cNvCnPr/>
                              <wps:spPr>
                                <a:xfrm>
                                  <a:off x="11345" y="1057497"/>
                                  <a:ext cx="1" cy="380"/>
                                </a:xfrm>
                                <a:prstGeom prst="line">
                                  <a:avLst/>
                                </a:prstGeom>
                                <a:ln w="15875" cap="flat" cmpd="sng">
                                  <a:solidFill>
                                    <a:srgbClr val="000000"/>
                                  </a:solidFill>
                                  <a:prstDash val="solid"/>
                                  <a:round/>
                                  <a:headEnd type="none" w="med" len="med"/>
                                  <a:tailEnd type="triangle" w="med" len="med"/>
                                </a:ln>
                              </wps:spPr>
                              <wps:bodyPr/>
                            </wps:wsp>
                            <wps:wsp>
                              <wps:cNvPr id="113" name="直接连接符 41"/>
                              <wps:cNvCnPr/>
                              <wps:spPr>
                                <a:xfrm>
                                  <a:off x="7085" y="1057497"/>
                                  <a:ext cx="1" cy="380"/>
                                </a:xfrm>
                                <a:prstGeom prst="line">
                                  <a:avLst/>
                                </a:prstGeom>
                                <a:ln w="15875" cap="flat" cmpd="sng">
                                  <a:solidFill>
                                    <a:srgbClr val="000000"/>
                                  </a:solidFill>
                                  <a:prstDash val="solid"/>
                                  <a:round/>
                                  <a:headEnd type="none" w="med" len="med"/>
                                  <a:tailEnd type="triangle" w="med" len="med"/>
                                </a:ln>
                              </wps:spPr>
                              <wps:bodyPr/>
                            </wps:wsp>
                            <wps:wsp>
                              <wps:cNvPr id="114" name="直接连接符 42"/>
                              <wps:cNvCnPr/>
                              <wps:spPr>
                                <a:xfrm>
                                  <a:off x="8589" y="1057497"/>
                                  <a:ext cx="1" cy="380"/>
                                </a:xfrm>
                                <a:prstGeom prst="line">
                                  <a:avLst/>
                                </a:prstGeom>
                                <a:ln w="15875" cap="flat" cmpd="sng">
                                  <a:solidFill>
                                    <a:srgbClr val="000000"/>
                                  </a:solidFill>
                                  <a:prstDash val="solid"/>
                                  <a:round/>
                                  <a:headEnd type="none" w="med" len="med"/>
                                  <a:tailEnd type="triangle" w="med" len="med"/>
                                </a:ln>
                              </wps:spPr>
                              <wps:bodyPr/>
                            </wps:wsp>
                            <wps:wsp>
                              <wps:cNvPr id="115" name="直接连接符 43"/>
                              <wps:cNvCnPr/>
                              <wps:spPr>
                                <a:xfrm flipV="1">
                                  <a:off x="4992" y="1057871"/>
                                  <a:ext cx="6922" cy="22"/>
                                </a:xfrm>
                                <a:prstGeom prst="line">
                                  <a:avLst/>
                                </a:prstGeom>
                                <a:ln w="19050" cap="flat" cmpd="sng">
                                  <a:solidFill>
                                    <a:srgbClr val="000000"/>
                                  </a:solidFill>
                                  <a:prstDash val="solid"/>
                                  <a:round/>
                                  <a:headEnd type="none" w="med" len="med"/>
                                  <a:tailEnd type="none" w="med" len="med"/>
                                </a:ln>
                              </wps:spPr>
                              <wps:bodyPr/>
                            </wps:wsp>
                            <wps:wsp>
                              <wps:cNvPr id="116" name="直接连接符 44"/>
                              <wps:cNvCnPr/>
                              <wps:spPr>
                                <a:xfrm flipH="1">
                                  <a:off x="4990" y="1057896"/>
                                  <a:ext cx="10" cy="312"/>
                                </a:xfrm>
                                <a:prstGeom prst="line">
                                  <a:avLst/>
                                </a:prstGeom>
                                <a:ln w="15875" cap="flat" cmpd="sng">
                                  <a:solidFill>
                                    <a:srgbClr val="000000"/>
                                  </a:solidFill>
                                  <a:prstDash val="solid"/>
                                  <a:round/>
                                  <a:headEnd type="none" w="med" len="med"/>
                                  <a:tailEnd type="triangle" w="med" len="med"/>
                                </a:ln>
                              </wps:spPr>
                              <wps:bodyPr/>
                            </wps:wsp>
                            <wps:wsp>
                              <wps:cNvPr id="117" name="直接连接符 45"/>
                              <wps:cNvCnPr/>
                              <wps:spPr>
                                <a:xfrm flipH="1">
                                  <a:off x="11887" y="1057850"/>
                                  <a:ext cx="5" cy="379"/>
                                </a:xfrm>
                                <a:prstGeom prst="line">
                                  <a:avLst/>
                                </a:prstGeom>
                                <a:ln w="15875" cap="flat" cmpd="sng">
                                  <a:solidFill>
                                    <a:srgbClr val="000000"/>
                                  </a:solidFill>
                                  <a:prstDash val="solid"/>
                                  <a:round/>
                                  <a:headEnd type="none" w="med" len="med"/>
                                  <a:tailEnd type="triangle" w="med" len="med"/>
                                </a:ln>
                              </wps:spPr>
                              <wps:bodyPr/>
                            </wps:wsp>
                            <wps:wsp>
                              <wps:cNvPr id="118" name="直接连接符 46"/>
                              <wps:cNvCnPr/>
                              <wps:spPr>
                                <a:xfrm>
                                  <a:off x="5539" y="1057679"/>
                                  <a:ext cx="0" cy="235"/>
                                </a:xfrm>
                                <a:prstGeom prst="line">
                                  <a:avLst/>
                                </a:prstGeom>
                                <a:ln w="15875" cap="flat" cmpd="sng">
                                  <a:solidFill>
                                    <a:srgbClr val="000000"/>
                                  </a:solidFill>
                                  <a:prstDash val="solid"/>
                                  <a:round/>
                                  <a:headEnd type="none" w="med" len="med"/>
                                  <a:tailEnd type="triangle" w="med" len="med"/>
                                </a:ln>
                              </wps:spPr>
                              <wps:bodyPr/>
                            </wps:wsp>
                          </wpg:grpSp>
                        </wpg:grpSp>
                      </wpg:grpSp>
                      <wpg:grpSp>
                        <wpg:cNvPr id="119" name="组合 47"/>
                        <wpg:cNvGrpSpPr/>
                        <wpg:grpSpPr>
                          <a:xfrm>
                            <a:off x="4012" y="1047849"/>
                            <a:ext cx="9127" cy="599"/>
                            <a:chOff x="4012" y="1047849"/>
                            <a:chExt cx="9127" cy="599"/>
                          </a:xfrm>
                        </wpg:grpSpPr>
                        <wps:wsp>
                          <wps:cNvPr id="120" name="矩形 48"/>
                          <wps:cNvSpPr/>
                          <wps:spPr>
                            <a:xfrm>
                              <a:off x="11087" y="1047875"/>
                              <a:ext cx="2052" cy="5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D944B3">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县应急管理局</w:t>
                                </w:r>
                              </w:p>
                            </w:txbxContent>
                          </wps:txbx>
                          <wps:bodyPr upright="1"/>
                        </wps:wsp>
                        <wps:wsp>
                          <wps:cNvPr id="121" name="直接连接符 49"/>
                          <wps:cNvCnPr/>
                          <wps:spPr>
                            <a:xfrm>
                              <a:off x="10728" y="1048134"/>
                              <a:ext cx="375" cy="0"/>
                            </a:xfrm>
                            <a:prstGeom prst="line">
                              <a:avLst/>
                            </a:prstGeom>
                            <a:ln w="15875" cap="flat" cmpd="sng">
                              <a:solidFill>
                                <a:srgbClr val="000000"/>
                              </a:solidFill>
                              <a:prstDash val="solid"/>
                              <a:round/>
                              <a:headEnd type="none" w="med" len="med"/>
                              <a:tailEnd type="triangle" w="med" len="med"/>
                            </a:ln>
                          </wps:spPr>
                          <wps:bodyPr/>
                        </wps:wsp>
                        <wps:wsp>
                          <wps:cNvPr id="122" name="矩形 50"/>
                          <wps:cNvSpPr/>
                          <wps:spPr>
                            <a:xfrm>
                              <a:off x="4012" y="1047849"/>
                              <a:ext cx="1465" cy="5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75A90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专家组</w:t>
                                </w:r>
                              </w:p>
                            </w:txbxContent>
                          </wps:txbx>
                          <wps:bodyPr upright="1"/>
                        </wps:wsp>
                        <wps:wsp>
                          <wps:cNvPr id="123" name="直接连接符 51"/>
                          <wps:cNvCnPr/>
                          <wps:spPr>
                            <a:xfrm flipH="1">
                              <a:off x="5498" y="1048154"/>
                              <a:ext cx="369" cy="6"/>
                            </a:xfrm>
                            <a:prstGeom prst="line">
                              <a:avLst/>
                            </a:prstGeom>
                            <a:ln w="15875" cap="flat" cmpd="sng">
                              <a:solidFill>
                                <a:srgbClr val="000000"/>
                              </a:solidFill>
                              <a:prstDash val="solid"/>
                              <a:round/>
                              <a:headEnd type="none" w="med" len="med"/>
                              <a:tailEnd type="triangle" w="med" len="med"/>
                            </a:ln>
                          </wps:spPr>
                          <wps:bodyPr/>
                        </wps:wsp>
                      </wpg:grpSp>
                    </wpg:wgp>
                  </a:graphicData>
                </a:graphic>
              </wp:anchor>
            </w:drawing>
          </mc:Choice>
          <mc:Fallback>
            <w:pict>
              <v:group id="组合 55" o:spid="_x0000_s1026" o:spt="203" style="position:absolute;left:0pt;margin-left:-6.9pt;margin-top:11.85pt;height:596.95pt;width:458.65pt;z-index:251660288;mso-width-relative:page;mso-height-relative:page;" coordorigin="3966,1046874" coordsize="9173,11939" o:gfxdata="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">
                <o:lock v:ext="edit" aspectratio="f"/>
                <v:group id="组合 1" o:spid="_x0000_s1026" o:spt="203" style="position:absolute;left:3966;top:1046874;height:11939;width:8832;" coordorigin="4341,1046874" coordsize="8832,11939"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group id="组合 2" o:spid="_x0000_s1026" o:spt="203" style="position:absolute;left:5215;top:1046874;height:10786;width:6503;" coordorigin="6607,1046874" coordsize="6503,10786" o:gfxdata="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Q6nK2vwAAANsAAAAPAAAAAAAAAAEAIAAAACIAAABkcnMvZG93bnJldi54&#10;bWxQSwECFAAUAAAACACHTuJAMy8FnjsAAAA5AAAAFQAAAAAAAAABACAAAAAOAQAAZHJzL2dyb3Vw&#10;c2hhcGV4bWwueG1sUEsFBgAAAAAGAAYAYAEAAMsDAAAAAA==&#10;">
                    <o:lock v:ext="edit" aspectratio="f"/>
                    <v:group id="组合 3" o:spid="_x0000_s1026" o:spt="203" style="position:absolute;left:6675;top:1046874;height:6123;width:6435;" coordorigin="6675,1046874" coordsize="6435,6123"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group id="组合 4" o:spid="_x0000_s1026" o:spt="203" style="position:absolute;left:6675;top:1048646;height:4351;width:6435;" coordorigin="6675,1048646" coordsize="6435,4351"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rect id="矩形 5" o:spid="_x0000_s1026" o:spt="1" style="position:absolute;left:6675;top:1049048;height:3529;width:690;" fillcolor="#FFFFFF" filled="t" stroked="t" coordsize="21600,21600" o:gfxdata="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9Xzy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style="layout-flow:vertical-ideographic;">
                            <w:txbxContent>
                              <w:p w14:paraId="1E91F6F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8"/>
                                    <w:szCs w:val="28"/>
                                    <w:lang w:val="en-US" w:eastAsia="zh-CN"/>
                                  </w:rPr>
                                </w:pPr>
                                <w:r>
                                  <w:rPr>
                                    <w:rFonts w:hint="eastAsia" w:ascii="Times New Roman" w:hAnsi="Times New Roman" w:eastAsia="仿宋_GB2312" w:cs="Times New Roman"/>
                                    <w:sz w:val="28"/>
                                    <w:szCs w:val="28"/>
                                    <w:lang w:eastAsia="zh-CN"/>
                                  </w:rPr>
                                  <w:t>县应急保障类应急指挥部</w:t>
                                </w:r>
                                <w:r>
                                  <w:rPr>
                                    <w:rFonts w:hint="eastAsia" w:ascii="Times New Roman" w:hAnsi="Times New Roman" w:eastAsia="仿宋_GB2312" w:cs="Times New Roman"/>
                                    <w:sz w:val="28"/>
                                    <w:szCs w:val="28"/>
                                    <w:lang w:val="en-US" w:eastAsia="zh-CN"/>
                                  </w:rPr>
                                  <w:t xml:space="preserve"> </w:t>
                                </w:r>
                              </w:p>
                            </w:txbxContent>
                          </v:textbox>
                        </v:rect>
                        <v:rect id="矩形 6" o:spid="_x0000_s1026" o:spt="1" style="position:absolute;left:8135;top:1049049;height:3949;width:690;" fillcolor="#FFFFFF" filled="t" stroked="t" coordsize="21600,21600" o:gfxdata="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Nq6IC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style="layout-flow:vertical-ideographic;">
                            <w:txbxContent>
                              <w:p w14:paraId="143274B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县自然灾害类事件应急指挥部</w:t>
                                </w:r>
                              </w:p>
                            </w:txbxContent>
                          </v:textbox>
                        </v:rect>
                        <v:rect id="矩形 7" o:spid="_x0000_s1026" o:spt="1" style="position:absolute;left:9520;top:1049060;height:3933;width:690;" fillcolor="#FFFFFF" filled="t" stroked="t" coordsize="21600,21600" o:gfxdata="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Jk0b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style="layout-flow:vertical-ideographic;">
                            <w:txbxContent>
                              <w:p w14:paraId="0EA270F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县生产安全类事故应急指挥部</w:t>
                                </w:r>
                              </w:p>
                            </w:txbxContent>
                          </v:textbox>
                        </v:rect>
                        <v:rect id="矩形 8" o:spid="_x0000_s1026" o:spt="1" style="position:absolute;left:11030;top:1049049;height:3949;width:690;" fillcolor="#FFFFFF" filled="t" stroked="t" coordsize="21600,21600" o:gfxdata="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jJlKG5AAAA2w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style="layout-flow:vertical-ideographic;">
                            <w:txbxContent>
                              <w:p w14:paraId="553897A0">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县公共卫生类事件应急指挥部</w:t>
                                </w:r>
                              </w:p>
                            </w:txbxContent>
                          </v:textbox>
                        </v:rect>
                        <v:rect id="矩形 9" o:spid="_x0000_s1026" o:spt="1" style="position:absolute;left:12420;top:1049049;height:3949;width:690;" fillcolor="#FFFFFF" filled="t" stroked="t" coordsize="21600,21600" o:gfxdata="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FMTq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style="layout-flow:vertical-ideographic;">
                            <w:txbxContent>
                              <w:p w14:paraId="2272DCB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val="en-US" w:eastAsia="zh-CN"/>
                                  </w:rPr>
                                </w:pPr>
                                <w:r>
                                  <w:rPr>
                                    <w:rFonts w:hint="eastAsia" w:ascii="Times New Roman" w:hAnsi="Times New Roman" w:eastAsia="仿宋_GB2312" w:cs="Times New Roman"/>
                                    <w:sz w:val="28"/>
                                    <w:szCs w:val="28"/>
                                    <w:lang w:val="en-US" w:eastAsia="zh-CN"/>
                                  </w:rPr>
                                  <w:t>县社会安全类事件应急指挥部</w:t>
                                </w:r>
                              </w:p>
                            </w:txbxContent>
                          </v:textbox>
                        </v:rect>
                        <v:line id="直接连接符 10" o:spid="_x0000_s1026" o:spt="20" style="position:absolute;left:9855;top:1048701;flip:x;height:359;width:2;" filled="f" stroked="t" coordsize="21600,21600" o:gfxdata="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qo3X74A&#10;AADbAAAADwAAAAAAAAABACAAAAAiAAAAZHJzL2Rvd25yZXYueG1sUEsBAhQAFAAAAAgAh07iQDMv&#10;BZ47AAAAOQAAABAAAAAAAAAAAQAgAAAADQEAAGRycy9zaGFwZXhtbC54bWxQSwUGAAAAAAYABgBb&#10;AQAAtwMAAAAA&#10;">
                          <v:fill on="f" focussize="0,0"/>
                          <v:stroke weight="1.25pt" color="#000000" joinstyle="round" endarrow="block"/>
                          <v:imagedata o:title=""/>
                          <o:lock v:ext="edit" aspectratio="f"/>
                        </v:line>
                        <v:shape id="肘形连接符 11" o:spid="_x0000_s1026" o:spt="34" type="#_x0000_t34" style="position:absolute;left:9892;top:1046176;flip:x;height:5745;width:1;rotation:5898240f;" filled="f" stroked="t" coordsize="21600,21600" o:gfxdata="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POgq8AAAA&#10;2wAAAA8AAAAAAAAAAQAgAAAAIgAAAGRycy9kb3ducmV2LnhtbFBLAQIUABQAAAAIAIdO4kAzLwWe&#10;OwAAADkAAAAQAAAAAAAAAAEAIAAAAAsBAABkcnMvc2hhcGV4bWwueG1sUEsFBgAAAAAGAAYAWwEA&#10;ALUDAAAAAA==&#10;" adj="-8100000">
                          <v:fill on="f" focussize="0,0"/>
                          <v:stroke weight="1.25pt" color="#000000" joinstyle="miter" startarrow="open" endarrow="open"/>
                          <v:imagedata o:title=""/>
                          <o:lock v:ext="edit" aspectratio="f"/>
                        </v:shape>
                        <v:line id="直接连接符 12" o:spid="_x0000_s1026" o:spt="20" style="position:absolute;left:8486;top:1048658;height:356;width:3;" filled="f" stroked="t" coordsize="21600,21600" o:gfxdata="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snES8AAAA&#10;2wAAAA8AAAAAAAAAAQAgAAAAIgAAAGRycy9kb3ducmV2LnhtbFBLAQIUABQAAAAIAIdO4kAzLwWe&#10;OwAAADkAAAAQAAAAAAAAAAEAIAAAAAsBAABkcnMvc2hhcGV4bWwueG1sUEsFBgAAAAAGAAYAWwEA&#10;ALUDAAAAAA==&#10;">
                          <v:fill on="f" focussize="0,0"/>
                          <v:stroke weight="1.25pt" color="#000000" joinstyle="round" endarrow="block"/>
                          <v:imagedata o:title=""/>
                          <o:lock v:ext="edit" aspectratio="f"/>
                        </v:line>
                        <v:line id="直接连接符 13" o:spid="_x0000_s1026" o:spt="20" style="position:absolute;left:11396;top:1048646;height:387;width:2;" filled="f" stroked="t" coordsize="21600,21600" o:gfxdata="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YDnfvQAA&#10;ANs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line>
                      </v:group>
                      <v:group id="组合 14" o:spid="_x0000_s1026" o:spt="203" style="position:absolute;left:7656;top:1046874;height:1793;width:4832;" coordorigin="7656,1046874" coordsize="4832,1793" o:gfxdata="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E5fb0AAADbAAAADwAAAAAAAAABACAAAAAiAAAAZHJzL2Rvd25yZXYueG1s&#10;UEsBAhQAFAAAAAgAh07iQDMvBZ47AAAAOQAAABUAAAAAAAAAAQAgAAAADAEAAGRycy9ncm91cHNo&#10;YXBleG1sLnhtbFBLBQYAAAAABgAGAGABAADJAwAAAAA=&#10;">
                        <o:lock v:ext="edit" aspectratio="f"/>
                        <v:rect id="矩形 15" o:spid="_x0000_s1026" o:spt="1" style="position:absolute;left:7832;top:1046874;height:584;width:4067;" fillcolor="#FFFFFF" filled="t" stroked="t" coordsize="21600,21600" o:gfxdata="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8TY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62B84C1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白沙黎族自治县人民政府</w:t>
                                </w:r>
                              </w:p>
                            </w:txbxContent>
                          </v:textbox>
                        </v:rect>
                        <v:rect id="矩形 16" o:spid="_x0000_s1026" o:spt="1" style="position:absolute;left:7656;top:1047864;height:534;width:4832;" fillcolor="#FFFFFF" filled="t" stroked="t" coordsize="21600,21600" o:gfxdata="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CHELgAAADbAAAA&#10;DwAAAAAAAAABACAAAAAiAAAAZHJzL2Rvd25yZXYueG1sUEsBAhQAFAAAAAgAh07iQDMvBZ47AAAA&#10;OQAAABAAAAAAAAAAAQAgAAAABwEAAGRycy9zaGFwZXhtbC54bWxQSwUGAAAAAAYABgBbAQAAsQMA&#10;AAAA&#10;">
                          <v:fill on="t" focussize="0,0"/>
                          <v:stroke color="#000000" joinstyle="miter"/>
                          <v:imagedata o:title=""/>
                          <o:lock v:ext="edit" aspectratio="f"/>
                          <v:textbox>
                            <w:txbxContent>
                              <w:p w14:paraId="6315AEF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白沙黎族自治县突发事件应急委员会</w:t>
                                </w:r>
                              </w:p>
                            </w:txbxContent>
                          </v:textbox>
                        </v:rect>
                        <v:line id="直接连接符 17" o:spid="_x0000_s1026" o:spt="20" style="position:absolute;left:10075;top:1047443;height:426;width:8;" filled="f" stroked="t" coordsize="21600,21600" o:gfxdata="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C0z2rsAAADb&#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18" o:spid="_x0000_s1026" o:spt="20" style="position:absolute;left:10072;top:1048404;height:263;width:9;" filled="f" stroked="t" coordsize="21600,21600" o:gfxdata="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zgyaugAAANsA&#10;AAAPAAAAAAAAAAEAIAAAACIAAABkcnMvZG93bnJldi54bWxQSwECFAAUAAAACACHTuJAMy8FnjsA&#10;AAA5AAAAEAAAAAAAAAABACAAAAAJAQAAZHJzL3NoYXBleG1sLnhtbFBLBQYAAAAABgAGAFsBAACz&#10;AwAAAAA=&#10;">
                          <v:fill on="f" focussize="0,0"/>
                          <v:stroke weight="1.25pt" color="#000000" joinstyle="round" endarrow="block"/>
                          <v:imagedata o:title=""/>
                          <o:lock v:ext="edit" aspectratio="f"/>
                        </v:line>
                      </v:group>
                    </v:group>
                    <v:group id="组合 19" o:spid="_x0000_s1026" o:spt="203" style="position:absolute;left:6607;top:1052612;height:5048;width:6502;" coordorigin="6607,1052612" coordsize="6502,5048"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组合 20" o:spid="_x0000_s1026" o:spt="203" style="position:absolute;left:6926;top:1052612;height:961;width:5816;" coordorigin="6926,1052612" coordsize="5816,961"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line id="直接连接符 21" o:spid="_x0000_s1026" o:spt="20" style="position:absolute;left:8447;top:1053009;height:565;width:1;" filled="f" stroked="t" coordsize="21600,21600" o:gfxdata="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cku28AAAA&#10;2wAAAA8AAAAAAAAAAQAgAAAAIgAAAGRycy9kb3ducmV2LnhtbFBLAQIUABQAAAAIAIdO4kAzLwWe&#10;OwAAADkAAAAQAAAAAAAAAAEAIAAAAAsBAABkcnMvc2hhcGV4bWwueG1sUEsFBgAAAAAGAAYAWwEA&#10;ALUDAAAAAA==&#10;">
                          <v:fill on="f" focussize="0,0"/>
                          <v:stroke weight="1.25pt" color="#000000" joinstyle="round" endarrow="block"/>
                          <v:imagedata o:title=""/>
                          <o:lock v:ext="edit" aspectratio="f"/>
                        </v:line>
                        <v:line id="直接连接符 22" o:spid="_x0000_s1026" o:spt="20" style="position:absolute;left:11357;top:1052987;height:557;width:11;" filled="f" stroked="t" coordsize="21600,21600" o:gfxdata="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f1Cpm8AAAA&#10;2wAAAA8AAAAAAAAAAQAgAAAAIgAAAGRycy9kb3ducmV2LnhtbFBLAQIUABQAAAAIAIdO4kAzLwWe&#10;OwAAADkAAAAQAAAAAAAAAAEAIAAAAAsBAABkcnMvc2hhcGV4bWwueG1sUEsFBgAAAAAGAAYAWwEA&#10;ALUDAAAAAA==&#10;">
                          <v:fill on="f" focussize="0,0"/>
                          <v:stroke weight="1.25pt" color="#000000" joinstyle="round" endarrow="block"/>
                          <v:imagedata o:title=""/>
                          <o:lock v:ext="edit" aspectratio="f"/>
                        </v:line>
                        <v:line id="直接连接符 23" o:spid="_x0000_s1026" o:spt="20" style="position:absolute;left:9977;top:1052987;height:557;width:11;" filled="f" stroked="t" coordsize="21600,21600" o:gfxdata="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LmvAr4A&#10;AADbAAAADwAAAAAAAAABACAAAAAiAAAAZHJzL2Rvd25yZXYueG1sUEsBAhQAFAAAAAgAh07iQDMv&#10;BZ47AAAAOQAAABAAAAAAAAAAAQAgAAAADQEAAGRycy9zaGFwZXhtbC54bWxQSwUGAAAAAAYABgBb&#10;AQAAtwMAAAAA&#10;">
                          <v:fill on="f" focussize="0,0"/>
                          <v:stroke weight="1.25pt" color="#000000" joinstyle="round" endarrow="block"/>
                          <v:imagedata o:title=""/>
                          <o:lock v:ext="edit" aspectratio="f"/>
                        </v:line>
                        <v:shape id="肘形连接符 24" o:spid="_x0000_s1026" o:spt="33" type="#_x0000_t33" style="position:absolute;left:6926;top:1053237;height:297;width:5809;" filled="f" stroked="t" coordsize="21600,21600" o:gfxdata="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dL1Kb4A&#10;AADbAAAADwAAAAAAAAABACAAAAAiAAAAZHJzL2Rvd25yZXYueG1sUEsBAhQAFAAAAAgAh07iQDMv&#10;BZ47AAAAOQAAABAAAAAAAAAAAQAgAAAADQEAAGRycy9zaGFwZXhtbC54bWxQSwUGAAAAAAYABgBb&#10;AQAAtwMAAAAA&#10;">
                          <v:fill on="f" focussize="0,0"/>
                          <v:stroke weight="1.25pt" color="#000000" joinstyle="miter" endarrow="block"/>
                          <v:imagedata o:title=""/>
                          <o:lock v:ext="edit" aspectratio="f"/>
                        </v:shape>
                        <v:line id="直接连接符 25" o:spid="_x0000_s1026" o:spt="20" style="position:absolute;left:6942;top:1052612;flip:x;height:933;width:12;" filled="f" stroked="t" coordsize="21600,21600" o:gfxdata="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AIavQAA&#10;ANsAAAAPAAAAAAAAAAEAIAAAACIAAABkcnMvZG93bnJldi54bWxQSwECFAAUAAAACACHTuJAMy8F&#10;njsAAAA5AAAAEAAAAAAAAAABACAAAAAMAQAAZHJzL3NoYXBleG1sLnhtbFBLBQYAAAAABgAGAFsB&#10;AAC2AwAAAAA=&#10;">
                          <v:fill on="f" focussize="0,0"/>
                          <v:stroke weight="1.25pt" color="#000000" joinstyle="round" endarrow="block"/>
                          <v:imagedata o:title=""/>
                          <o:lock v:ext="edit" aspectratio="f"/>
                        </v:line>
                        <v:line id="直接连接符 26" o:spid="_x0000_s1026" o:spt="20" style="position:absolute;left:12742;top:1053005;height:480;width:1;" filled="f" stroked="t" coordsize="21600,21600" o:gfxdata="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avX+twAAANsAAAAP&#10;AAAAAAAAAAEAIAAAACIAAABkcnMvZG93bnJldi54bWxQSwECFAAUAAAACACHTuJAMy8FnjsAAAA5&#10;AAAAEAAAAAAAAAABACAAAAAGAQAAZHJzL3NoYXBleG1sLnhtbFBLBQYAAAAABgAGAFsBAACwAwAA&#10;AAA=&#10;">
                          <v:fill on="f" focussize="0,0"/>
                          <v:stroke weight="1.25pt" color="#000000" joinstyle="round"/>
                          <v:imagedata o:title=""/>
                          <o:lock v:ext="edit" aspectratio="f"/>
                        </v:line>
                      </v:group>
                      <v:group id="组合 27" o:spid="_x0000_s1026" o:spt="203" style="position:absolute;left:6607;top:1053532;height:4128;width:6503;" coordorigin="6607,1053532" coordsize="6503,4128" o:gfxdata="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uc70r0AAADbAAAADwAAAAAAAAABACAAAAAiAAAAZHJzL2Rvd25yZXYueG1s&#10;UEsBAhQAFAAAAAgAh07iQDMvBZ47AAAAOQAAABUAAAAAAAAAAQAgAAAADAEAAGRycy9ncm91cHNo&#10;YXBleG1sLnhtbFBLBQYAAAAABgAGAGABAADJAwAAAAA=&#10;">
                        <o:lock v:ext="edit" aspectratio="f"/>
                        <v:rect id="矩形 28" o:spid="_x0000_s1026" o:spt="1" style="position:absolute;left:9625;top:1053565;height:3933;width:690;" fillcolor="#FFFFFF" filled="t" stroked="t" coordsize="21600,21600" o:gfxdata="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p8S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style="layout-flow:vertical-ideographic;">
                            <w:txbxContent>
                              <w:p w14:paraId="7477752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指挥部办公室（县应急管理局）</w:t>
                                </w:r>
                              </w:p>
                            </w:txbxContent>
                          </v:textbox>
                        </v:rect>
                        <v:rect id="矩形 29" o:spid="_x0000_s1026" o:spt="1" style="position:absolute;left:8135;top:1053549;height:3949;width:690;" fillcolor="#FFFFFF" filled="t" stroked="t" coordsize="21600,21600" o:gfxdata="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2bZ0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style="layout-flow:vertical-ideographic;">
                            <w:txbxContent>
                              <w:p w14:paraId="672DCD9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指挥部办公室（县应急管理局）</w:t>
                                </w:r>
                              </w:p>
                            </w:txbxContent>
                          </v:textbox>
                        </v:rect>
                        <v:rect id="矩形 30" o:spid="_x0000_s1026" o:spt="1" style="position:absolute;left:11030;top:1053549;height:3949;width:690;" fillcolor="#FFFFFF" filled="t" stroked="t" coordsize="21600,21600" o:gfxdata="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7RHp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style="layout-flow:vertical-ideographic;">
                            <w:txbxContent>
                              <w:p w14:paraId="58AA227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指挥部办公室（县卫健委）</w:t>
                                </w:r>
                              </w:p>
                            </w:txbxContent>
                          </v:textbox>
                        </v:rect>
                        <v:rect id="矩形 31" o:spid="_x0000_s1026" o:spt="1" style="position:absolute;left:12420;top:1053549;height:3949;width:690;" fillcolor="#FFFFFF" filled="t" stroked="t" coordsize="21600,21600" o:gfxdata="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PjiP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style="layout-flow:vertical-ideographic;">
                            <w:txbxContent>
                              <w:p w14:paraId="3D2F686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指挥部办公室（县公安局等）</w:t>
                                </w:r>
                              </w:p>
                            </w:txbxContent>
                          </v:textbox>
                        </v:rect>
                        <v:rect id="矩形 32" o:spid="_x0000_s1026" o:spt="1" style="position:absolute;left:6607;top:1053532;height:4129;width:690;" fillcolor="#FFFFFF" filled="t" stroked="t" coordsize="21600,21600" o:gfxdata="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F6S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style="layout-flow:vertical-ideographic;">
                            <w:txbxContent>
                              <w:p w14:paraId="4283255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left"/>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指挥部办公室（各相关保障部门）</w:t>
                                </w:r>
                              </w:p>
                            </w:txbxContent>
                          </v:textbox>
                        </v:rect>
                      </v:group>
                    </v:group>
                  </v:group>
                  <v:group id="组合 33" o:spid="_x0000_s1026" o:spt="203" style="position:absolute;left:4341;top:1057497;height:1316;width:8832;" coordorigin="4341,1057497" coordsize="8832,1316" o:gfxdata="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e0+Sb0AAADcAAAADwAAAAAAAAABACAAAAAiAAAAZHJzL2Rvd25yZXYueG1s&#10;UEsBAhQAFAAAAAgAh07iQDMvBZ47AAAAOQAAABUAAAAAAAAAAQAgAAAADAEAAGRycy9ncm91cHNo&#10;YXBleG1sLnhtbFBLBQYAAAAABgAGAGABAADJAwAAAAA=&#10;">
                    <o:lock v:ext="edit" aspectratio="f"/>
                    <v:rect id="矩形 34" o:spid="_x0000_s1026" o:spt="1" style="position:absolute;left:4341;top:1058229;height:584;width:2592;" fillcolor="#FFFFFF" filled="t" stroked="t" coordsize="21600,21600" o:gfxdata="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URfC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3FDFF5A">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eastAsia="zh-CN"/>
                              </w:rPr>
                              <w:t>乡镇人民政府</w:t>
                            </w:r>
                          </w:p>
                        </w:txbxContent>
                      </v:textbox>
                    </v:rect>
                    <v:rect id="矩形 35" o:spid="_x0000_s1026" o:spt="1" style="position:absolute;left:7511;top:1058229;height:584;width:2592;" fillcolor="#FFFFFF" filled="t" stroked="t" coordsize="21600,21600" o:gfxdata="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GOBr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DD5518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相关应急联动部门</w:t>
                            </w:r>
                          </w:p>
                        </w:txbxContent>
                      </v:textbox>
                    </v:rect>
                    <v:rect id="矩形 36" o:spid="_x0000_s1026" o:spt="1" style="position:absolute;left:10581;top:1058229;height:584;width:2592;" fillcolor="#FFFFFF" filled="t" stroked="t" coordsize="21600,21600" o:gfxdata="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3QZ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C83B6DF">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应急保障部门</w:t>
                            </w:r>
                          </w:p>
                        </w:txbxContent>
                      </v:textbox>
                    </v:rect>
                    <v:group id="组合 37" o:spid="_x0000_s1026" o:spt="203" style="position:absolute;left:4990;top:1057497;height:731;width:6924;" coordorigin="4990,1057497" coordsize="6924,731"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line id="直接连接符 38" o:spid="_x0000_s1026" o:spt="20" style="position:absolute;left:8885;top:1057903;flip:x;height:312;width:10;" filled="f" stroked="t" coordsize="21600,21600" o:gfxdata="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fVDSr4A&#10;AADcAAAADwAAAAAAAAABACAAAAAiAAAAZHJzL2Rvd25yZXYueG1sUEsBAhQAFAAAAAgAh07iQDMv&#10;BZ47AAAAOQAAABAAAAAAAAAAAQAgAAAADQEAAGRycy9zaGFwZXhtbC54bWxQSwUGAAAAAAYABgBb&#10;AQAAtwMAAAAA&#10;">
                        <v:fill on="f" focussize="0,0"/>
                        <v:stroke weight="1.25pt" color="#000000" joinstyle="round" endarrow="block"/>
                        <v:imagedata o:title=""/>
                        <o:lock v:ext="edit" aspectratio="f"/>
                      </v:line>
                      <v:line id="直接连接符 39" o:spid="_x0000_s1026" o:spt="20" style="position:absolute;left:9965;top:1057497;height:380;width:1;" filled="f" stroked="t" coordsize="21600,21600" o:gfxdata="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xSoFL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0" o:spid="_x0000_s1026" o:spt="20" style="position:absolute;left:11345;top:1057497;height:380;width:1;" filled="f" stroked="t" coordsize="21600,21600" o:gfxdata="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8Y2Y7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1" o:spid="_x0000_s1026" o:spt="20" style="position:absolute;left:7085;top:1057497;height:380;width:1;" filled="f" stroked="t" coordsize="21600,21600" o:gfxdata="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IqT+L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2" o:spid="_x0000_s1026" o:spt="20" style="position:absolute;left:8589;top:1057497;height:380;width:1;" filled="f" stroked="t" coordsize="21600,21600" o:gfxdata="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2MLjL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3" o:spid="_x0000_s1026" o:spt="20" style="position:absolute;left:4992;top:1057871;flip:y;height:22;width:6922;" filled="f" stroked="t" coordsize="21600,21600" o:gfxdata="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SM3EG5AAAA3AAA&#10;AA8AAAAAAAAAAQAgAAAAIgAAAGRycy9kb3ducmV2LnhtbFBLAQIUABQAAAAIAIdO4kAzLwWeOwAA&#10;ADkAAAAQAAAAAAAAAAEAIAAAAAgBAABkcnMvc2hhcGV4bWwueG1sUEsFBgAAAAAGAAYAWwEAALID&#10;AAAAAA==&#10;">
                        <v:fill on="f" focussize="0,0"/>
                        <v:stroke weight="1.5pt" color="#000000" joinstyle="round"/>
                        <v:imagedata o:title=""/>
                        <o:lock v:ext="edit" aspectratio="f"/>
                      </v:line>
                      <v:line id="直接连接符 44" o:spid="_x0000_s1026" o:spt="20" style="position:absolute;left:4990;top:1057896;flip:x;height:312;width:10;" filled="f" stroked="t" coordsize="21600,21600" o:gfxdata="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B+pb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5" o:spid="_x0000_s1026" o:spt="20" style="position:absolute;left:11887;top:1057850;flip:x;height:379;width:5;" filled="f" stroked="t" coordsize="21600,21600" o:gfxdata="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zbPr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line id="直接连接符 46" o:spid="_x0000_s1026" o:spt="20" style="position:absolute;left:5539;top:1057679;height:235;width:0;" filled="f" stroked="t" coordsize="21600,21600" o:gfxdata="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i4Bib4A&#10;AADcAAAADwAAAAAAAAABACAAAAAiAAAAZHJzL2Rvd25yZXYueG1sUEsBAhQAFAAAAAgAh07iQDMv&#10;BZ47AAAAOQAAABAAAAAAAAAAAQAgAAAADQEAAGRycy9zaGFwZXhtbC54bWxQSwUGAAAAAAYABgBb&#10;AQAAtwMAAAAA&#10;">
                        <v:fill on="f" focussize="0,0"/>
                        <v:stroke weight="1.25pt" color="#000000" joinstyle="round" endarrow="block"/>
                        <v:imagedata o:title=""/>
                        <o:lock v:ext="edit" aspectratio="f"/>
                      </v:line>
                    </v:group>
                  </v:group>
                </v:group>
                <v:group id="组合 47" o:spid="_x0000_s1026" o:spt="203" style="position:absolute;left:4012;top:1047849;height:599;width:9127;" coordorigin="4012,1047849" coordsize="9127,599" o:gfxdata="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ZeaKRvAAAANwAAAAPAAAAAAAAAAEAIAAAACIAAABkcnMvZG93bnJldi54bWxQ&#10;SwECFAAUAAAACACHTuJAMy8FnjsAAAA5AAAAFQAAAAAAAAABACAAAAALAQAAZHJzL2dyb3Vwc2hh&#10;cGV4bWwueG1sUEsFBgAAAAAGAAYAYAEAAMgDAAAAAA==&#10;">
                  <o:lock v:ext="edit" aspectratio="f"/>
                  <v:rect id="矩形 48" o:spid="_x0000_s1026" o:spt="1" style="position:absolute;left:11087;top:1047875;height:573;width:2052;" fillcolor="#FFFFFF" filled="t" stroked="t" coordsize="21600,21600" o:gfxdata="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0Qkf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BD944B3">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县应急管理局</w:t>
                          </w:r>
                        </w:p>
                      </w:txbxContent>
                    </v:textbox>
                  </v:rect>
                  <v:line id="直接连接符 49" o:spid="_x0000_s1026" o:spt="20" style="position:absolute;left:10728;top:1048134;height:0;width:375;" filled="f" stroked="t" coordsize="21600,21600" o:gfxdata="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Xhiqb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rect id="矩形 50" o:spid="_x0000_s1026" o:spt="1" style="position:absolute;left:4012;top:1047849;height:573;width:1465;" fillcolor="#FFFFFF" filled="t" stroked="t" coordsize="21600,21600" o:gfxdata="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aH5O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975A90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outlineLvl w:val="9"/>
                            <w:rPr>
                              <w:rFonts w:hint="eastAsia" w:ascii="Times New Roman" w:hAnsi="Times New Roman" w:eastAsia="宋体" w:cs="Times New Roman"/>
                              <w:sz w:val="28"/>
                              <w:szCs w:val="28"/>
                              <w:lang w:eastAsia="zh-CN"/>
                            </w:rPr>
                          </w:pPr>
                          <w:r>
                            <w:rPr>
                              <w:rFonts w:hint="eastAsia" w:ascii="Times New Roman" w:hAnsi="Times New Roman" w:eastAsia="仿宋_GB2312" w:cs="Times New Roman"/>
                              <w:sz w:val="28"/>
                              <w:szCs w:val="28"/>
                              <w:lang w:eastAsia="zh-CN"/>
                            </w:rPr>
                            <w:t>专家组</w:t>
                          </w:r>
                        </w:p>
                      </w:txbxContent>
                    </v:textbox>
                  </v:rect>
                  <v:line id="直接连接符 51" o:spid="_x0000_s1026" o:spt="20" style="position:absolute;left:5498;top:1048154;flip:x;height:6;width:369;" filled="f" stroked="t" coordsize="21600,21600" o:gfxdata="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0sXgLsAAADc&#10;AAAADwAAAAAAAAABACAAAAAiAAAAZHJzL2Rvd25yZXYueG1sUEsBAhQAFAAAAAgAh07iQDMvBZ47&#10;AAAAOQAAABAAAAAAAAAAAQAgAAAACgEAAGRycy9zaGFwZXhtbC54bWxQSwUGAAAAAAYABgBbAQAA&#10;tAMAAAAA&#10;">
                    <v:fill on="f" focussize="0,0"/>
                    <v:stroke weight="1.25pt" color="#000000" joinstyle="round" endarrow="block"/>
                    <v:imagedata o:title=""/>
                    <o:lock v:ext="edit" aspectratio="f"/>
                  </v:line>
                </v:group>
              </v:group>
            </w:pict>
          </mc:Fallback>
        </mc:AlternateContent>
      </w:r>
    </w:p>
    <w:p w14:paraId="73F6ADA8">
      <w:pPr>
        <w:widowControl/>
        <w:spacing w:before="0" w:beforeAutospacing="0" w:after="0" w:afterAutospacing="0" w:line="560" w:lineRule="exact"/>
        <w:ind w:firstLine="600" w:firstLineChars="0"/>
        <w:jc w:val="center"/>
        <w:outlineLvl w:val="9"/>
        <w:rPr>
          <w:rFonts w:hint="eastAsia" w:ascii="黑体" w:hAnsi="黑体" w:eastAsia="黑体" w:cs="黑体"/>
          <w:b w:val="0"/>
          <w:bCs w:val="0"/>
          <w:color w:val="auto"/>
          <w:kern w:val="0"/>
          <w:sz w:val="36"/>
          <w:szCs w:val="36"/>
          <w:lang w:val="en-US" w:eastAsia="zh-CN" w:bidi="ar-SA"/>
        </w:rPr>
      </w:pPr>
    </w:p>
    <w:p w14:paraId="2D9972F4">
      <w:pPr>
        <w:spacing w:line="560" w:lineRule="exact"/>
        <w:ind w:firstLine="560" w:firstLineChars="200"/>
        <w:jc w:val="left"/>
        <w:outlineLvl w:val="9"/>
        <w:rPr>
          <w:rFonts w:hint="eastAsia" w:ascii="仿宋" w:hAnsi="仿宋" w:eastAsia="仿宋" w:cs="Times New Roman"/>
          <w:color w:val="auto"/>
          <w:sz w:val="28"/>
          <w:szCs w:val="28"/>
        </w:rPr>
      </w:pPr>
    </w:p>
    <w:p w14:paraId="0996327A">
      <w:pPr>
        <w:spacing w:line="600" w:lineRule="exact"/>
        <w:ind w:firstLine="640" w:firstLineChars="200"/>
        <w:outlineLvl w:val="9"/>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p>
    <w:p w14:paraId="3A08486B">
      <w:pPr>
        <w:spacing w:line="600" w:lineRule="exact"/>
        <w:ind w:firstLine="640" w:firstLineChars="200"/>
        <w:outlineLvl w:val="9"/>
        <w:rPr>
          <w:rFonts w:ascii="Times New Roman" w:hAnsi="Times New Roman" w:eastAsia="仿宋_GB2312" w:cs="Times New Roman"/>
          <w:color w:val="auto"/>
          <w:sz w:val="32"/>
          <w:szCs w:val="32"/>
        </w:rPr>
      </w:pPr>
    </w:p>
    <w:p w14:paraId="1A996A0D">
      <w:pPr>
        <w:spacing w:line="600" w:lineRule="exact"/>
        <w:ind w:firstLine="640" w:firstLineChars="200"/>
        <w:outlineLvl w:val="9"/>
        <w:rPr>
          <w:rFonts w:ascii="Times New Roman" w:hAnsi="Times New Roman" w:eastAsia="仿宋_GB2312" w:cs="Times New Roman"/>
          <w:color w:val="auto"/>
          <w:sz w:val="32"/>
          <w:szCs w:val="32"/>
        </w:rPr>
      </w:pPr>
    </w:p>
    <w:p w14:paraId="3B3F2D59">
      <w:pPr>
        <w:spacing w:line="600" w:lineRule="exact"/>
        <w:ind w:firstLine="640" w:firstLineChars="200"/>
        <w:outlineLvl w:val="9"/>
        <w:rPr>
          <w:rFonts w:ascii="Times New Roman" w:hAnsi="Times New Roman" w:eastAsia="仿宋_GB2312" w:cs="Times New Roman"/>
          <w:color w:val="auto"/>
          <w:sz w:val="32"/>
          <w:szCs w:val="32"/>
        </w:rPr>
      </w:pPr>
    </w:p>
    <w:p w14:paraId="4219B407">
      <w:pPr>
        <w:spacing w:line="600" w:lineRule="exact"/>
        <w:ind w:firstLine="640" w:firstLineChars="200"/>
        <w:outlineLvl w:val="9"/>
        <w:rPr>
          <w:rFonts w:ascii="Times New Roman" w:hAnsi="Times New Roman" w:eastAsia="仿宋_GB2312" w:cs="Times New Roman"/>
          <w:color w:val="auto"/>
          <w:sz w:val="32"/>
          <w:szCs w:val="32"/>
        </w:rPr>
      </w:pPr>
    </w:p>
    <w:p w14:paraId="67DC94F9">
      <w:pPr>
        <w:spacing w:line="600" w:lineRule="exact"/>
        <w:ind w:firstLine="640" w:firstLineChars="200"/>
        <w:outlineLvl w:val="9"/>
        <w:rPr>
          <w:rFonts w:ascii="Times New Roman" w:hAnsi="Times New Roman" w:eastAsia="仿宋_GB2312" w:cs="Times New Roman"/>
          <w:color w:val="auto"/>
          <w:sz w:val="32"/>
          <w:szCs w:val="32"/>
        </w:rPr>
      </w:pPr>
    </w:p>
    <w:p w14:paraId="569B4B09">
      <w:pPr>
        <w:spacing w:line="600" w:lineRule="exact"/>
        <w:ind w:firstLine="640" w:firstLineChars="200"/>
        <w:outlineLvl w:val="9"/>
        <w:rPr>
          <w:rFonts w:ascii="Times New Roman" w:hAnsi="Times New Roman" w:eastAsia="仿宋_GB2312" w:cs="Times New Roman"/>
          <w:color w:val="auto"/>
          <w:sz w:val="32"/>
          <w:szCs w:val="32"/>
        </w:rPr>
      </w:pPr>
    </w:p>
    <w:p w14:paraId="249ADE6F">
      <w:pPr>
        <w:spacing w:line="600" w:lineRule="exact"/>
        <w:ind w:firstLine="640" w:firstLineChars="200"/>
        <w:outlineLvl w:val="9"/>
        <w:rPr>
          <w:rFonts w:ascii="Times New Roman" w:hAnsi="Times New Roman" w:eastAsia="仿宋_GB2312" w:cs="Times New Roman"/>
          <w:color w:val="auto"/>
          <w:sz w:val="32"/>
          <w:szCs w:val="32"/>
        </w:rPr>
      </w:pPr>
    </w:p>
    <w:p w14:paraId="7C82E753">
      <w:pPr>
        <w:spacing w:line="600" w:lineRule="exact"/>
        <w:ind w:firstLine="640" w:firstLineChars="200"/>
        <w:outlineLvl w:val="9"/>
        <w:rPr>
          <w:rFonts w:ascii="Times New Roman" w:hAnsi="Times New Roman" w:eastAsia="仿宋_GB2312" w:cs="Times New Roman"/>
          <w:color w:val="auto"/>
          <w:sz w:val="32"/>
          <w:szCs w:val="32"/>
        </w:rPr>
      </w:pPr>
    </w:p>
    <w:p w14:paraId="15C7480C">
      <w:pPr>
        <w:spacing w:line="600" w:lineRule="exact"/>
        <w:ind w:firstLine="640" w:firstLineChars="200"/>
        <w:outlineLvl w:val="9"/>
        <w:rPr>
          <w:rFonts w:ascii="Times New Roman" w:hAnsi="Times New Roman" w:eastAsia="仿宋_GB2312" w:cs="Times New Roman"/>
          <w:color w:val="auto"/>
          <w:sz w:val="32"/>
          <w:szCs w:val="32"/>
        </w:rPr>
      </w:pPr>
    </w:p>
    <w:p w14:paraId="10BB95FE">
      <w:pPr>
        <w:spacing w:line="600" w:lineRule="exact"/>
        <w:ind w:firstLine="640" w:firstLineChars="200"/>
        <w:outlineLvl w:val="9"/>
        <w:rPr>
          <w:rFonts w:ascii="Times New Roman" w:hAnsi="Times New Roman" w:eastAsia="仿宋_GB2312" w:cs="Times New Roman"/>
          <w:color w:val="auto"/>
          <w:sz w:val="32"/>
          <w:szCs w:val="32"/>
        </w:rPr>
      </w:pPr>
    </w:p>
    <w:p w14:paraId="771EF2D2">
      <w:pPr>
        <w:spacing w:line="600" w:lineRule="exact"/>
        <w:ind w:firstLine="640" w:firstLineChars="200"/>
        <w:outlineLvl w:val="9"/>
        <w:rPr>
          <w:rFonts w:ascii="Times New Roman" w:hAnsi="Times New Roman" w:eastAsia="仿宋_GB2312" w:cs="Times New Roman"/>
          <w:color w:val="auto"/>
          <w:sz w:val="32"/>
          <w:szCs w:val="32"/>
        </w:rPr>
      </w:pPr>
    </w:p>
    <w:p w14:paraId="092714A9">
      <w:pPr>
        <w:spacing w:line="600" w:lineRule="exact"/>
        <w:ind w:firstLine="640" w:firstLineChars="200"/>
        <w:outlineLvl w:val="9"/>
        <w:rPr>
          <w:rFonts w:ascii="Times New Roman" w:hAnsi="Times New Roman" w:eastAsia="仿宋_GB2312" w:cs="Times New Roman"/>
          <w:color w:val="auto"/>
          <w:sz w:val="32"/>
          <w:szCs w:val="32"/>
        </w:rPr>
      </w:pPr>
    </w:p>
    <w:p w14:paraId="333EF054">
      <w:pPr>
        <w:spacing w:line="600" w:lineRule="exact"/>
        <w:ind w:firstLine="640" w:firstLineChars="200"/>
        <w:outlineLvl w:val="9"/>
        <w:rPr>
          <w:rFonts w:ascii="Times New Roman" w:hAnsi="Times New Roman" w:eastAsia="仿宋_GB2312" w:cs="Times New Roman"/>
          <w:color w:val="auto"/>
          <w:sz w:val="32"/>
          <w:szCs w:val="32"/>
        </w:rPr>
      </w:pPr>
    </w:p>
    <w:p w14:paraId="05CEB6C8">
      <w:pPr>
        <w:spacing w:line="600" w:lineRule="exact"/>
        <w:ind w:firstLine="640" w:firstLineChars="200"/>
        <w:outlineLvl w:val="9"/>
        <w:rPr>
          <w:rFonts w:ascii="Times New Roman" w:hAnsi="Times New Roman" w:eastAsia="仿宋_GB2312" w:cs="Times New Roman"/>
          <w:color w:val="auto"/>
          <w:sz w:val="32"/>
          <w:szCs w:val="32"/>
        </w:rPr>
      </w:pPr>
    </w:p>
    <w:p w14:paraId="55A1C90A">
      <w:pPr>
        <w:spacing w:line="600" w:lineRule="exact"/>
        <w:ind w:firstLine="640" w:firstLineChars="200"/>
        <w:outlineLvl w:val="9"/>
        <w:rPr>
          <w:rFonts w:ascii="Times New Roman" w:hAnsi="Times New Roman" w:eastAsia="仿宋_GB2312" w:cs="Times New Roman"/>
          <w:color w:val="auto"/>
          <w:sz w:val="32"/>
          <w:szCs w:val="32"/>
        </w:rPr>
      </w:pPr>
    </w:p>
    <w:p w14:paraId="392263D3">
      <w:pPr>
        <w:spacing w:line="600" w:lineRule="exact"/>
        <w:ind w:firstLine="640" w:firstLineChars="200"/>
        <w:outlineLvl w:val="9"/>
        <w:rPr>
          <w:rFonts w:ascii="Times New Roman" w:hAnsi="Times New Roman" w:eastAsia="仿宋_GB2312" w:cs="Times New Roman"/>
          <w:color w:val="auto"/>
          <w:sz w:val="32"/>
          <w:szCs w:val="32"/>
        </w:rPr>
      </w:pPr>
    </w:p>
    <w:p w14:paraId="3F5132DA">
      <w:pPr>
        <w:spacing w:line="560" w:lineRule="exact"/>
        <w:ind w:firstLine="0" w:firstLineChars="0"/>
        <w:jc w:val="left"/>
        <w:outlineLvl w:val="0"/>
        <w:rPr>
          <w:rFonts w:hint="eastAsia" w:ascii="仿宋" w:hAnsi="仿宋" w:eastAsia="仿宋"/>
          <w:color w:val="auto"/>
          <w:sz w:val="28"/>
          <w:szCs w:val="28"/>
        </w:rPr>
        <w:sectPr>
          <w:pgSz w:w="11910" w:h="16840"/>
          <w:pgMar w:top="1600" w:right="1440" w:bottom="1640" w:left="1420" w:header="0" w:footer="1459" w:gutter="0"/>
          <w:lnNumType w:countBy="0" w:distance="360"/>
          <w:pgNumType w:fmt="numberInDash"/>
          <w:cols w:space="720" w:num="1"/>
        </w:sectPr>
      </w:pPr>
      <w:bookmarkStart w:id="171" w:name="_Toc22130"/>
    </w:p>
    <w:p w14:paraId="00267180">
      <w:pPr>
        <w:keepNext w:val="0"/>
        <w:keepLines w:val="0"/>
        <w:pageBreakBefore w:val="0"/>
        <w:widowControl w:val="0"/>
        <w:kinsoku/>
        <w:overflowPunct/>
        <w:autoSpaceDE/>
        <w:autoSpaceDN/>
        <w:bidi w:val="0"/>
        <w:spacing w:before="0" w:beforeAutospacing="0" w:after="0" w:afterAutospacing="0" w:line="560" w:lineRule="exact"/>
        <w:ind w:firstLine="0" w:firstLineChars="0"/>
        <w:jc w:val="both"/>
        <w:textAlignment w:val="auto"/>
        <w:outlineLvl w:val="9"/>
        <w:rPr>
          <w:rFonts w:hint="eastAsia" w:ascii="仿宋_GB2312" w:hAnsi="Calibri" w:eastAsia="仿宋_GB2312" w:cs="仿宋_GB2312"/>
          <w:b w:val="0"/>
          <w:bCs w:val="0"/>
          <w:color w:val="auto"/>
          <w:kern w:val="0"/>
          <w:sz w:val="32"/>
          <w:szCs w:val="32"/>
          <w:lang w:val="en-US" w:eastAsia="zh-CN" w:bidi="ar-SA"/>
        </w:rPr>
      </w:pPr>
      <w:r>
        <w:rPr>
          <w:rFonts w:hint="eastAsia" w:ascii="仿宋_GB2312" w:hAnsi="Calibri" w:eastAsia="仿宋_GB2312" w:cs="仿宋_GB2312"/>
          <w:b w:val="0"/>
          <w:bCs w:val="0"/>
          <w:color w:val="auto"/>
          <w:kern w:val="0"/>
          <w:sz w:val="32"/>
          <w:szCs w:val="32"/>
          <w:lang w:val="en-US" w:eastAsia="zh-CN" w:bidi="ar-SA"/>
        </w:rPr>
        <w:t>附件3</w:t>
      </w:r>
      <w:bookmarkEnd w:id="171"/>
    </w:p>
    <w:p w14:paraId="4EADE3C8">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bookmarkStart w:id="172" w:name="_Toc28454"/>
      <w:r>
        <w:rPr>
          <w:rFonts w:hint="eastAsia" w:ascii="仿宋_GB2312" w:hAnsi="Calibri" w:eastAsia="仿宋_GB2312" w:cs="仿宋_GB2312"/>
          <w:b/>
          <w:bCs/>
          <w:color w:val="auto"/>
          <w:kern w:val="0"/>
          <w:sz w:val="32"/>
          <w:szCs w:val="32"/>
          <w:lang w:val="en-US" w:eastAsia="zh-CN" w:bidi="ar-SA"/>
        </w:rPr>
        <w:t>白沙黎族自治县突发事件应急响应流程图</w:t>
      </w:r>
      <w:bookmarkEnd w:id="172"/>
    </w:p>
    <w:p w14:paraId="62C6D184">
      <w:pPr>
        <w:spacing w:line="240" w:lineRule="auto"/>
        <w:ind w:firstLine="0" w:firstLineChars="0"/>
        <w:jc w:val="center"/>
        <w:outlineLvl w:val="9"/>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drawing>
          <wp:inline distT="0" distB="0" distL="0" distR="0">
            <wp:extent cx="4968240" cy="7183120"/>
            <wp:effectExtent l="0" t="0" r="3810" b="17780"/>
            <wp:docPr id="1078" name="图片 6"/>
            <wp:cNvGraphicFramePr/>
            <a:graphic xmlns:a="http://schemas.openxmlformats.org/drawingml/2006/main">
              <a:graphicData uri="http://schemas.openxmlformats.org/drawingml/2006/picture">
                <pic:pic xmlns:pic="http://schemas.openxmlformats.org/drawingml/2006/picture">
                  <pic:nvPicPr>
                    <pic:cNvPr id="1078" name="图片 6"/>
                    <pic:cNvPicPr/>
                  </pic:nvPicPr>
                  <pic:blipFill>
                    <a:blip r:embed="rId7" cstate="print"/>
                    <a:srcRect/>
                    <a:stretch>
                      <a:fillRect/>
                    </a:stretch>
                  </pic:blipFill>
                  <pic:spPr>
                    <a:xfrm>
                      <a:off x="0" y="0"/>
                      <a:ext cx="4968240" cy="7183120"/>
                    </a:xfrm>
                    <a:prstGeom prst="rect">
                      <a:avLst/>
                    </a:prstGeom>
                    <a:ln>
                      <a:noFill/>
                    </a:ln>
                  </pic:spPr>
                </pic:pic>
              </a:graphicData>
            </a:graphic>
          </wp:inline>
        </w:drawing>
      </w:r>
    </w:p>
    <w:p w14:paraId="1C11879F">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 w:hAnsi="仿宋" w:eastAsia="仿宋" w:cs="Times New Roman"/>
          <w:color w:val="auto"/>
          <w:sz w:val="28"/>
          <w:szCs w:val="28"/>
          <w:lang w:eastAsia="zh-CN"/>
        </w:rPr>
        <w:sectPr>
          <w:pgSz w:w="11910" w:h="16840"/>
          <w:pgMar w:top="1600" w:right="1440" w:bottom="1640" w:left="1420" w:header="0" w:footer="1459" w:gutter="0"/>
          <w:lnNumType w:countBy="0" w:distance="360"/>
          <w:pgNumType w:fmt="numberInDash"/>
          <w:cols w:space="720" w:num="1"/>
        </w:sectPr>
      </w:pPr>
      <w:bookmarkStart w:id="173" w:name="_Toc3693"/>
    </w:p>
    <w:p w14:paraId="3948FAF5">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 w:hAnsi="仿宋" w:eastAsia="仿宋" w:cs="Times New Roman"/>
          <w:color w:val="auto"/>
          <w:sz w:val="28"/>
          <w:szCs w:val="28"/>
          <w:lang w:val="en-US" w:eastAsia="zh-CN"/>
        </w:rPr>
      </w:pPr>
      <w:r>
        <w:rPr>
          <w:rFonts w:hint="eastAsia" w:ascii="仿宋_GB2312" w:hAnsi="Calibri" w:eastAsia="仿宋_GB2312" w:cs="仿宋_GB2312"/>
          <w:b w:val="0"/>
          <w:bCs w:val="0"/>
          <w:color w:val="auto"/>
          <w:kern w:val="0"/>
          <w:sz w:val="32"/>
          <w:szCs w:val="32"/>
          <w:lang w:val="en-US" w:eastAsia="zh-CN" w:bidi="ar-SA"/>
        </w:rPr>
        <w:t>附件4</w:t>
      </w:r>
      <w:bookmarkStart w:id="174" w:name="_Toc24803_WPSOffice_Level1"/>
      <w:r>
        <w:rPr>
          <w:rFonts w:hint="eastAsia" w:ascii="仿宋" w:hAnsi="仿宋" w:eastAsia="仿宋" w:cs="Times New Roman"/>
          <w:color w:val="auto"/>
          <w:sz w:val="28"/>
          <w:szCs w:val="28"/>
          <w:lang w:val="en-US" w:eastAsia="zh-CN"/>
        </w:rPr>
        <w:t xml:space="preserve">    </w:t>
      </w:r>
    </w:p>
    <w:p w14:paraId="4C6DA5C7">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白沙黎族自治县应急委成员单位通讯录</w:t>
      </w:r>
      <w:bookmarkEnd w:id="173"/>
      <w:bookmarkEnd w:id="174"/>
    </w:p>
    <w:tbl>
      <w:tblPr>
        <w:tblStyle w:val="16"/>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2371"/>
        <w:gridCol w:w="1637"/>
        <w:gridCol w:w="612"/>
        <w:gridCol w:w="3140"/>
        <w:gridCol w:w="1580"/>
      </w:tblGrid>
      <w:tr w14:paraId="2B733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60" w:type="dxa"/>
            <w:vAlign w:val="center"/>
          </w:tcPr>
          <w:p w14:paraId="2E708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序号</w:t>
            </w:r>
          </w:p>
        </w:tc>
        <w:tc>
          <w:tcPr>
            <w:tcW w:w="2371" w:type="dxa"/>
            <w:vAlign w:val="center"/>
          </w:tcPr>
          <w:p w14:paraId="19CE29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单位</w:t>
            </w:r>
          </w:p>
        </w:tc>
        <w:tc>
          <w:tcPr>
            <w:tcW w:w="1637" w:type="dxa"/>
            <w:vAlign w:val="center"/>
          </w:tcPr>
          <w:p w14:paraId="017DE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办公室电话</w:t>
            </w:r>
          </w:p>
        </w:tc>
        <w:tc>
          <w:tcPr>
            <w:tcW w:w="612" w:type="dxa"/>
            <w:vAlign w:val="center"/>
          </w:tcPr>
          <w:p w14:paraId="7702D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序号</w:t>
            </w:r>
          </w:p>
        </w:tc>
        <w:tc>
          <w:tcPr>
            <w:tcW w:w="3140" w:type="dxa"/>
            <w:vAlign w:val="center"/>
          </w:tcPr>
          <w:p w14:paraId="2C1E3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单位</w:t>
            </w:r>
          </w:p>
        </w:tc>
        <w:tc>
          <w:tcPr>
            <w:tcW w:w="1580" w:type="dxa"/>
            <w:vAlign w:val="center"/>
          </w:tcPr>
          <w:p w14:paraId="0FEFAD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bCs w:val="0"/>
                <w:color w:val="auto"/>
                <w:kern w:val="0"/>
                <w:sz w:val="28"/>
                <w:szCs w:val="28"/>
              </w:rPr>
            </w:pPr>
            <w:r>
              <w:rPr>
                <w:rFonts w:hint="eastAsia" w:ascii="宋体" w:hAnsi="宋体" w:eastAsia="宋体" w:cs="宋体"/>
                <w:b/>
                <w:bCs w:val="0"/>
                <w:color w:val="auto"/>
                <w:kern w:val="0"/>
                <w:sz w:val="28"/>
                <w:szCs w:val="28"/>
              </w:rPr>
              <w:t>办公室电话</w:t>
            </w:r>
          </w:p>
        </w:tc>
      </w:tr>
      <w:tr w14:paraId="0C9C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173AF9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371" w:type="dxa"/>
            <w:vAlign w:val="center"/>
          </w:tcPr>
          <w:p w14:paraId="3AEEF3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政府办</w:t>
            </w:r>
          </w:p>
        </w:tc>
        <w:tc>
          <w:tcPr>
            <w:tcW w:w="1637" w:type="dxa"/>
            <w:vAlign w:val="center"/>
          </w:tcPr>
          <w:p w14:paraId="53832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27723279</w:t>
            </w:r>
          </w:p>
        </w:tc>
        <w:tc>
          <w:tcPr>
            <w:tcW w:w="612" w:type="dxa"/>
            <w:vAlign w:val="center"/>
          </w:tcPr>
          <w:p w14:paraId="6CB82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24</w:t>
            </w:r>
          </w:p>
        </w:tc>
        <w:tc>
          <w:tcPr>
            <w:tcW w:w="3140" w:type="dxa"/>
            <w:vAlign w:val="center"/>
          </w:tcPr>
          <w:p w14:paraId="7E7D8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eastAsia="zh-CN"/>
              </w:rPr>
              <w:t>白沙供电局</w:t>
            </w:r>
          </w:p>
        </w:tc>
        <w:tc>
          <w:tcPr>
            <w:tcW w:w="1580" w:type="dxa"/>
            <w:vAlign w:val="center"/>
          </w:tcPr>
          <w:p w14:paraId="2A9F6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27723434</w:t>
            </w:r>
          </w:p>
        </w:tc>
      </w:tr>
      <w:tr w14:paraId="0B1C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23C86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2371" w:type="dxa"/>
            <w:vAlign w:val="center"/>
          </w:tcPr>
          <w:p w14:paraId="429B9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委政法委</w:t>
            </w:r>
          </w:p>
        </w:tc>
        <w:tc>
          <w:tcPr>
            <w:tcW w:w="1637" w:type="dxa"/>
            <w:vAlign w:val="center"/>
          </w:tcPr>
          <w:p w14:paraId="20864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27723166</w:t>
            </w:r>
          </w:p>
        </w:tc>
        <w:tc>
          <w:tcPr>
            <w:tcW w:w="612" w:type="dxa"/>
            <w:vAlign w:val="center"/>
          </w:tcPr>
          <w:p w14:paraId="30647C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25</w:t>
            </w:r>
          </w:p>
        </w:tc>
        <w:tc>
          <w:tcPr>
            <w:tcW w:w="3140" w:type="dxa"/>
            <w:vAlign w:val="center"/>
          </w:tcPr>
          <w:p w14:paraId="08132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eastAsia="zh-CN"/>
              </w:rPr>
              <w:t>白沙公路分局</w:t>
            </w:r>
          </w:p>
        </w:tc>
        <w:tc>
          <w:tcPr>
            <w:tcW w:w="1580" w:type="dxa"/>
            <w:vAlign w:val="center"/>
          </w:tcPr>
          <w:p w14:paraId="3716C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27728786</w:t>
            </w:r>
          </w:p>
        </w:tc>
      </w:tr>
      <w:tr w14:paraId="0167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19ACE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2371" w:type="dxa"/>
            <w:vAlign w:val="center"/>
          </w:tcPr>
          <w:p w14:paraId="6FA1DC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县应急管理局</w:t>
            </w:r>
          </w:p>
        </w:tc>
        <w:tc>
          <w:tcPr>
            <w:tcW w:w="1637" w:type="dxa"/>
            <w:vAlign w:val="center"/>
          </w:tcPr>
          <w:p w14:paraId="00794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27723839</w:t>
            </w:r>
          </w:p>
        </w:tc>
        <w:tc>
          <w:tcPr>
            <w:tcW w:w="612" w:type="dxa"/>
            <w:vAlign w:val="center"/>
          </w:tcPr>
          <w:p w14:paraId="46F4D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26</w:t>
            </w:r>
          </w:p>
        </w:tc>
        <w:tc>
          <w:tcPr>
            <w:tcW w:w="3140" w:type="dxa"/>
            <w:vAlign w:val="center"/>
          </w:tcPr>
          <w:p w14:paraId="35BAD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eastAsia="zh-CN"/>
              </w:rPr>
              <w:t>县综合行政执法局</w:t>
            </w:r>
          </w:p>
        </w:tc>
        <w:tc>
          <w:tcPr>
            <w:tcW w:w="1580" w:type="dxa"/>
            <w:vAlign w:val="center"/>
          </w:tcPr>
          <w:p w14:paraId="2C00A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27721662</w:t>
            </w:r>
          </w:p>
        </w:tc>
      </w:tr>
      <w:tr w14:paraId="07EF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777066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2371" w:type="dxa"/>
            <w:vAlign w:val="center"/>
          </w:tcPr>
          <w:p w14:paraId="027A2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县委宣传部（县政府新闻办）</w:t>
            </w:r>
          </w:p>
        </w:tc>
        <w:tc>
          <w:tcPr>
            <w:tcW w:w="1637" w:type="dxa"/>
            <w:vAlign w:val="center"/>
          </w:tcPr>
          <w:p w14:paraId="7A078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27723113</w:t>
            </w:r>
          </w:p>
        </w:tc>
        <w:tc>
          <w:tcPr>
            <w:tcW w:w="612" w:type="dxa"/>
            <w:vAlign w:val="center"/>
          </w:tcPr>
          <w:p w14:paraId="6EABCC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w:t>
            </w:r>
          </w:p>
        </w:tc>
        <w:tc>
          <w:tcPr>
            <w:tcW w:w="3140" w:type="dxa"/>
            <w:vAlign w:val="center"/>
          </w:tcPr>
          <w:p w14:paraId="3C69B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县消防救援大队</w:t>
            </w:r>
          </w:p>
        </w:tc>
        <w:tc>
          <w:tcPr>
            <w:tcW w:w="1580" w:type="dxa"/>
            <w:vAlign w:val="center"/>
          </w:tcPr>
          <w:p w14:paraId="65CDC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27725596</w:t>
            </w:r>
          </w:p>
        </w:tc>
      </w:tr>
      <w:tr w14:paraId="3D87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08746C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5</w:t>
            </w:r>
          </w:p>
        </w:tc>
        <w:tc>
          <w:tcPr>
            <w:tcW w:w="2371" w:type="dxa"/>
            <w:vAlign w:val="center"/>
          </w:tcPr>
          <w:p w14:paraId="549DE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县人武部</w:t>
            </w:r>
          </w:p>
        </w:tc>
        <w:tc>
          <w:tcPr>
            <w:tcW w:w="1637" w:type="dxa"/>
            <w:vAlign w:val="center"/>
          </w:tcPr>
          <w:p w14:paraId="6BFF8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66571273</w:t>
            </w:r>
          </w:p>
        </w:tc>
        <w:tc>
          <w:tcPr>
            <w:tcW w:w="612" w:type="dxa"/>
            <w:vAlign w:val="center"/>
          </w:tcPr>
          <w:p w14:paraId="3D1CF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28</w:t>
            </w:r>
          </w:p>
        </w:tc>
        <w:tc>
          <w:tcPr>
            <w:tcW w:w="3140" w:type="dxa"/>
            <w:vAlign w:val="center"/>
          </w:tcPr>
          <w:p w14:paraId="2FBA4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县红十字会</w:t>
            </w:r>
          </w:p>
        </w:tc>
        <w:tc>
          <w:tcPr>
            <w:tcW w:w="1580" w:type="dxa"/>
            <w:vAlign w:val="center"/>
          </w:tcPr>
          <w:p w14:paraId="561BE6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BF0000"/>
                <w:kern w:val="0"/>
                <w:sz w:val="24"/>
                <w:szCs w:val="24"/>
                <w:lang w:val="en-US" w:eastAsia="zh-CN" w:bidi="ar-SA"/>
              </w:rPr>
            </w:pPr>
            <w:r>
              <w:rPr>
                <w:rFonts w:hint="eastAsia" w:ascii="宋体" w:hAnsi="宋体" w:eastAsia="宋体" w:cs="宋体"/>
                <w:color w:val="auto"/>
                <w:kern w:val="0"/>
                <w:sz w:val="24"/>
                <w:szCs w:val="24"/>
                <w:lang w:val="en-US" w:eastAsia="zh-CN"/>
              </w:rPr>
              <w:t>27721763</w:t>
            </w:r>
          </w:p>
        </w:tc>
      </w:tr>
      <w:tr w14:paraId="1C00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60" w:type="dxa"/>
            <w:vAlign w:val="center"/>
          </w:tcPr>
          <w:p w14:paraId="1DD27B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8"/>
                <w:szCs w:val="28"/>
                <w:lang w:val="en-US" w:eastAsia="zh-CN" w:bidi="ar-SA"/>
              </w:rPr>
            </w:pPr>
            <w:r>
              <w:rPr>
                <w:rFonts w:hint="eastAsia" w:ascii="宋体" w:hAnsi="宋体" w:eastAsia="宋体" w:cs="宋体"/>
                <w:color w:val="auto"/>
                <w:kern w:val="0"/>
                <w:sz w:val="24"/>
                <w:szCs w:val="24"/>
              </w:rPr>
              <w:t>6</w:t>
            </w:r>
          </w:p>
        </w:tc>
        <w:tc>
          <w:tcPr>
            <w:tcW w:w="2371" w:type="dxa"/>
            <w:vAlign w:val="center"/>
          </w:tcPr>
          <w:p w14:paraId="28EB1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发改委</w:t>
            </w:r>
            <w:r>
              <w:rPr>
                <w:rFonts w:hint="eastAsia" w:ascii="宋体" w:hAnsi="宋体" w:eastAsia="宋体" w:cs="宋体"/>
                <w:color w:val="auto"/>
                <w:kern w:val="0"/>
                <w:sz w:val="24"/>
                <w:szCs w:val="24"/>
                <w:lang w:eastAsia="zh-CN"/>
              </w:rPr>
              <w:t>（县科工信局、县商务局、县粮食局）</w:t>
            </w:r>
          </w:p>
        </w:tc>
        <w:tc>
          <w:tcPr>
            <w:tcW w:w="1637" w:type="dxa"/>
            <w:vAlign w:val="center"/>
          </w:tcPr>
          <w:p w14:paraId="05F435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27721156</w:t>
            </w:r>
          </w:p>
        </w:tc>
        <w:tc>
          <w:tcPr>
            <w:tcW w:w="612" w:type="dxa"/>
            <w:vAlign w:val="center"/>
          </w:tcPr>
          <w:p w14:paraId="313074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29</w:t>
            </w:r>
          </w:p>
        </w:tc>
        <w:tc>
          <w:tcPr>
            <w:tcW w:w="3140" w:type="dxa"/>
            <w:vAlign w:val="center"/>
          </w:tcPr>
          <w:p w14:paraId="747021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中国石化销售股份有限公司海南白沙石油分公司</w:t>
            </w:r>
          </w:p>
        </w:tc>
        <w:tc>
          <w:tcPr>
            <w:tcW w:w="1580" w:type="dxa"/>
            <w:vAlign w:val="center"/>
          </w:tcPr>
          <w:p w14:paraId="629CE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27728087</w:t>
            </w:r>
          </w:p>
        </w:tc>
      </w:tr>
      <w:tr w14:paraId="1E51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60" w:type="dxa"/>
            <w:vAlign w:val="center"/>
          </w:tcPr>
          <w:p w14:paraId="679A03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7</w:t>
            </w:r>
          </w:p>
        </w:tc>
        <w:tc>
          <w:tcPr>
            <w:tcW w:w="2371" w:type="dxa"/>
            <w:vAlign w:val="center"/>
          </w:tcPr>
          <w:p w14:paraId="5E4C3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财政局</w:t>
            </w:r>
          </w:p>
        </w:tc>
        <w:tc>
          <w:tcPr>
            <w:tcW w:w="1637" w:type="dxa"/>
            <w:vAlign w:val="center"/>
          </w:tcPr>
          <w:p w14:paraId="406983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27722572</w:t>
            </w:r>
          </w:p>
        </w:tc>
        <w:tc>
          <w:tcPr>
            <w:tcW w:w="612" w:type="dxa"/>
            <w:vAlign w:val="center"/>
          </w:tcPr>
          <w:p w14:paraId="249AD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30</w:t>
            </w:r>
          </w:p>
        </w:tc>
        <w:tc>
          <w:tcPr>
            <w:tcW w:w="3140" w:type="dxa"/>
            <w:vAlign w:val="center"/>
          </w:tcPr>
          <w:p w14:paraId="20E00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中石油海南销售有限公司</w:t>
            </w:r>
          </w:p>
        </w:tc>
        <w:tc>
          <w:tcPr>
            <w:tcW w:w="1580" w:type="dxa"/>
            <w:vAlign w:val="center"/>
          </w:tcPr>
          <w:p w14:paraId="3914D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27522776</w:t>
            </w:r>
          </w:p>
        </w:tc>
      </w:tr>
      <w:tr w14:paraId="3A29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7A5AA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8</w:t>
            </w:r>
          </w:p>
        </w:tc>
        <w:tc>
          <w:tcPr>
            <w:tcW w:w="2371" w:type="dxa"/>
            <w:vAlign w:val="center"/>
          </w:tcPr>
          <w:p w14:paraId="719482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公安局</w:t>
            </w:r>
          </w:p>
        </w:tc>
        <w:tc>
          <w:tcPr>
            <w:tcW w:w="1637" w:type="dxa"/>
            <w:vAlign w:val="center"/>
          </w:tcPr>
          <w:p w14:paraId="02EBD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27723478</w:t>
            </w:r>
          </w:p>
        </w:tc>
        <w:tc>
          <w:tcPr>
            <w:tcW w:w="612" w:type="dxa"/>
            <w:vAlign w:val="center"/>
          </w:tcPr>
          <w:p w14:paraId="4B196E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31</w:t>
            </w:r>
          </w:p>
        </w:tc>
        <w:tc>
          <w:tcPr>
            <w:tcW w:w="3140" w:type="dxa"/>
            <w:vAlign w:val="center"/>
          </w:tcPr>
          <w:p w14:paraId="24C34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rPr>
              <w:t>中国电信白沙分公司</w:t>
            </w:r>
          </w:p>
        </w:tc>
        <w:tc>
          <w:tcPr>
            <w:tcW w:w="1580" w:type="dxa"/>
            <w:vAlign w:val="center"/>
          </w:tcPr>
          <w:p w14:paraId="59033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27721104</w:t>
            </w:r>
          </w:p>
        </w:tc>
      </w:tr>
      <w:tr w14:paraId="34BC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1B1613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9</w:t>
            </w:r>
          </w:p>
        </w:tc>
        <w:tc>
          <w:tcPr>
            <w:tcW w:w="2371" w:type="dxa"/>
            <w:vAlign w:val="center"/>
          </w:tcPr>
          <w:p w14:paraId="155DF3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住建局</w:t>
            </w:r>
          </w:p>
        </w:tc>
        <w:tc>
          <w:tcPr>
            <w:tcW w:w="1637" w:type="dxa"/>
            <w:vAlign w:val="center"/>
          </w:tcPr>
          <w:p w14:paraId="5CB90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27722906</w:t>
            </w:r>
          </w:p>
        </w:tc>
        <w:tc>
          <w:tcPr>
            <w:tcW w:w="612" w:type="dxa"/>
            <w:vAlign w:val="center"/>
          </w:tcPr>
          <w:p w14:paraId="6FC6A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2</w:t>
            </w:r>
          </w:p>
        </w:tc>
        <w:tc>
          <w:tcPr>
            <w:tcW w:w="3140" w:type="dxa"/>
            <w:vAlign w:val="center"/>
          </w:tcPr>
          <w:p w14:paraId="2BE26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rPr>
              <w:t>中国移动白沙分公司</w:t>
            </w:r>
          </w:p>
        </w:tc>
        <w:tc>
          <w:tcPr>
            <w:tcW w:w="1580" w:type="dxa"/>
            <w:vAlign w:val="center"/>
          </w:tcPr>
          <w:p w14:paraId="4F5665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31908600</w:t>
            </w:r>
          </w:p>
        </w:tc>
      </w:tr>
      <w:tr w14:paraId="4927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60" w:type="dxa"/>
            <w:vAlign w:val="center"/>
          </w:tcPr>
          <w:p w14:paraId="342282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10</w:t>
            </w:r>
          </w:p>
        </w:tc>
        <w:tc>
          <w:tcPr>
            <w:tcW w:w="2371" w:type="dxa"/>
            <w:vAlign w:val="center"/>
          </w:tcPr>
          <w:p w14:paraId="4CFDE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卫</w:t>
            </w:r>
            <w:r>
              <w:rPr>
                <w:rFonts w:hint="eastAsia" w:ascii="宋体" w:hAnsi="宋体" w:eastAsia="宋体" w:cs="宋体"/>
                <w:color w:val="auto"/>
                <w:kern w:val="0"/>
                <w:sz w:val="24"/>
                <w:szCs w:val="24"/>
                <w:lang w:eastAsia="zh-CN"/>
              </w:rPr>
              <w:t>健</w:t>
            </w:r>
            <w:r>
              <w:rPr>
                <w:rFonts w:hint="eastAsia" w:ascii="宋体" w:hAnsi="宋体" w:eastAsia="宋体" w:cs="宋体"/>
                <w:color w:val="auto"/>
                <w:kern w:val="0"/>
                <w:sz w:val="24"/>
                <w:szCs w:val="24"/>
              </w:rPr>
              <w:t>委</w:t>
            </w:r>
          </w:p>
        </w:tc>
        <w:tc>
          <w:tcPr>
            <w:tcW w:w="1637" w:type="dxa"/>
            <w:vAlign w:val="center"/>
          </w:tcPr>
          <w:p w14:paraId="796ACD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27723496</w:t>
            </w:r>
          </w:p>
        </w:tc>
        <w:tc>
          <w:tcPr>
            <w:tcW w:w="612" w:type="dxa"/>
            <w:vAlign w:val="center"/>
          </w:tcPr>
          <w:p w14:paraId="4EFDCD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3</w:t>
            </w:r>
          </w:p>
        </w:tc>
        <w:tc>
          <w:tcPr>
            <w:tcW w:w="3140" w:type="dxa"/>
            <w:vAlign w:val="center"/>
          </w:tcPr>
          <w:p w14:paraId="08968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rPr>
              <w:t>中国联合网络通信有限公司白沙分公司</w:t>
            </w:r>
          </w:p>
        </w:tc>
        <w:tc>
          <w:tcPr>
            <w:tcW w:w="1580" w:type="dxa"/>
            <w:vAlign w:val="center"/>
          </w:tcPr>
          <w:p w14:paraId="191FE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38680905</w:t>
            </w:r>
          </w:p>
        </w:tc>
      </w:tr>
      <w:tr w14:paraId="56E5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60" w:type="dxa"/>
            <w:vAlign w:val="center"/>
          </w:tcPr>
          <w:p w14:paraId="5B932A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11</w:t>
            </w:r>
          </w:p>
        </w:tc>
        <w:tc>
          <w:tcPr>
            <w:tcW w:w="2371" w:type="dxa"/>
            <w:vAlign w:val="center"/>
          </w:tcPr>
          <w:p w14:paraId="34EBF3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交通运输局</w:t>
            </w:r>
          </w:p>
        </w:tc>
        <w:tc>
          <w:tcPr>
            <w:tcW w:w="1637" w:type="dxa"/>
            <w:vAlign w:val="center"/>
          </w:tcPr>
          <w:p w14:paraId="7A9999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27728489</w:t>
            </w:r>
          </w:p>
        </w:tc>
        <w:tc>
          <w:tcPr>
            <w:tcW w:w="612" w:type="dxa"/>
            <w:vAlign w:val="center"/>
          </w:tcPr>
          <w:p w14:paraId="6188E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4</w:t>
            </w:r>
          </w:p>
        </w:tc>
        <w:tc>
          <w:tcPr>
            <w:tcW w:w="3140" w:type="dxa"/>
            <w:vAlign w:val="center"/>
          </w:tcPr>
          <w:p w14:paraId="0D54E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县自来水公司</w:t>
            </w:r>
          </w:p>
        </w:tc>
        <w:tc>
          <w:tcPr>
            <w:tcW w:w="1580" w:type="dxa"/>
            <w:vAlign w:val="center"/>
          </w:tcPr>
          <w:p w14:paraId="3BAAD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7722857</w:t>
            </w:r>
          </w:p>
        </w:tc>
      </w:tr>
      <w:tr w14:paraId="3E44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465EC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12</w:t>
            </w:r>
          </w:p>
        </w:tc>
        <w:tc>
          <w:tcPr>
            <w:tcW w:w="2371" w:type="dxa"/>
            <w:vAlign w:val="center"/>
          </w:tcPr>
          <w:p w14:paraId="4F1288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自然资源和规划局</w:t>
            </w:r>
          </w:p>
        </w:tc>
        <w:tc>
          <w:tcPr>
            <w:tcW w:w="1637" w:type="dxa"/>
            <w:vAlign w:val="center"/>
          </w:tcPr>
          <w:p w14:paraId="339CE7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27722672</w:t>
            </w:r>
          </w:p>
        </w:tc>
        <w:tc>
          <w:tcPr>
            <w:tcW w:w="612" w:type="dxa"/>
            <w:vAlign w:val="center"/>
          </w:tcPr>
          <w:p w14:paraId="771D75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5</w:t>
            </w:r>
          </w:p>
        </w:tc>
        <w:tc>
          <w:tcPr>
            <w:tcW w:w="3140" w:type="dxa"/>
            <w:vAlign w:val="center"/>
          </w:tcPr>
          <w:p w14:paraId="178CF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牙叉镇</w:t>
            </w:r>
          </w:p>
        </w:tc>
        <w:tc>
          <w:tcPr>
            <w:tcW w:w="1580" w:type="dxa"/>
            <w:vAlign w:val="center"/>
          </w:tcPr>
          <w:p w14:paraId="422B4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27729809</w:t>
            </w:r>
          </w:p>
        </w:tc>
      </w:tr>
      <w:tr w14:paraId="0D41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69F88A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13</w:t>
            </w:r>
          </w:p>
        </w:tc>
        <w:tc>
          <w:tcPr>
            <w:tcW w:w="2371" w:type="dxa"/>
            <w:vAlign w:val="center"/>
          </w:tcPr>
          <w:p w14:paraId="5173D7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生态环</w:t>
            </w:r>
            <w:r>
              <w:rPr>
                <w:rFonts w:hint="eastAsia" w:ascii="宋体" w:hAnsi="宋体" w:eastAsia="宋体" w:cs="宋体"/>
                <w:color w:val="auto"/>
                <w:kern w:val="0"/>
                <w:sz w:val="24"/>
                <w:szCs w:val="24"/>
                <w:lang w:eastAsia="zh-CN"/>
              </w:rPr>
              <w:t>境</w:t>
            </w:r>
            <w:r>
              <w:rPr>
                <w:rFonts w:hint="eastAsia" w:ascii="宋体" w:hAnsi="宋体" w:eastAsia="宋体" w:cs="宋体"/>
                <w:color w:val="auto"/>
                <w:kern w:val="0"/>
                <w:sz w:val="24"/>
                <w:szCs w:val="24"/>
              </w:rPr>
              <w:t>局</w:t>
            </w:r>
          </w:p>
        </w:tc>
        <w:tc>
          <w:tcPr>
            <w:tcW w:w="1637" w:type="dxa"/>
            <w:vAlign w:val="center"/>
          </w:tcPr>
          <w:p w14:paraId="787919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27715663</w:t>
            </w:r>
          </w:p>
        </w:tc>
        <w:tc>
          <w:tcPr>
            <w:tcW w:w="612" w:type="dxa"/>
            <w:vAlign w:val="center"/>
          </w:tcPr>
          <w:p w14:paraId="44128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6</w:t>
            </w:r>
          </w:p>
        </w:tc>
        <w:tc>
          <w:tcPr>
            <w:tcW w:w="3140" w:type="dxa"/>
            <w:vAlign w:val="center"/>
          </w:tcPr>
          <w:p w14:paraId="343F9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七坊镇</w:t>
            </w:r>
          </w:p>
        </w:tc>
        <w:tc>
          <w:tcPr>
            <w:tcW w:w="1580" w:type="dxa"/>
            <w:vAlign w:val="center"/>
          </w:tcPr>
          <w:p w14:paraId="5827F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27663051</w:t>
            </w:r>
          </w:p>
        </w:tc>
      </w:tr>
      <w:tr w14:paraId="7AAC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55506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14</w:t>
            </w:r>
          </w:p>
        </w:tc>
        <w:tc>
          <w:tcPr>
            <w:tcW w:w="2371" w:type="dxa"/>
            <w:vAlign w:val="center"/>
          </w:tcPr>
          <w:p w14:paraId="780A49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人社局</w:t>
            </w:r>
          </w:p>
        </w:tc>
        <w:tc>
          <w:tcPr>
            <w:tcW w:w="1637" w:type="dxa"/>
            <w:vAlign w:val="center"/>
          </w:tcPr>
          <w:p w14:paraId="139599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27723265</w:t>
            </w:r>
          </w:p>
        </w:tc>
        <w:tc>
          <w:tcPr>
            <w:tcW w:w="612" w:type="dxa"/>
            <w:vAlign w:val="center"/>
          </w:tcPr>
          <w:p w14:paraId="0460F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7</w:t>
            </w:r>
          </w:p>
        </w:tc>
        <w:tc>
          <w:tcPr>
            <w:tcW w:w="3140" w:type="dxa"/>
            <w:vAlign w:val="center"/>
          </w:tcPr>
          <w:p w14:paraId="497F6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打安镇</w:t>
            </w:r>
          </w:p>
        </w:tc>
        <w:tc>
          <w:tcPr>
            <w:tcW w:w="1580" w:type="dxa"/>
            <w:vAlign w:val="center"/>
          </w:tcPr>
          <w:p w14:paraId="76EB0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27531005</w:t>
            </w:r>
          </w:p>
        </w:tc>
      </w:tr>
      <w:tr w14:paraId="5AE7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66B61E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15</w:t>
            </w:r>
          </w:p>
        </w:tc>
        <w:tc>
          <w:tcPr>
            <w:tcW w:w="2371" w:type="dxa"/>
            <w:vAlign w:val="center"/>
          </w:tcPr>
          <w:p w14:paraId="3781E8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教育局</w:t>
            </w:r>
          </w:p>
        </w:tc>
        <w:tc>
          <w:tcPr>
            <w:tcW w:w="1637" w:type="dxa"/>
            <w:vAlign w:val="center"/>
          </w:tcPr>
          <w:p w14:paraId="52636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27724882</w:t>
            </w:r>
          </w:p>
        </w:tc>
        <w:tc>
          <w:tcPr>
            <w:tcW w:w="612" w:type="dxa"/>
            <w:vAlign w:val="center"/>
          </w:tcPr>
          <w:p w14:paraId="63008D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8</w:t>
            </w:r>
          </w:p>
        </w:tc>
        <w:tc>
          <w:tcPr>
            <w:tcW w:w="3140" w:type="dxa"/>
            <w:vAlign w:val="center"/>
          </w:tcPr>
          <w:p w14:paraId="07DCD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邦溪镇</w:t>
            </w:r>
          </w:p>
        </w:tc>
        <w:tc>
          <w:tcPr>
            <w:tcW w:w="1580" w:type="dxa"/>
            <w:vAlign w:val="center"/>
          </w:tcPr>
          <w:p w14:paraId="5F1B6B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27881005</w:t>
            </w:r>
          </w:p>
        </w:tc>
      </w:tr>
      <w:tr w14:paraId="1D9C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60" w:type="dxa"/>
            <w:vAlign w:val="center"/>
          </w:tcPr>
          <w:p w14:paraId="7CA02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16</w:t>
            </w:r>
          </w:p>
        </w:tc>
        <w:tc>
          <w:tcPr>
            <w:tcW w:w="2371" w:type="dxa"/>
            <w:vAlign w:val="center"/>
          </w:tcPr>
          <w:p w14:paraId="5D147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县农业农村局</w:t>
            </w:r>
          </w:p>
        </w:tc>
        <w:tc>
          <w:tcPr>
            <w:tcW w:w="1637" w:type="dxa"/>
            <w:vAlign w:val="center"/>
          </w:tcPr>
          <w:p w14:paraId="591EEC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27722746</w:t>
            </w:r>
          </w:p>
        </w:tc>
        <w:tc>
          <w:tcPr>
            <w:tcW w:w="612" w:type="dxa"/>
            <w:vAlign w:val="center"/>
          </w:tcPr>
          <w:p w14:paraId="4E6A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9</w:t>
            </w:r>
          </w:p>
        </w:tc>
        <w:tc>
          <w:tcPr>
            <w:tcW w:w="3140" w:type="dxa"/>
            <w:vAlign w:val="center"/>
          </w:tcPr>
          <w:p w14:paraId="1BA19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元门乡</w:t>
            </w:r>
          </w:p>
        </w:tc>
        <w:tc>
          <w:tcPr>
            <w:tcW w:w="1580" w:type="dxa"/>
            <w:vAlign w:val="center"/>
          </w:tcPr>
          <w:p w14:paraId="777A4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27551252</w:t>
            </w:r>
          </w:p>
        </w:tc>
      </w:tr>
      <w:tr w14:paraId="43A5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60" w:type="dxa"/>
            <w:vAlign w:val="center"/>
          </w:tcPr>
          <w:p w14:paraId="7D9DC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17</w:t>
            </w:r>
          </w:p>
        </w:tc>
        <w:tc>
          <w:tcPr>
            <w:tcW w:w="2371" w:type="dxa"/>
            <w:vAlign w:val="center"/>
          </w:tcPr>
          <w:p w14:paraId="625D3C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县水务事务中心</w:t>
            </w:r>
          </w:p>
        </w:tc>
        <w:tc>
          <w:tcPr>
            <w:tcW w:w="1637" w:type="dxa"/>
            <w:vAlign w:val="center"/>
          </w:tcPr>
          <w:p w14:paraId="094361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27728911</w:t>
            </w:r>
          </w:p>
        </w:tc>
        <w:tc>
          <w:tcPr>
            <w:tcW w:w="612" w:type="dxa"/>
            <w:vAlign w:val="center"/>
          </w:tcPr>
          <w:p w14:paraId="2C8A5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40</w:t>
            </w:r>
          </w:p>
        </w:tc>
        <w:tc>
          <w:tcPr>
            <w:tcW w:w="3140" w:type="dxa"/>
            <w:vAlign w:val="center"/>
          </w:tcPr>
          <w:p w14:paraId="167FA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金波乡</w:t>
            </w:r>
          </w:p>
        </w:tc>
        <w:tc>
          <w:tcPr>
            <w:tcW w:w="1580" w:type="dxa"/>
            <w:vAlign w:val="center"/>
          </w:tcPr>
          <w:p w14:paraId="63266C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27621075</w:t>
            </w:r>
          </w:p>
        </w:tc>
      </w:tr>
      <w:tr w14:paraId="3BE1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3E94F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18</w:t>
            </w:r>
          </w:p>
        </w:tc>
        <w:tc>
          <w:tcPr>
            <w:tcW w:w="2371" w:type="dxa"/>
            <w:vAlign w:val="center"/>
          </w:tcPr>
          <w:p w14:paraId="2425A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县司法局</w:t>
            </w:r>
          </w:p>
        </w:tc>
        <w:tc>
          <w:tcPr>
            <w:tcW w:w="1637" w:type="dxa"/>
            <w:vAlign w:val="center"/>
          </w:tcPr>
          <w:p w14:paraId="0AE94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27725136</w:t>
            </w:r>
          </w:p>
        </w:tc>
        <w:tc>
          <w:tcPr>
            <w:tcW w:w="612" w:type="dxa"/>
            <w:vAlign w:val="center"/>
          </w:tcPr>
          <w:p w14:paraId="292C4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41</w:t>
            </w:r>
          </w:p>
        </w:tc>
        <w:tc>
          <w:tcPr>
            <w:tcW w:w="3140" w:type="dxa"/>
            <w:vAlign w:val="center"/>
          </w:tcPr>
          <w:p w14:paraId="4A159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荣邦乡</w:t>
            </w:r>
          </w:p>
        </w:tc>
        <w:tc>
          <w:tcPr>
            <w:tcW w:w="1580" w:type="dxa"/>
            <w:vAlign w:val="center"/>
          </w:tcPr>
          <w:p w14:paraId="5E319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27891245</w:t>
            </w:r>
          </w:p>
        </w:tc>
      </w:tr>
      <w:tr w14:paraId="4756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5840E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19</w:t>
            </w:r>
          </w:p>
        </w:tc>
        <w:tc>
          <w:tcPr>
            <w:tcW w:w="2371" w:type="dxa"/>
            <w:vAlign w:val="center"/>
          </w:tcPr>
          <w:p w14:paraId="44B6B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eastAsia="zh-CN"/>
              </w:rPr>
              <w:t>县</w:t>
            </w:r>
            <w:r>
              <w:rPr>
                <w:rFonts w:hint="eastAsia" w:ascii="宋体" w:hAnsi="宋体" w:eastAsia="宋体" w:cs="宋体"/>
                <w:color w:val="auto"/>
                <w:kern w:val="0"/>
                <w:sz w:val="24"/>
                <w:szCs w:val="24"/>
              </w:rPr>
              <w:t>民政局</w:t>
            </w:r>
          </w:p>
        </w:tc>
        <w:tc>
          <w:tcPr>
            <w:tcW w:w="1637" w:type="dxa"/>
            <w:vAlign w:val="center"/>
          </w:tcPr>
          <w:p w14:paraId="70A260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ascii="宋体" w:hAnsi="宋体" w:eastAsia="宋体" w:cs="宋体"/>
                <w:color w:val="000000" w:themeColor="text1"/>
                <w:kern w:val="0"/>
                <w:sz w:val="24"/>
                <w:szCs w:val="24"/>
                <w:shd w:val="clear" w:color="auto" w:fill="auto"/>
                <w:lang w:val="en-US" w:eastAsia="zh-CN" w:bidi="ar-SA"/>
                <w14:textFill>
                  <w14:solidFill>
                    <w14:schemeClr w14:val="tx1"/>
                  </w14:solidFill>
                </w14:textFill>
              </w:rPr>
              <w:t>27722259</w:t>
            </w:r>
          </w:p>
        </w:tc>
        <w:tc>
          <w:tcPr>
            <w:tcW w:w="612" w:type="dxa"/>
            <w:vAlign w:val="center"/>
          </w:tcPr>
          <w:p w14:paraId="288CED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42</w:t>
            </w:r>
          </w:p>
        </w:tc>
        <w:tc>
          <w:tcPr>
            <w:tcW w:w="3140" w:type="dxa"/>
            <w:vAlign w:val="center"/>
          </w:tcPr>
          <w:p w14:paraId="6C48D0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细水乡</w:t>
            </w:r>
          </w:p>
        </w:tc>
        <w:tc>
          <w:tcPr>
            <w:tcW w:w="1580" w:type="dxa"/>
            <w:vAlign w:val="center"/>
          </w:tcPr>
          <w:p w14:paraId="1806A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27589012</w:t>
            </w:r>
          </w:p>
        </w:tc>
      </w:tr>
      <w:tr w14:paraId="2B98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270B9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20</w:t>
            </w:r>
          </w:p>
        </w:tc>
        <w:tc>
          <w:tcPr>
            <w:tcW w:w="2371" w:type="dxa"/>
            <w:vAlign w:val="center"/>
          </w:tcPr>
          <w:p w14:paraId="2B6F0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eastAsia="zh-CN"/>
              </w:rPr>
              <w:t>县旅文局</w:t>
            </w:r>
          </w:p>
        </w:tc>
        <w:tc>
          <w:tcPr>
            <w:tcW w:w="1637" w:type="dxa"/>
            <w:vAlign w:val="center"/>
          </w:tcPr>
          <w:p w14:paraId="569FD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27723425</w:t>
            </w:r>
          </w:p>
        </w:tc>
        <w:tc>
          <w:tcPr>
            <w:tcW w:w="612" w:type="dxa"/>
            <w:vAlign w:val="center"/>
          </w:tcPr>
          <w:p w14:paraId="10778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43</w:t>
            </w:r>
          </w:p>
        </w:tc>
        <w:tc>
          <w:tcPr>
            <w:tcW w:w="3140" w:type="dxa"/>
            <w:vAlign w:val="center"/>
          </w:tcPr>
          <w:p w14:paraId="297E7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阜龙乡</w:t>
            </w:r>
          </w:p>
        </w:tc>
        <w:tc>
          <w:tcPr>
            <w:tcW w:w="1580" w:type="dxa"/>
            <w:vAlign w:val="center"/>
          </w:tcPr>
          <w:p w14:paraId="1BDF0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27591025</w:t>
            </w:r>
          </w:p>
        </w:tc>
      </w:tr>
      <w:tr w14:paraId="4F89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5745DF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rPr>
              <w:t>21</w:t>
            </w:r>
          </w:p>
        </w:tc>
        <w:tc>
          <w:tcPr>
            <w:tcW w:w="2371" w:type="dxa"/>
            <w:vAlign w:val="center"/>
          </w:tcPr>
          <w:p w14:paraId="5F8F6A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团县委</w:t>
            </w:r>
          </w:p>
        </w:tc>
        <w:tc>
          <w:tcPr>
            <w:tcW w:w="1637" w:type="dxa"/>
            <w:vAlign w:val="center"/>
          </w:tcPr>
          <w:p w14:paraId="49AC9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27723129</w:t>
            </w:r>
          </w:p>
        </w:tc>
        <w:tc>
          <w:tcPr>
            <w:tcW w:w="612" w:type="dxa"/>
            <w:vAlign w:val="center"/>
          </w:tcPr>
          <w:p w14:paraId="31C52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44</w:t>
            </w:r>
          </w:p>
        </w:tc>
        <w:tc>
          <w:tcPr>
            <w:tcW w:w="3140" w:type="dxa"/>
            <w:vAlign w:val="center"/>
          </w:tcPr>
          <w:p w14:paraId="43DF6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南开乡</w:t>
            </w:r>
          </w:p>
        </w:tc>
        <w:tc>
          <w:tcPr>
            <w:tcW w:w="1580" w:type="dxa"/>
            <w:vAlign w:val="center"/>
          </w:tcPr>
          <w:p w14:paraId="361F6D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27559001</w:t>
            </w:r>
          </w:p>
        </w:tc>
      </w:tr>
      <w:tr w14:paraId="56FF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60" w:type="dxa"/>
            <w:vAlign w:val="center"/>
          </w:tcPr>
          <w:p w14:paraId="0066A4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22</w:t>
            </w:r>
          </w:p>
        </w:tc>
        <w:tc>
          <w:tcPr>
            <w:tcW w:w="2371" w:type="dxa"/>
            <w:vAlign w:val="center"/>
          </w:tcPr>
          <w:p w14:paraId="450BF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kern w:val="0"/>
                <w:sz w:val="24"/>
                <w:szCs w:val="24"/>
                <w:lang w:val="en-US" w:eastAsia="zh-CN"/>
              </w:rPr>
              <w:t>县市场监督管理局</w:t>
            </w:r>
          </w:p>
        </w:tc>
        <w:tc>
          <w:tcPr>
            <w:tcW w:w="1637" w:type="dxa"/>
            <w:vAlign w:val="center"/>
          </w:tcPr>
          <w:p w14:paraId="5C66DB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27721618</w:t>
            </w:r>
          </w:p>
        </w:tc>
        <w:tc>
          <w:tcPr>
            <w:tcW w:w="612" w:type="dxa"/>
            <w:vAlign w:val="center"/>
          </w:tcPr>
          <w:p w14:paraId="46D672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45</w:t>
            </w:r>
          </w:p>
        </w:tc>
        <w:tc>
          <w:tcPr>
            <w:tcW w:w="3140" w:type="dxa"/>
            <w:vAlign w:val="center"/>
          </w:tcPr>
          <w:p w14:paraId="4E8FE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default" w:ascii="宋体" w:hAnsi="宋体" w:eastAsia="宋体" w:cs="宋体"/>
                <w:kern w:val="0"/>
                <w:sz w:val="24"/>
                <w:szCs w:val="24"/>
                <w:lang w:val="en-US" w:eastAsia="zh-CN" w:bidi="ar-SA"/>
              </w:rPr>
              <w:t>青松乡</w:t>
            </w:r>
          </w:p>
        </w:tc>
        <w:tc>
          <w:tcPr>
            <w:tcW w:w="1580" w:type="dxa"/>
            <w:vAlign w:val="center"/>
          </w:tcPr>
          <w:p w14:paraId="76C38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27606014</w:t>
            </w:r>
          </w:p>
        </w:tc>
      </w:tr>
      <w:tr w14:paraId="07FD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60" w:type="dxa"/>
            <w:vAlign w:val="center"/>
          </w:tcPr>
          <w:p w14:paraId="03466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23</w:t>
            </w:r>
          </w:p>
        </w:tc>
        <w:tc>
          <w:tcPr>
            <w:tcW w:w="2371" w:type="dxa"/>
            <w:vAlign w:val="center"/>
          </w:tcPr>
          <w:p w14:paraId="72B05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县气象局</w:t>
            </w:r>
          </w:p>
        </w:tc>
        <w:tc>
          <w:tcPr>
            <w:tcW w:w="1637" w:type="dxa"/>
            <w:vAlign w:val="center"/>
          </w:tcPr>
          <w:p w14:paraId="6382BC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27721644</w:t>
            </w:r>
          </w:p>
        </w:tc>
        <w:tc>
          <w:tcPr>
            <w:tcW w:w="612" w:type="dxa"/>
            <w:vAlign w:val="center"/>
          </w:tcPr>
          <w:p w14:paraId="11E94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p>
        </w:tc>
        <w:tc>
          <w:tcPr>
            <w:tcW w:w="3140" w:type="dxa"/>
            <w:vAlign w:val="center"/>
          </w:tcPr>
          <w:p w14:paraId="623ED4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宋体"/>
                <w:color w:val="auto"/>
                <w:kern w:val="0"/>
                <w:sz w:val="24"/>
                <w:szCs w:val="24"/>
                <w:lang w:val="en-US" w:eastAsia="zh-CN" w:bidi="ar-SA"/>
              </w:rPr>
            </w:pPr>
          </w:p>
        </w:tc>
        <w:tc>
          <w:tcPr>
            <w:tcW w:w="1580" w:type="dxa"/>
            <w:vAlign w:val="center"/>
          </w:tcPr>
          <w:p w14:paraId="0D5C5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宋体" w:hAnsi="宋体" w:eastAsia="宋体" w:cs="宋体"/>
                <w:color w:val="auto"/>
                <w:kern w:val="0"/>
                <w:sz w:val="24"/>
                <w:szCs w:val="24"/>
                <w:lang w:val="en-US" w:eastAsia="zh-CN" w:bidi="ar-SA"/>
              </w:rPr>
            </w:pPr>
          </w:p>
        </w:tc>
      </w:tr>
    </w:tbl>
    <w:p w14:paraId="3B34C7A0">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outlineLvl w:val="0"/>
        <w:rPr>
          <w:rFonts w:hint="default" w:ascii="仿宋" w:hAnsi="仿宋" w:eastAsia="仿宋" w:cs="Times New Roman"/>
          <w:color w:val="auto"/>
          <w:sz w:val="28"/>
          <w:szCs w:val="28"/>
          <w:lang w:eastAsia="zh-CN"/>
        </w:rPr>
        <w:sectPr>
          <w:pgSz w:w="11910" w:h="16840"/>
          <w:pgMar w:top="1600" w:right="1440" w:bottom="1640" w:left="1420" w:header="0" w:footer="1459" w:gutter="0"/>
          <w:lnNumType w:countBy="0" w:distance="360"/>
          <w:pgNumType w:fmt="numberInDash"/>
          <w:cols w:space="720" w:num="1"/>
        </w:sectPr>
      </w:pPr>
      <w:bookmarkStart w:id="175" w:name="_Toc19812"/>
    </w:p>
    <w:p w14:paraId="4D9C0C16">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黑体" w:hAnsi="黑体" w:eastAsia="黑体" w:cs="Times New Roman"/>
          <w:color w:val="auto"/>
          <w:sz w:val="36"/>
          <w:szCs w:val="36"/>
          <w:lang w:val="en-US" w:eastAsia="zh-CN"/>
        </w:rPr>
      </w:pPr>
      <w:r>
        <w:rPr>
          <w:rFonts w:hint="default" w:ascii="仿宋_GB2312" w:hAnsi="Calibri" w:eastAsia="仿宋_GB2312" w:cs="仿宋_GB2312"/>
          <w:b w:val="0"/>
          <w:bCs w:val="0"/>
          <w:color w:val="auto"/>
          <w:kern w:val="0"/>
          <w:sz w:val="32"/>
          <w:szCs w:val="32"/>
          <w:lang w:val="en-US" w:eastAsia="zh-CN" w:bidi="ar-SA"/>
        </w:rPr>
        <w:t>附件</w:t>
      </w:r>
      <w:r>
        <w:rPr>
          <w:rFonts w:hint="eastAsia" w:ascii="仿宋_GB2312" w:hAnsi="Calibri" w:eastAsia="仿宋_GB2312" w:cs="仿宋_GB2312"/>
          <w:b w:val="0"/>
          <w:bCs w:val="0"/>
          <w:color w:val="auto"/>
          <w:kern w:val="0"/>
          <w:sz w:val="32"/>
          <w:szCs w:val="32"/>
          <w:lang w:val="en-US" w:eastAsia="zh-CN" w:bidi="ar-SA"/>
        </w:rPr>
        <w:t xml:space="preserve">5 </w:t>
      </w:r>
      <w:r>
        <w:rPr>
          <w:rFonts w:hint="eastAsia" w:ascii="黑体" w:hAnsi="黑体" w:eastAsia="黑体" w:cs="Times New Roman"/>
          <w:color w:val="auto"/>
          <w:sz w:val="36"/>
          <w:szCs w:val="36"/>
          <w:lang w:val="en-US" w:eastAsia="zh-CN"/>
        </w:rPr>
        <w:t xml:space="preserve"> </w:t>
      </w:r>
    </w:p>
    <w:p w14:paraId="165B47DD">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r>
        <w:rPr>
          <w:rFonts w:hint="eastAsia" w:ascii="仿宋_GB2312" w:hAnsi="Calibri" w:eastAsia="仿宋_GB2312" w:cs="仿宋_GB2312"/>
          <w:b/>
          <w:bCs/>
          <w:color w:val="auto"/>
          <w:kern w:val="0"/>
          <w:sz w:val="32"/>
          <w:szCs w:val="32"/>
          <w:lang w:val="en-US" w:eastAsia="zh-CN" w:bidi="ar-SA"/>
        </w:rPr>
        <w:t>县</w:t>
      </w:r>
      <w:r>
        <w:rPr>
          <w:rFonts w:hint="default" w:ascii="仿宋_GB2312" w:hAnsi="Calibri" w:eastAsia="仿宋_GB2312" w:cs="仿宋_GB2312"/>
          <w:b/>
          <w:bCs/>
          <w:color w:val="auto"/>
          <w:kern w:val="0"/>
          <w:sz w:val="32"/>
          <w:szCs w:val="32"/>
          <w:lang w:val="en-US" w:eastAsia="zh-CN" w:bidi="ar-SA"/>
        </w:rPr>
        <w:t>专项</w:t>
      </w:r>
      <w:r>
        <w:rPr>
          <w:rFonts w:hint="eastAsia" w:ascii="仿宋_GB2312" w:hAnsi="Calibri" w:eastAsia="仿宋_GB2312" w:cs="仿宋_GB2312"/>
          <w:b/>
          <w:bCs/>
          <w:color w:val="auto"/>
          <w:kern w:val="0"/>
          <w:sz w:val="32"/>
          <w:szCs w:val="32"/>
          <w:lang w:val="en-US" w:eastAsia="zh-CN" w:bidi="ar-SA"/>
        </w:rPr>
        <w:t>应急</w:t>
      </w:r>
      <w:r>
        <w:rPr>
          <w:rFonts w:hint="default" w:ascii="仿宋_GB2312" w:hAnsi="Calibri" w:eastAsia="仿宋_GB2312" w:cs="仿宋_GB2312"/>
          <w:b/>
          <w:bCs/>
          <w:color w:val="auto"/>
          <w:kern w:val="0"/>
          <w:sz w:val="32"/>
          <w:szCs w:val="32"/>
          <w:lang w:val="en-US" w:eastAsia="zh-CN" w:bidi="ar-SA"/>
        </w:rPr>
        <w:t>指挥机构和应急主管部门</w:t>
      </w:r>
      <w:r>
        <w:rPr>
          <w:rFonts w:hint="eastAsia" w:ascii="仿宋_GB2312" w:hAnsi="Calibri" w:eastAsia="仿宋_GB2312" w:cs="仿宋_GB2312"/>
          <w:b/>
          <w:bCs/>
          <w:color w:val="auto"/>
          <w:kern w:val="0"/>
          <w:sz w:val="32"/>
          <w:szCs w:val="32"/>
          <w:lang w:val="en-US" w:eastAsia="zh-CN" w:bidi="ar-SA"/>
        </w:rPr>
        <w:t>关系表</w:t>
      </w:r>
      <w:bookmarkEnd w:id="175"/>
    </w:p>
    <w:tbl>
      <w:tblPr>
        <w:tblStyle w:val="16"/>
        <w:tblW w:w="1005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74"/>
        <w:gridCol w:w="1579"/>
        <w:gridCol w:w="1929"/>
        <w:gridCol w:w="2683"/>
        <w:gridCol w:w="1860"/>
        <w:gridCol w:w="1425"/>
      </w:tblGrid>
      <w:tr w14:paraId="60AE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0" w:hRule="atLeast"/>
          <w:tblCellSpacing w:w="0" w:type="dxa"/>
          <w:jc w:val="center"/>
        </w:trPr>
        <w:tc>
          <w:tcPr>
            <w:tcW w:w="574" w:type="dxa"/>
            <w:shd w:val="clear" w:color="auto" w:fill="auto"/>
            <w:tcMar>
              <w:top w:w="0" w:type="dxa"/>
              <w:left w:w="105" w:type="dxa"/>
              <w:bottom w:w="0" w:type="dxa"/>
              <w:right w:w="105" w:type="dxa"/>
            </w:tcMar>
            <w:vAlign w:val="center"/>
          </w:tcPr>
          <w:p w14:paraId="0A3116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序号</w:t>
            </w:r>
          </w:p>
        </w:tc>
        <w:tc>
          <w:tcPr>
            <w:tcW w:w="1579" w:type="dxa"/>
            <w:shd w:val="clear" w:color="auto" w:fill="auto"/>
            <w:tcMar>
              <w:top w:w="0" w:type="dxa"/>
              <w:left w:w="105" w:type="dxa"/>
              <w:bottom w:w="0" w:type="dxa"/>
              <w:right w:w="105" w:type="dxa"/>
            </w:tcMar>
            <w:vAlign w:val="center"/>
          </w:tcPr>
          <w:p w14:paraId="23F6C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自然灾害类</w:t>
            </w:r>
          </w:p>
        </w:tc>
        <w:tc>
          <w:tcPr>
            <w:tcW w:w="1929" w:type="dxa"/>
            <w:shd w:val="clear" w:color="auto" w:fill="auto"/>
            <w:tcMar>
              <w:top w:w="0" w:type="dxa"/>
              <w:left w:w="105" w:type="dxa"/>
              <w:bottom w:w="0" w:type="dxa"/>
              <w:right w:w="105" w:type="dxa"/>
            </w:tcMar>
            <w:vAlign w:val="center"/>
          </w:tcPr>
          <w:p w14:paraId="355F9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应急主管部门</w:t>
            </w:r>
          </w:p>
        </w:tc>
        <w:tc>
          <w:tcPr>
            <w:tcW w:w="2683" w:type="dxa"/>
            <w:shd w:val="clear" w:color="auto" w:fill="auto"/>
            <w:tcMar>
              <w:top w:w="0" w:type="dxa"/>
              <w:left w:w="105" w:type="dxa"/>
              <w:bottom w:w="0" w:type="dxa"/>
              <w:right w:w="105" w:type="dxa"/>
            </w:tcMar>
            <w:vAlign w:val="center"/>
          </w:tcPr>
          <w:p w14:paraId="3F9E9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应急协管部门</w:t>
            </w:r>
          </w:p>
        </w:tc>
        <w:tc>
          <w:tcPr>
            <w:tcW w:w="1860" w:type="dxa"/>
            <w:shd w:val="clear" w:color="auto" w:fill="auto"/>
            <w:tcMar>
              <w:top w:w="0" w:type="dxa"/>
              <w:left w:w="105" w:type="dxa"/>
              <w:bottom w:w="0" w:type="dxa"/>
              <w:right w:w="105" w:type="dxa"/>
            </w:tcMar>
            <w:vAlign w:val="center"/>
          </w:tcPr>
          <w:p w14:paraId="1719F0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专项指挥机构</w:t>
            </w:r>
          </w:p>
        </w:tc>
        <w:tc>
          <w:tcPr>
            <w:tcW w:w="1425" w:type="dxa"/>
            <w:shd w:val="clear" w:color="auto" w:fill="auto"/>
            <w:vAlign w:val="center"/>
          </w:tcPr>
          <w:p w14:paraId="569528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lang w:eastAsia="zh-CN"/>
              </w:rPr>
            </w:pPr>
            <w:r>
              <w:rPr>
                <w:rFonts w:hint="eastAsia" w:ascii="仿宋" w:hAnsi="仿宋" w:eastAsia="仿宋" w:cs="仿宋"/>
                <w:b/>
                <w:color w:val="333333"/>
                <w:kern w:val="0"/>
                <w:sz w:val="21"/>
                <w:szCs w:val="21"/>
                <w:u w:val="none"/>
                <w:lang w:val="en-US" w:eastAsia="zh-CN" w:bidi="ar-SA"/>
              </w:rPr>
              <w:t>属地单位</w:t>
            </w:r>
          </w:p>
        </w:tc>
      </w:tr>
      <w:tr w14:paraId="380E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CellSpacing w:w="0" w:type="dxa"/>
          <w:jc w:val="center"/>
        </w:trPr>
        <w:tc>
          <w:tcPr>
            <w:tcW w:w="574" w:type="dxa"/>
            <w:shd w:val="clear" w:color="auto" w:fill="auto"/>
            <w:tcMar>
              <w:top w:w="0" w:type="dxa"/>
              <w:left w:w="105" w:type="dxa"/>
              <w:bottom w:w="0" w:type="dxa"/>
              <w:right w:w="105" w:type="dxa"/>
            </w:tcMar>
            <w:vAlign w:val="center"/>
          </w:tcPr>
          <w:p w14:paraId="53109F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p>
        </w:tc>
        <w:tc>
          <w:tcPr>
            <w:tcW w:w="1579" w:type="dxa"/>
            <w:shd w:val="clear" w:color="auto" w:fill="auto"/>
            <w:tcMar>
              <w:top w:w="0" w:type="dxa"/>
              <w:left w:w="105" w:type="dxa"/>
              <w:bottom w:w="0" w:type="dxa"/>
              <w:right w:w="105" w:type="dxa"/>
            </w:tcMar>
            <w:vAlign w:val="center"/>
          </w:tcPr>
          <w:p w14:paraId="6DF8D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水利工程险情</w:t>
            </w:r>
          </w:p>
        </w:tc>
        <w:tc>
          <w:tcPr>
            <w:tcW w:w="1929" w:type="dxa"/>
            <w:shd w:val="clear" w:color="auto" w:fill="auto"/>
            <w:tcMar>
              <w:top w:w="0" w:type="dxa"/>
              <w:left w:w="105" w:type="dxa"/>
              <w:bottom w:w="0" w:type="dxa"/>
              <w:right w:w="105" w:type="dxa"/>
            </w:tcMar>
            <w:vAlign w:val="center"/>
          </w:tcPr>
          <w:p w14:paraId="7E969D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highlight w:val="yellow"/>
                <w:lang w:val="en-US" w:eastAsia="zh-CN" w:bidi="ar-SA"/>
              </w:rPr>
            </w:pPr>
            <w:r>
              <w:rPr>
                <w:rFonts w:hint="eastAsia" w:ascii="仿宋" w:hAnsi="仿宋" w:eastAsia="仿宋" w:cs="仿宋"/>
                <w:color w:val="333333"/>
                <w:kern w:val="0"/>
                <w:sz w:val="21"/>
                <w:szCs w:val="21"/>
                <w:u w:val="none"/>
                <w:lang w:val="en-US" w:eastAsia="zh-CN" w:bidi="ar-SA"/>
              </w:rPr>
              <w:t>县水务事务中心牵头</w:t>
            </w:r>
          </w:p>
        </w:tc>
        <w:tc>
          <w:tcPr>
            <w:tcW w:w="2683" w:type="dxa"/>
            <w:shd w:val="clear" w:color="auto" w:fill="auto"/>
            <w:tcMar>
              <w:top w:w="0" w:type="dxa"/>
              <w:left w:w="105" w:type="dxa"/>
              <w:bottom w:w="0" w:type="dxa"/>
              <w:right w:w="105" w:type="dxa"/>
            </w:tcMar>
            <w:vAlign w:val="center"/>
          </w:tcPr>
          <w:p w14:paraId="4EC1E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县应急管理局</w:t>
            </w:r>
          </w:p>
        </w:tc>
        <w:tc>
          <w:tcPr>
            <w:tcW w:w="1860" w:type="dxa"/>
            <w:shd w:val="clear" w:color="auto" w:fill="auto"/>
            <w:tcMar>
              <w:top w:w="0" w:type="dxa"/>
              <w:left w:w="105" w:type="dxa"/>
              <w:bottom w:w="0" w:type="dxa"/>
              <w:right w:w="105" w:type="dxa"/>
            </w:tcMar>
            <w:vAlign w:val="center"/>
          </w:tcPr>
          <w:p w14:paraId="7EFDB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r>
              <w:rPr>
                <w:rFonts w:hint="eastAsia" w:ascii="仿宋" w:hAnsi="仿宋" w:eastAsia="仿宋" w:cs="仿宋"/>
                <w:color w:val="333333"/>
                <w:sz w:val="21"/>
                <w:szCs w:val="21"/>
                <w:u w:val="none"/>
                <w:lang w:eastAsia="zh-CN"/>
              </w:rPr>
              <w:t>县</w:t>
            </w:r>
            <w:r>
              <w:rPr>
                <w:rFonts w:hint="eastAsia" w:ascii="仿宋" w:hAnsi="仿宋" w:eastAsia="仿宋" w:cs="仿宋"/>
                <w:color w:val="333333"/>
                <w:sz w:val="21"/>
                <w:szCs w:val="21"/>
                <w:u w:val="none"/>
              </w:rPr>
              <w:t>防汛防</w:t>
            </w:r>
            <w:r>
              <w:rPr>
                <w:rFonts w:hint="eastAsia" w:ascii="仿宋" w:hAnsi="仿宋" w:eastAsia="仿宋" w:cs="仿宋"/>
                <w:color w:val="333333"/>
                <w:sz w:val="21"/>
                <w:szCs w:val="21"/>
                <w:u w:val="none"/>
                <w:lang w:eastAsia="zh-CN"/>
              </w:rPr>
              <w:t>风防</w:t>
            </w:r>
            <w:r>
              <w:rPr>
                <w:rFonts w:hint="eastAsia" w:ascii="仿宋" w:hAnsi="仿宋" w:eastAsia="仿宋" w:cs="仿宋"/>
                <w:color w:val="333333"/>
                <w:sz w:val="21"/>
                <w:szCs w:val="21"/>
                <w:u w:val="none"/>
              </w:rPr>
              <w:t>旱指挥部</w:t>
            </w:r>
          </w:p>
        </w:tc>
        <w:tc>
          <w:tcPr>
            <w:tcW w:w="1425" w:type="dxa"/>
            <w:shd w:val="clear" w:color="auto" w:fill="auto"/>
            <w:vAlign w:val="center"/>
          </w:tcPr>
          <w:p w14:paraId="0300C3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20BB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21" w:hRule="atLeast"/>
          <w:tblCellSpacing w:w="0" w:type="dxa"/>
          <w:jc w:val="center"/>
        </w:trPr>
        <w:tc>
          <w:tcPr>
            <w:tcW w:w="574" w:type="dxa"/>
            <w:shd w:val="clear" w:color="auto" w:fill="auto"/>
            <w:tcMar>
              <w:top w:w="0" w:type="dxa"/>
              <w:left w:w="105" w:type="dxa"/>
              <w:bottom w:w="0" w:type="dxa"/>
              <w:right w:w="105" w:type="dxa"/>
            </w:tcMar>
            <w:vAlign w:val="center"/>
          </w:tcPr>
          <w:p w14:paraId="284016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p>
        </w:tc>
        <w:tc>
          <w:tcPr>
            <w:tcW w:w="1579" w:type="dxa"/>
            <w:shd w:val="clear" w:color="auto" w:fill="auto"/>
            <w:tcMar>
              <w:top w:w="0" w:type="dxa"/>
              <w:left w:w="105" w:type="dxa"/>
              <w:bottom w:w="0" w:type="dxa"/>
              <w:right w:w="105" w:type="dxa"/>
            </w:tcMar>
            <w:vAlign w:val="center"/>
          </w:tcPr>
          <w:p w14:paraId="6C9A4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水风旱灾害</w:t>
            </w:r>
          </w:p>
        </w:tc>
        <w:tc>
          <w:tcPr>
            <w:tcW w:w="1929" w:type="dxa"/>
            <w:vMerge w:val="restart"/>
            <w:shd w:val="clear" w:color="auto" w:fill="auto"/>
            <w:tcMar>
              <w:top w:w="0" w:type="dxa"/>
              <w:left w:w="105" w:type="dxa"/>
              <w:bottom w:w="0" w:type="dxa"/>
              <w:right w:w="105" w:type="dxa"/>
            </w:tcMar>
            <w:vAlign w:val="center"/>
          </w:tcPr>
          <w:p w14:paraId="04479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县应急管理局</w:t>
            </w:r>
          </w:p>
        </w:tc>
        <w:tc>
          <w:tcPr>
            <w:tcW w:w="2683" w:type="dxa"/>
            <w:shd w:val="clear" w:color="auto" w:fill="auto"/>
            <w:tcMar>
              <w:top w:w="0" w:type="dxa"/>
              <w:left w:w="105" w:type="dxa"/>
              <w:bottom w:w="0" w:type="dxa"/>
              <w:right w:w="105" w:type="dxa"/>
            </w:tcMar>
            <w:vAlign w:val="center"/>
          </w:tcPr>
          <w:p w14:paraId="619A8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highlight w:val="yellow"/>
                <w:lang w:val="en-US" w:eastAsia="zh-CN" w:bidi="ar-SA"/>
              </w:rPr>
            </w:pPr>
            <w:r>
              <w:rPr>
                <w:rFonts w:hint="eastAsia" w:ascii="仿宋" w:hAnsi="仿宋" w:eastAsia="仿宋" w:cs="仿宋"/>
                <w:color w:val="333333"/>
                <w:kern w:val="0"/>
                <w:sz w:val="21"/>
                <w:szCs w:val="21"/>
                <w:u w:val="none"/>
                <w:lang w:val="en-US" w:eastAsia="zh-CN" w:bidi="ar-SA"/>
              </w:rPr>
              <w:t>县水务事务中心等指挥部成员单位</w:t>
            </w:r>
          </w:p>
        </w:tc>
        <w:tc>
          <w:tcPr>
            <w:tcW w:w="1860" w:type="dxa"/>
            <w:shd w:val="clear" w:color="auto" w:fill="auto"/>
            <w:tcMar>
              <w:top w:w="0" w:type="dxa"/>
              <w:left w:w="105" w:type="dxa"/>
              <w:bottom w:w="0" w:type="dxa"/>
              <w:right w:w="105" w:type="dxa"/>
            </w:tcMar>
            <w:vAlign w:val="center"/>
          </w:tcPr>
          <w:p w14:paraId="2E4678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县防汛防风防旱指挥部</w:t>
            </w:r>
          </w:p>
        </w:tc>
        <w:tc>
          <w:tcPr>
            <w:tcW w:w="1425" w:type="dxa"/>
            <w:shd w:val="clear" w:color="auto" w:fill="auto"/>
            <w:vAlign w:val="center"/>
          </w:tcPr>
          <w:p w14:paraId="6DE87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282A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67" w:hRule="atLeast"/>
          <w:tblCellSpacing w:w="0" w:type="dxa"/>
          <w:jc w:val="center"/>
        </w:trPr>
        <w:tc>
          <w:tcPr>
            <w:tcW w:w="574" w:type="dxa"/>
            <w:shd w:val="clear" w:color="auto" w:fill="auto"/>
            <w:tcMar>
              <w:top w:w="0" w:type="dxa"/>
              <w:left w:w="105" w:type="dxa"/>
              <w:bottom w:w="0" w:type="dxa"/>
              <w:right w:w="105" w:type="dxa"/>
            </w:tcMar>
            <w:vAlign w:val="center"/>
          </w:tcPr>
          <w:p w14:paraId="7A2CD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p>
        </w:tc>
        <w:tc>
          <w:tcPr>
            <w:tcW w:w="1579" w:type="dxa"/>
            <w:shd w:val="clear" w:color="auto" w:fill="auto"/>
            <w:tcMar>
              <w:top w:w="0" w:type="dxa"/>
              <w:left w:w="105" w:type="dxa"/>
              <w:bottom w:w="0" w:type="dxa"/>
              <w:right w:w="105" w:type="dxa"/>
            </w:tcMar>
            <w:vAlign w:val="center"/>
          </w:tcPr>
          <w:p w14:paraId="17E66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气象灾害</w:t>
            </w:r>
          </w:p>
        </w:tc>
        <w:tc>
          <w:tcPr>
            <w:tcW w:w="1929" w:type="dxa"/>
            <w:vMerge w:val="continue"/>
            <w:shd w:val="clear" w:color="auto" w:fill="auto"/>
            <w:tcMar>
              <w:top w:w="0" w:type="dxa"/>
              <w:left w:w="105" w:type="dxa"/>
              <w:bottom w:w="0" w:type="dxa"/>
              <w:right w:w="105" w:type="dxa"/>
            </w:tcMar>
            <w:vAlign w:val="center"/>
          </w:tcPr>
          <w:p w14:paraId="4D92C8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360C4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县气象局等指挥部成员单位</w:t>
            </w:r>
          </w:p>
        </w:tc>
        <w:tc>
          <w:tcPr>
            <w:tcW w:w="1860" w:type="dxa"/>
            <w:shd w:val="clear" w:color="auto" w:fill="auto"/>
            <w:tcMar>
              <w:top w:w="0" w:type="dxa"/>
              <w:left w:w="105" w:type="dxa"/>
              <w:bottom w:w="0" w:type="dxa"/>
              <w:right w:w="105" w:type="dxa"/>
            </w:tcMar>
            <w:vAlign w:val="center"/>
          </w:tcPr>
          <w:p w14:paraId="7BFDD7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县防汛防风防旱指挥部</w:t>
            </w:r>
          </w:p>
        </w:tc>
        <w:tc>
          <w:tcPr>
            <w:tcW w:w="1425" w:type="dxa"/>
            <w:shd w:val="clear" w:color="auto" w:fill="auto"/>
            <w:vAlign w:val="center"/>
          </w:tcPr>
          <w:p w14:paraId="166AA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7DAC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9" w:hRule="atLeast"/>
          <w:tblCellSpacing w:w="0" w:type="dxa"/>
          <w:jc w:val="center"/>
        </w:trPr>
        <w:tc>
          <w:tcPr>
            <w:tcW w:w="574" w:type="dxa"/>
            <w:shd w:val="clear" w:color="auto" w:fill="auto"/>
            <w:tcMar>
              <w:top w:w="0" w:type="dxa"/>
              <w:left w:w="105" w:type="dxa"/>
              <w:bottom w:w="0" w:type="dxa"/>
              <w:right w:w="105" w:type="dxa"/>
            </w:tcMar>
            <w:vAlign w:val="center"/>
          </w:tcPr>
          <w:p w14:paraId="508E60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4</w:t>
            </w:r>
          </w:p>
        </w:tc>
        <w:tc>
          <w:tcPr>
            <w:tcW w:w="1579" w:type="dxa"/>
            <w:shd w:val="clear" w:color="auto" w:fill="auto"/>
            <w:tcMar>
              <w:top w:w="0" w:type="dxa"/>
              <w:left w:w="105" w:type="dxa"/>
              <w:bottom w:w="0" w:type="dxa"/>
              <w:right w:w="105" w:type="dxa"/>
            </w:tcMar>
            <w:vAlign w:val="center"/>
          </w:tcPr>
          <w:p w14:paraId="104DA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地震灾害</w:t>
            </w:r>
          </w:p>
        </w:tc>
        <w:tc>
          <w:tcPr>
            <w:tcW w:w="1929" w:type="dxa"/>
            <w:vMerge w:val="continue"/>
            <w:shd w:val="clear" w:color="auto" w:fill="auto"/>
            <w:tcMar>
              <w:top w:w="0" w:type="dxa"/>
              <w:left w:w="105" w:type="dxa"/>
              <w:bottom w:w="0" w:type="dxa"/>
              <w:right w:w="105" w:type="dxa"/>
            </w:tcMar>
            <w:vAlign w:val="center"/>
          </w:tcPr>
          <w:p w14:paraId="5557B7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54467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指挥部各成员单位</w:t>
            </w:r>
          </w:p>
        </w:tc>
        <w:tc>
          <w:tcPr>
            <w:tcW w:w="1860" w:type="dxa"/>
            <w:shd w:val="clear" w:color="auto" w:fill="auto"/>
            <w:tcMar>
              <w:top w:w="0" w:type="dxa"/>
              <w:left w:w="105" w:type="dxa"/>
              <w:bottom w:w="0" w:type="dxa"/>
              <w:right w:w="105" w:type="dxa"/>
            </w:tcMar>
            <w:vAlign w:val="center"/>
          </w:tcPr>
          <w:p w14:paraId="17DAA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县抗震救灾指挥部</w:t>
            </w:r>
          </w:p>
        </w:tc>
        <w:tc>
          <w:tcPr>
            <w:tcW w:w="1425" w:type="dxa"/>
            <w:shd w:val="clear" w:color="auto" w:fill="auto"/>
            <w:vAlign w:val="center"/>
          </w:tcPr>
          <w:p w14:paraId="1519A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632C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8" w:hRule="atLeast"/>
          <w:tblCellSpacing w:w="0" w:type="dxa"/>
          <w:jc w:val="center"/>
        </w:trPr>
        <w:tc>
          <w:tcPr>
            <w:tcW w:w="574" w:type="dxa"/>
            <w:shd w:val="clear" w:color="auto" w:fill="auto"/>
            <w:tcMar>
              <w:top w:w="0" w:type="dxa"/>
              <w:left w:w="105" w:type="dxa"/>
              <w:bottom w:w="0" w:type="dxa"/>
              <w:right w:w="105" w:type="dxa"/>
            </w:tcMar>
            <w:vAlign w:val="center"/>
          </w:tcPr>
          <w:p w14:paraId="5A01B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5</w:t>
            </w:r>
          </w:p>
        </w:tc>
        <w:tc>
          <w:tcPr>
            <w:tcW w:w="1579" w:type="dxa"/>
            <w:shd w:val="clear" w:color="auto" w:fill="auto"/>
            <w:tcMar>
              <w:top w:w="0" w:type="dxa"/>
              <w:left w:w="105" w:type="dxa"/>
              <w:bottom w:w="0" w:type="dxa"/>
              <w:right w:w="105" w:type="dxa"/>
            </w:tcMar>
            <w:vAlign w:val="center"/>
          </w:tcPr>
          <w:p w14:paraId="588A5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地质灾害</w:t>
            </w:r>
          </w:p>
        </w:tc>
        <w:tc>
          <w:tcPr>
            <w:tcW w:w="1929" w:type="dxa"/>
            <w:vMerge w:val="continue"/>
            <w:shd w:val="clear" w:color="auto" w:fill="auto"/>
            <w:tcMar>
              <w:top w:w="0" w:type="dxa"/>
              <w:left w:w="105" w:type="dxa"/>
              <w:bottom w:w="0" w:type="dxa"/>
              <w:right w:w="105" w:type="dxa"/>
            </w:tcMar>
            <w:vAlign w:val="center"/>
          </w:tcPr>
          <w:p w14:paraId="1DE8E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11B2C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县自然资源和规划局、县气象局等成员单位</w:t>
            </w:r>
          </w:p>
        </w:tc>
        <w:tc>
          <w:tcPr>
            <w:tcW w:w="1860" w:type="dxa"/>
            <w:shd w:val="clear" w:color="auto" w:fill="auto"/>
            <w:tcMar>
              <w:top w:w="0" w:type="dxa"/>
              <w:left w:w="105" w:type="dxa"/>
              <w:bottom w:w="0" w:type="dxa"/>
              <w:right w:w="105" w:type="dxa"/>
            </w:tcMar>
            <w:vAlign w:val="center"/>
          </w:tcPr>
          <w:p w14:paraId="79971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县地质灾害应急领导小组</w:t>
            </w:r>
          </w:p>
        </w:tc>
        <w:tc>
          <w:tcPr>
            <w:tcW w:w="1425" w:type="dxa"/>
            <w:shd w:val="clear" w:color="auto" w:fill="auto"/>
            <w:vAlign w:val="center"/>
          </w:tcPr>
          <w:p w14:paraId="1941B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7E5D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3" w:hRule="atLeast"/>
          <w:tblCellSpacing w:w="0" w:type="dxa"/>
          <w:jc w:val="center"/>
        </w:trPr>
        <w:tc>
          <w:tcPr>
            <w:tcW w:w="574" w:type="dxa"/>
            <w:shd w:val="clear" w:color="auto" w:fill="auto"/>
            <w:tcMar>
              <w:top w:w="0" w:type="dxa"/>
              <w:left w:w="105" w:type="dxa"/>
              <w:bottom w:w="0" w:type="dxa"/>
              <w:right w:w="105" w:type="dxa"/>
            </w:tcMar>
            <w:vAlign w:val="center"/>
          </w:tcPr>
          <w:p w14:paraId="45A0E1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6</w:t>
            </w:r>
          </w:p>
        </w:tc>
        <w:tc>
          <w:tcPr>
            <w:tcW w:w="1579" w:type="dxa"/>
            <w:shd w:val="clear" w:color="auto" w:fill="auto"/>
            <w:tcMar>
              <w:top w:w="0" w:type="dxa"/>
              <w:left w:w="105" w:type="dxa"/>
              <w:bottom w:w="0" w:type="dxa"/>
              <w:right w:w="105" w:type="dxa"/>
            </w:tcMar>
            <w:vAlign w:val="center"/>
          </w:tcPr>
          <w:p w14:paraId="7149C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森林火灾</w:t>
            </w:r>
          </w:p>
        </w:tc>
        <w:tc>
          <w:tcPr>
            <w:tcW w:w="1929" w:type="dxa"/>
            <w:vMerge w:val="continue"/>
            <w:shd w:val="clear" w:color="auto" w:fill="auto"/>
            <w:tcMar>
              <w:top w:w="0" w:type="dxa"/>
              <w:left w:w="105" w:type="dxa"/>
              <w:bottom w:w="0" w:type="dxa"/>
              <w:right w:w="105" w:type="dxa"/>
            </w:tcMar>
            <w:vAlign w:val="center"/>
          </w:tcPr>
          <w:p w14:paraId="0E80F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41308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指挥部成员单位</w:t>
            </w:r>
          </w:p>
        </w:tc>
        <w:tc>
          <w:tcPr>
            <w:tcW w:w="1860" w:type="dxa"/>
            <w:shd w:val="clear" w:color="auto" w:fill="auto"/>
            <w:tcMar>
              <w:top w:w="0" w:type="dxa"/>
              <w:left w:w="105" w:type="dxa"/>
              <w:bottom w:w="0" w:type="dxa"/>
              <w:right w:w="105" w:type="dxa"/>
            </w:tcMar>
            <w:vAlign w:val="center"/>
          </w:tcPr>
          <w:p w14:paraId="327AD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县森林防灭火指挥部</w:t>
            </w:r>
          </w:p>
        </w:tc>
        <w:tc>
          <w:tcPr>
            <w:tcW w:w="1425" w:type="dxa"/>
            <w:shd w:val="clear" w:color="auto" w:fill="auto"/>
            <w:vAlign w:val="center"/>
          </w:tcPr>
          <w:p w14:paraId="0A4B5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1FF6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0" w:hRule="atLeast"/>
          <w:tblCellSpacing w:w="0" w:type="dxa"/>
          <w:jc w:val="center"/>
        </w:trPr>
        <w:tc>
          <w:tcPr>
            <w:tcW w:w="574" w:type="dxa"/>
            <w:vMerge w:val="restart"/>
            <w:shd w:val="clear" w:color="auto" w:fill="auto"/>
            <w:tcMar>
              <w:top w:w="0" w:type="dxa"/>
              <w:left w:w="105" w:type="dxa"/>
              <w:bottom w:w="0" w:type="dxa"/>
              <w:right w:w="105" w:type="dxa"/>
            </w:tcMar>
            <w:vAlign w:val="center"/>
          </w:tcPr>
          <w:p w14:paraId="3BE09D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7</w:t>
            </w:r>
          </w:p>
        </w:tc>
        <w:tc>
          <w:tcPr>
            <w:tcW w:w="1579" w:type="dxa"/>
            <w:vMerge w:val="restart"/>
            <w:shd w:val="clear" w:color="auto" w:fill="auto"/>
            <w:tcMar>
              <w:top w:w="0" w:type="dxa"/>
              <w:left w:w="105" w:type="dxa"/>
              <w:bottom w:w="0" w:type="dxa"/>
              <w:right w:w="105" w:type="dxa"/>
            </w:tcMar>
            <w:vAlign w:val="center"/>
          </w:tcPr>
          <w:p w14:paraId="33503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生物灾害</w:t>
            </w:r>
          </w:p>
        </w:tc>
        <w:tc>
          <w:tcPr>
            <w:tcW w:w="1929" w:type="dxa"/>
            <w:shd w:val="clear" w:color="auto" w:fill="auto"/>
            <w:tcMar>
              <w:top w:w="0" w:type="dxa"/>
              <w:left w:w="105" w:type="dxa"/>
              <w:bottom w:w="0" w:type="dxa"/>
              <w:right w:w="105" w:type="dxa"/>
            </w:tcMar>
            <w:vAlign w:val="center"/>
          </w:tcPr>
          <w:p w14:paraId="2FC8F0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县农业农村局</w:t>
            </w:r>
          </w:p>
          <w:p w14:paraId="7CB40A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（农业生物灾害）</w:t>
            </w:r>
          </w:p>
        </w:tc>
        <w:tc>
          <w:tcPr>
            <w:tcW w:w="2683" w:type="dxa"/>
            <w:vMerge w:val="restart"/>
            <w:shd w:val="clear" w:color="auto" w:fill="auto"/>
            <w:tcMar>
              <w:top w:w="0" w:type="dxa"/>
              <w:left w:w="105" w:type="dxa"/>
              <w:bottom w:w="0" w:type="dxa"/>
              <w:right w:w="105" w:type="dxa"/>
            </w:tcMar>
            <w:vAlign w:val="center"/>
          </w:tcPr>
          <w:p w14:paraId="516CA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县商务局、县卫生健康委、县交通运输局等</w:t>
            </w:r>
          </w:p>
        </w:tc>
        <w:tc>
          <w:tcPr>
            <w:tcW w:w="1860" w:type="dxa"/>
            <w:vMerge w:val="restart"/>
            <w:shd w:val="clear" w:color="auto" w:fill="auto"/>
            <w:tcMar>
              <w:top w:w="0" w:type="dxa"/>
              <w:left w:w="105" w:type="dxa"/>
              <w:bottom w:w="0" w:type="dxa"/>
              <w:right w:w="105" w:type="dxa"/>
            </w:tcMar>
            <w:vAlign w:val="center"/>
          </w:tcPr>
          <w:p w14:paraId="719DDA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vAlign w:val="center"/>
          </w:tcPr>
          <w:p w14:paraId="6FBCCC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仿宋" w:hAnsi="仿宋" w:eastAsia="仿宋" w:cs="仿宋"/>
                <w:color w:val="333333"/>
                <w:sz w:val="21"/>
                <w:szCs w:val="21"/>
                <w:u w:val="none"/>
              </w:rPr>
            </w:pPr>
            <w:r>
              <w:rPr>
                <w:rFonts w:hint="default" w:ascii="仿宋" w:hAnsi="仿宋" w:eastAsia="仿宋" w:cs="仿宋"/>
                <w:color w:val="333333"/>
                <w:kern w:val="0"/>
                <w:sz w:val="21"/>
                <w:szCs w:val="21"/>
                <w:u w:val="none"/>
                <w:lang w:val="en-US" w:eastAsia="zh-CN" w:bidi="ar-SA"/>
              </w:rPr>
              <w:t>事发地乡镇政府</w:t>
            </w:r>
          </w:p>
        </w:tc>
      </w:tr>
      <w:tr w14:paraId="3B14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90" w:hRule="atLeast"/>
          <w:tblCellSpacing w:w="0" w:type="dxa"/>
          <w:jc w:val="center"/>
        </w:trPr>
        <w:tc>
          <w:tcPr>
            <w:tcW w:w="574" w:type="dxa"/>
            <w:vMerge w:val="continue"/>
            <w:shd w:val="clear" w:color="auto" w:fill="auto"/>
            <w:tcMar>
              <w:top w:w="0" w:type="dxa"/>
              <w:left w:w="105" w:type="dxa"/>
              <w:bottom w:w="0" w:type="dxa"/>
              <w:right w:w="105" w:type="dxa"/>
            </w:tcMar>
            <w:vAlign w:val="center"/>
          </w:tcPr>
          <w:p w14:paraId="724727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579" w:type="dxa"/>
            <w:vMerge w:val="continue"/>
            <w:shd w:val="clear" w:color="auto" w:fill="auto"/>
            <w:tcMar>
              <w:top w:w="0" w:type="dxa"/>
              <w:left w:w="105" w:type="dxa"/>
              <w:bottom w:w="0" w:type="dxa"/>
              <w:right w:w="105" w:type="dxa"/>
            </w:tcMar>
            <w:vAlign w:val="center"/>
          </w:tcPr>
          <w:p w14:paraId="7F0F50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929" w:type="dxa"/>
            <w:shd w:val="clear" w:color="auto" w:fill="auto"/>
            <w:tcMar>
              <w:top w:w="0" w:type="dxa"/>
              <w:left w:w="105" w:type="dxa"/>
              <w:bottom w:w="0" w:type="dxa"/>
              <w:right w:w="105" w:type="dxa"/>
            </w:tcMar>
            <w:vAlign w:val="center"/>
          </w:tcPr>
          <w:p w14:paraId="5DA75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县自然资源和规划局（林业生物灾害）</w:t>
            </w:r>
          </w:p>
        </w:tc>
        <w:tc>
          <w:tcPr>
            <w:tcW w:w="2683" w:type="dxa"/>
            <w:vMerge w:val="continue"/>
            <w:shd w:val="clear" w:color="auto" w:fill="auto"/>
            <w:tcMar>
              <w:top w:w="0" w:type="dxa"/>
              <w:left w:w="105" w:type="dxa"/>
              <w:bottom w:w="0" w:type="dxa"/>
              <w:right w:w="105" w:type="dxa"/>
            </w:tcMar>
            <w:vAlign w:val="center"/>
          </w:tcPr>
          <w:p w14:paraId="29225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860" w:type="dxa"/>
            <w:vMerge w:val="continue"/>
            <w:shd w:val="clear" w:color="auto" w:fill="auto"/>
            <w:tcMar>
              <w:top w:w="0" w:type="dxa"/>
              <w:left w:w="105" w:type="dxa"/>
              <w:bottom w:w="0" w:type="dxa"/>
              <w:right w:w="105" w:type="dxa"/>
            </w:tcMar>
            <w:vAlign w:val="center"/>
          </w:tcPr>
          <w:p w14:paraId="6C629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425" w:type="dxa"/>
            <w:shd w:val="clear" w:color="auto" w:fill="auto"/>
            <w:vAlign w:val="center"/>
          </w:tcPr>
          <w:p w14:paraId="3A943F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仿宋" w:hAnsi="仿宋" w:eastAsia="仿宋" w:cs="仿宋"/>
                <w:color w:val="333333"/>
                <w:sz w:val="21"/>
                <w:szCs w:val="21"/>
                <w:u w:val="none"/>
              </w:rPr>
            </w:pPr>
            <w:r>
              <w:rPr>
                <w:rFonts w:hint="default" w:ascii="仿宋" w:hAnsi="仿宋" w:eastAsia="仿宋" w:cs="仿宋"/>
                <w:color w:val="333333"/>
                <w:kern w:val="0"/>
                <w:sz w:val="21"/>
                <w:szCs w:val="21"/>
                <w:u w:val="none"/>
                <w:lang w:val="en-US" w:eastAsia="zh-CN" w:bidi="ar-SA"/>
              </w:rPr>
              <w:t>事发地乡镇政府</w:t>
            </w:r>
          </w:p>
        </w:tc>
      </w:tr>
      <w:tr w14:paraId="05E9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4" w:hRule="atLeast"/>
          <w:tblCellSpacing w:w="0" w:type="dxa"/>
          <w:jc w:val="center"/>
        </w:trPr>
        <w:tc>
          <w:tcPr>
            <w:tcW w:w="574" w:type="dxa"/>
            <w:shd w:val="clear" w:color="auto" w:fill="auto"/>
            <w:tcMar>
              <w:top w:w="0" w:type="dxa"/>
              <w:left w:w="105" w:type="dxa"/>
              <w:bottom w:w="0" w:type="dxa"/>
              <w:right w:w="105" w:type="dxa"/>
            </w:tcMar>
            <w:vAlign w:val="center"/>
          </w:tcPr>
          <w:p w14:paraId="3B30C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序号</w:t>
            </w:r>
          </w:p>
        </w:tc>
        <w:tc>
          <w:tcPr>
            <w:tcW w:w="1579" w:type="dxa"/>
            <w:shd w:val="clear" w:color="auto" w:fill="auto"/>
            <w:tcMar>
              <w:top w:w="0" w:type="dxa"/>
              <w:left w:w="105" w:type="dxa"/>
              <w:bottom w:w="0" w:type="dxa"/>
              <w:right w:w="105" w:type="dxa"/>
            </w:tcMar>
            <w:vAlign w:val="center"/>
          </w:tcPr>
          <w:p w14:paraId="39FD0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事故灾难类</w:t>
            </w:r>
          </w:p>
        </w:tc>
        <w:tc>
          <w:tcPr>
            <w:tcW w:w="1929" w:type="dxa"/>
            <w:shd w:val="clear" w:color="auto" w:fill="auto"/>
            <w:tcMar>
              <w:top w:w="0" w:type="dxa"/>
              <w:left w:w="105" w:type="dxa"/>
              <w:bottom w:w="0" w:type="dxa"/>
              <w:right w:w="105" w:type="dxa"/>
            </w:tcMar>
            <w:vAlign w:val="center"/>
          </w:tcPr>
          <w:p w14:paraId="70E7CB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应急主管部门</w:t>
            </w:r>
          </w:p>
        </w:tc>
        <w:tc>
          <w:tcPr>
            <w:tcW w:w="2683" w:type="dxa"/>
            <w:shd w:val="clear" w:color="auto" w:fill="auto"/>
            <w:tcMar>
              <w:top w:w="0" w:type="dxa"/>
              <w:left w:w="105" w:type="dxa"/>
              <w:bottom w:w="0" w:type="dxa"/>
              <w:right w:w="105" w:type="dxa"/>
            </w:tcMar>
            <w:vAlign w:val="center"/>
          </w:tcPr>
          <w:p w14:paraId="466544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应急协管部门</w:t>
            </w:r>
          </w:p>
        </w:tc>
        <w:tc>
          <w:tcPr>
            <w:tcW w:w="1860" w:type="dxa"/>
            <w:shd w:val="clear" w:color="auto" w:fill="auto"/>
            <w:tcMar>
              <w:top w:w="0" w:type="dxa"/>
              <w:left w:w="105" w:type="dxa"/>
              <w:bottom w:w="0" w:type="dxa"/>
              <w:right w:w="105" w:type="dxa"/>
            </w:tcMar>
            <w:vAlign w:val="center"/>
          </w:tcPr>
          <w:p w14:paraId="25129D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专项指挥机构</w:t>
            </w:r>
          </w:p>
        </w:tc>
        <w:tc>
          <w:tcPr>
            <w:tcW w:w="1425" w:type="dxa"/>
            <w:shd w:val="clear" w:color="auto" w:fill="auto"/>
            <w:vAlign w:val="center"/>
          </w:tcPr>
          <w:p w14:paraId="3E94B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b/>
                <w:color w:val="333333"/>
                <w:kern w:val="0"/>
                <w:sz w:val="21"/>
                <w:szCs w:val="21"/>
                <w:u w:val="none"/>
                <w:lang w:val="en-US" w:eastAsia="zh-CN" w:bidi="ar-SA"/>
              </w:rPr>
              <w:t>属地单位</w:t>
            </w:r>
          </w:p>
        </w:tc>
      </w:tr>
      <w:tr w14:paraId="186F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9" w:hRule="atLeast"/>
          <w:tblCellSpacing w:w="0" w:type="dxa"/>
          <w:jc w:val="center"/>
        </w:trPr>
        <w:tc>
          <w:tcPr>
            <w:tcW w:w="574" w:type="dxa"/>
            <w:shd w:val="clear" w:color="auto" w:fill="auto"/>
            <w:tcMar>
              <w:top w:w="0" w:type="dxa"/>
              <w:left w:w="105" w:type="dxa"/>
              <w:bottom w:w="0" w:type="dxa"/>
              <w:right w:w="105" w:type="dxa"/>
            </w:tcMar>
            <w:vAlign w:val="center"/>
          </w:tcPr>
          <w:p w14:paraId="632A6D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8</w:t>
            </w:r>
          </w:p>
        </w:tc>
        <w:tc>
          <w:tcPr>
            <w:tcW w:w="1579" w:type="dxa"/>
            <w:shd w:val="clear" w:color="auto" w:fill="auto"/>
            <w:tcMar>
              <w:top w:w="0" w:type="dxa"/>
              <w:left w:w="105" w:type="dxa"/>
              <w:bottom w:w="0" w:type="dxa"/>
              <w:right w:w="105" w:type="dxa"/>
            </w:tcMar>
            <w:vAlign w:val="center"/>
          </w:tcPr>
          <w:p w14:paraId="158D5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道路交通事故</w:t>
            </w:r>
          </w:p>
        </w:tc>
        <w:tc>
          <w:tcPr>
            <w:tcW w:w="1929" w:type="dxa"/>
            <w:shd w:val="clear" w:color="auto" w:fill="auto"/>
            <w:tcMar>
              <w:top w:w="0" w:type="dxa"/>
              <w:left w:w="105" w:type="dxa"/>
              <w:bottom w:w="0" w:type="dxa"/>
              <w:right w:w="105" w:type="dxa"/>
            </w:tcMar>
            <w:vAlign w:val="center"/>
          </w:tcPr>
          <w:p w14:paraId="36376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县公安局</w:t>
            </w:r>
          </w:p>
        </w:tc>
        <w:tc>
          <w:tcPr>
            <w:tcW w:w="2683" w:type="dxa"/>
            <w:shd w:val="clear" w:color="auto" w:fill="auto"/>
            <w:tcMar>
              <w:top w:w="0" w:type="dxa"/>
              <w:left w:w="105" w:type="dxa"/>
              <w:bottom w:w="0" w:type="dxa"/>
              <w:right w:w="105" w:type="dxa"/>
            </w:tcMar>
            <w:vAlign w:val="center"/>
          </w:tcPr>
          <w:p w14:paraId="2AA340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县公安交警大队、相关成员单位</w:t>
            </w:r>
          </w:p>
        </w:tc>
        <w:tc>
          <w:tcPr>
            <w:tcW w:w="1860" w:type="dxa"/>
            <w:shd w:val="clear" w:color="auto" w:fill="auto"/>
            <w:tcMar>
              <w:top w:w="0" w:type="dxa"/>
              <w:left w:w="105" w:type="dxa"/>
              <w:bottom w:w="0" w:type="dxa"/>
              <w:right w:w="105" w:type="dxa"/>
            </w:tcMar>
            <w:vAlign w:val="center"/>
          </w:tcPr>
          <w:p w14:paraId="56C37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县道路交通安全领导小组</w:t>
            </w:r>
          </w:p>
        </w:tc>
        <w:tc>
          <w:tcPr>
            <w:tcW w:w="1425" w:type="dxa"/>
            <w:shd w:val="clear" w:color="auto" w:fill="auto"/>
            <w:vAlign w:val="center"/>
          </w:tcPr>
          <w:p w14:paraId="135DB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sz w:val="21"/>
                <w:szCs w:val="21"/>
                <w:u w:val="none"/>
              </w:rPr>
            </w:pPr>
            <w:r>
              <w:rPr>
                <w:rFonts w:hint="default" w:ascii="仿宋" w:hAnsi="仿宋" w:eastAsia="仿宋" w:cs="仿宋"/>
                <w:color w:val="333333"/>
                <w:kern w:val="0"/>
                <w:sz w:val="21"/>
                <w:szCs w:val="21"/>
                <w:u w:val="none"/>
                <w:lang w:val="en-US" w:eastAsia="zh-CN" w:bidi="ar-SA"/>
              </w:rPr>
              <w:t>事发地乡镇政府</w:t>
            </w:r>
          </w:p>
        </w:tc>
      </w:tr>
      <w:tr w14:paraId="79FC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3" w:hRule="atLeast"/>
          <w:tblCellSpacing w:w="0" w:type="dxa"/>
          <w:jc w:val="center"/>
        </w:trPr>
        <w:tc>
          <w:tcPr>
            <w:tcW w:w="574" w:type="dxa"/>
            <w:shd w:val="clear" w:color="auto" w:fill="auto"/>
            <w:tcMar>
              <w:top w:w="0" w:type="dxa"/>
              <w:left w:w="105" w:type="dxa"/>
              <w:bottom w:w="0" w:type="dxa"/>
              <w:right w:w="105" w:type="dxa"/>
            </w:tcMar>
            <w:vAlign w:val="center"/>
          </w:tcPr>
          <w:p w14:paraId="0B5981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9</w:t>
            </w:r>
          </w:p>
        </w:tc>
        <w:tc>
          <w:tcPr>
            <w:tcW w:w="1579" w:type="dxa"/>
            <w:shd w:val="clear" w:color="auto" w:fill="auto"/>
            <w:tcMar>
              <w:top w:w="0" w:type="dxa"/>
              <w:left w:w="105" w:type="dxa"/>
              <w:bottom w:w="0" w:type="dxa"/>
              <w:right w:w="105" w:type="dxa"/>
            </w:tcMar>
            <w:vAlign w:val="center"/>
          </w:tcPr>
          <w:p w14:paraId="237A3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建设工程事故</w:t>
            </w:r>
          </w:p>
        </w:tc>
        <w:tc>
          <w:tcPr>
            <w:tcW w:w="1929" w:type="dxa"/>
            <w:shd w:val="clear" w:color="auto" w:fill="auto"/>
            <w:tcMar>
              <w:top w:w="0" w:type="dxa"/>
              <w:left w:w="105" w:type="dxa"/>
              <w:bottom w:w="0" w:type="dxa"/>
              <w:right w:w="105" w:type="dxa"/>
            </w:tcMar>
            <w:vAlign w:val="center"/>
          </w:tcPr>
          <w:p w14:paraId="04484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县住建局</w:t>
            </w:r>
          </w:p>
        </w:tc>
        <w:tc>
          <w:tcPr>
            <w:tcW w:w="2683" w:type="dxa"/>
            <w:shd w:val="clear" w:color="auto" w:fill="auto"/>
            <w:tcMar>
              <w:top w:w="0" w:type="dxa"/>
              <w:left w:w="105" w:type="dxa"/>
              <w:bottom w:w="0" w:type="dxa"/>
              <w:right w:w="105" w:type="dxa"/>
            </w:tcMar>
            <w:vAlign w:val="center"/>
          </w:tcPr>
          <w:p w14:paraId="63A7E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县应急管理局、县交通运输局、县水务局等</w:t>
            </w:r>
          </w:p>
        </w:tc>
        <w:tc>
          <w:tcPr>
            <w:tcW w:w="1860" w:type="dxa"/>
            <w:shd w:val="clear" w:color="auto" w:fill="auto"/>
            <w:tcMar>
              <w:top w:w="0" w:type="dxa"/>
              <w:left w:w="105" w:type="dxa"/>
              <w:bottom w:w="0" w:type="dxa"/>
              <w:right w:w="105" w:type="dxa"/>
            </w:tcMar>
            <w:vAlign w:val="center"/>
          </w:tcPr>
          <w:p w14:paraId="5FE576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r>
              <w:rPr>
                <w:rFonts w:hint="eastAsia" w:ascii="仿宋" w:hAnsi="仿宋" w:eastAsia="仿宋" w:cs="仿宋"/>
                <w:sz w:val="21"/>
                <w:szCs w:val="21"/>
                <w:lang w:eastAsia="zh-CN"/>
              </w:rPr>
              <w:t>县专项应急指挥部</w:t>
            </w:r>
          </w:p>
        </w:tc>
        <w:tc>
          <w:tcPr>
            <w:tcW w:w="1425" w:type="dxa"/>
            <w:shd w:val="clear" w:color="auto" w:fill="auto"/>
            <w:vAlign w:val="center"/>
          </w:tcPr>
          <w:p w14:paraId="7B7175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r>
      <w:tr w14:paraId="058B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5" w:hRule="atLeast"/>
          <w:tblCellSpacing w:w="0" w:type="dxa"/>
          <w:jc w:val="center"/>
        </w:trPr>
        <w:tc>
          <w:tcPr>
            <w:tcW w:w="574" w:type="dxa"/>
            <w:shd w:val="clear" w:color="auto" w:fill="auto"/>
            <w:tcMar>
              <w:top w:w="0" w:type="dxa"/>
              <w:left w:w="105" w:type="dxa"/>
              <w:bottom w:w="0" w:type="dxa"/>
              <w:right w:w="105" w:type="dxa"/>
            </w:tcMar>
            <w:vAlign w:val="center"/>
          </w:tcPr>
          <w:p w14:paraId="3B0F4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0</w:t>
            </w:r>
          </w:p>
        </w:tc>
        <w:tc>
          <w:tcPr>
            <w:tcW w:w="1579" w:type="dxa"/>
            <w:shd w:val="clear" w:color="auto" w:fill="auto"/>
            <w:tcMar>
              <w:top w:w="0" w:type="dxa"/>
              <w:left w:w="105" w:type="dxa"/>
              <w:bottom w:w="0" w:type="dxa"/>
              <w:right w:w="105" w:type="dxa"/>
            </w:tcMar>
            <w:vAlign w:val="center"/>
          </w:tcPr>
          <w:p w14:paraId="487D4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城市燃气、自来水供给事故</w:t>
            </w:r>
          </w:p>
        </w:tc>
        <w:tc>
          <w:tcPr>
            <w:tcW w:w="1929" w:type="dxa"/>
            <w:shd w:val="clear" w:color="auto" w:fill="auto"/>
            <w:tcMar>
              <w:top w:w="0" w:type="dxa"/>
              <w:left w:w="105" w:type="dxa"/>
              <w:bottom w:w="0" w:type="dxa"/>
              <w:right w:w="105" w:type="dxa"/>
            </w:tcMar>
            <w:vAlign w:val="center"/>
          </w:tcPr>
          <w:p w14:paraId="5B806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县住建局、县水务局</w:t>
            </w:r>
          </w:p>
        </w:tc>
        <w:tc>
          <w:tcPr>
            <w:tcW w:w="2683" w:type="dxa"/>
            <w:shd w:val="clear" w:color="auto" w:fill="auto"/>
            <w:tcMar>
              <w:top w:w="0" w:type="dxa"/>
              <w:left w:w="105" w:type="dxa"/>
              <w:bottom w:w="0" w:type="dxa"/>
              <w:right w:w="105" w:type="dxa"/>
            </w:tcMar>
            <w:vAlign w:val="center"/>
          </w:tcPr>
          <w:p w14:paraId="50D496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县应急管理局、县水务事务中心等</w:t>
            </w:r>
          </w:p>
        </w:tc>
        <w:tc>
          <w:tcPr>
            <w:tcW w:w="1860" w:type="dxa"/>
            <w:shd w:val="clear" w:color="auto" w:fill="auto"/>
            <w:tcMar>
              <w:top w:w="0" w:type="dxa"/>
              <w:left w:w="105" w:type="dxa"/>
              <w:bottom w:w="0" w:type="dxa"/>
              <w:right w:w="105" w:type="dxa"/>
            </w:tcMar>
            <w:vAlign w:val="center"/>
          </w:tcPr>
          <w:p w14:paraId="5BCDE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vAlign w:val="center"/>
          </w:tcPr>
          <w:p w14:paraId="6BFE73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4AD0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9" w:hRule="atLeast"/>
          <w:tblCellSpacing w:w="0" w:type="dxa"/>
          <w:jc w:val="center"/>
        </w:trPr>
        <w:tc>
          <w:tcPr>
            <w:tcW w:w="574" w:type="dxa"/>
            <w:shd w:val="clear" w:color="auto" w:fill="auto"/>
            <w:tcMar>
              <w:top w:w="0" w:type="dxa"/>
              <w:left w:w="105" w:type="dxa"/>
              <w:bottom w:w="0" w:type="dxa"/>
              <w:right w:w="105" w:type="dxa"/>
            </w:tcMar>
            <w:vAlign w:val="center"/>
          </w:tcPr>
          <w:p w14:paraId="2E031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1</w:t>
            </w:r>
          </w:p>
        </w:tc>
        <w:tc>
          <w:tcPr>
            <w:tcW w:w="1579" w:type="dxa"/>
            <w:shd w:val="clear" w:color="auto" w:fill="auto"/>
            <w:tcMar>
              <w:top w:w="0" w:type="dxa"/>
              <w:left w:w="105" w:type="dxa"/>
              <w:bottom w:w="0" w:type="dxa"/>
              <w:right w:w="105" w:type="dxa"/>
            </w:tcMar>
            <w:vAlign w:val="center"/>
          </w:tcPr>
          <w:p w14:paraId="42A4E9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大面积停电事件</w:t>
            </w:r>
          </w:p>
        </w:tc>
        <w:tc>
          <w:tcPr>
            <w:tcW w:w="1929" w:type="dxa"/>
            <w:shd w:val="clear" w:color="auto" w:fill="auto"/>
            <w:tcMar>
              <w:top w:w="0" w:type="dxa"/>
              <w:left w:w="105" w:type="dxa"/>
              <w:bottom w:w="0" w:type="dxa"/>
              <w:right w:w="105" w:type="dxa"/>
            </w:tcMar>
            <w:vAlign w:val="center"/>
          </w:tcPr>
          <w:p w14:paraId="31120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县科学技术和工业信息化局</w:t>
            </w:r>
          </w:p>
        </w:tc>
        <w:tc>
          <w:tcPr>
            <w:tcW w:w="2683" w:type="dxa"/>
            <w:shd w:val="clear" w:color="auto" w:fill="auto"/>
            <w:tcMar>
              <w:top w:w="0" w:type="dxa"/>
              <w:left w:w="105" w:type="dxa"/>
              <w:bottom w:w="0" w:type="dxa"/>
              <w:right w:w="105" w:type="dxa"/>
            </w:tcMar>
            <w:vAlign w:val="center"/>
          </w:tcPr>
          <w:p w14:paraId="53311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县应急管理局、白沙供电局等</w:t>
            </w:r>
          </w:p>
        </w:tc>
        <w:tc>
          <w:tcPr>
            <w:tcW w:w="1860" w:type="dxa"/>
            <w:shd w:val="clear" w:color="auto" w:fill="auto"/>
            <w:tcMar>
              <w:top w:w="0" w:type="dxa"/>
              <w:left w:w="105" w:type="dxa"/>
              <w:bottom w:w="0" w:type="dxa"/>
              <w:right w:w="105" w:type="dxa"/>
            </w:tcMar>
            <w:vAlign w:val="center"/>
          </w:tcPr>
          <w:p w14:paraId="735891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大面积停电事件应急指挥部</w:t>
            </w:r>
          </w:p>
        </w:tc>
        <w:tc>
          <w:tcPr>
            <w:tcW w:w="1425" w:type="dxa"/>
            <w:shd w:val="clear" w:color="auto" w:fill="auto"/>
            <w:vAlign w:val="center"/>
          </w:tcPr>
          <w:p w14:paraId="1C16A2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54DA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22" w:hRule="atLeast"/>
          <w:tblCellSpacing w:w="0" w:type="dxa"/>
          <w:jc w:val="center"/>
        </w:trPr>
        <w:tc>
          <w:tcPr>
            <w:tcW w:w="574" w:type="dxa"/>
            <w:shd w:val="clear" w:color="auto" w:fill="auto"/>
            <w:tcMar>
              <w:top w:w="0" w:type="dxa"/>
              <w:left w:w="105" w:type="dxa"/>
              <w:bottom w:w="0" w:type="dxa"/>
              <w:right w:w="105" w:type="dxa"/>
            </w:tcMar>
            <w:vAlign w:val="center"/>
          </w:tcPr>
          <w:p w14:paraId="3102D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2</w:t>
            </w:r>
          </w:p>
        </w:tc>
        <w:tc>
          <w:tcPr>
            <w:tcW w:w="1579" w:type="dxa"/>
            <w:shd w:val="clear" w:color="auto" w:fill="auto"/>
            <w:tcMar>
              <w:top w:w="0" w:type="dxa"/>
              <w:left w:w="105" w:type="dxa"/>
              <w:bottom w:w="0" w:type="dxa"/>
              <w:right w:w="105" w:type="dxa"/>
            </w:tcMar>
            <w:vAlign w:val="center"/>
          </w:tcPr>
          <w:p w14:paraId="622856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特种设备事故</w:t>
            </w:r>
          </w:p>
        </w:tc>
        <w:tc>
          <w:tcPr>
            <w:tcW w:w="1929" w:type="dxa"/>
            <w:shd w:val="clear" w:color="auto" w:fill="auto"/>
            <w:tcMar>
              <w:top w:w="0" w:type="dxa"/>
              <w:left w:w="105" w:type="dxa"/>
              <w:bottom w:w="0" w:type="dxa"/>
              <w:right w:w="105" w:type="dxa"/>
            </w:tcMar>
            <w:vAlign w:val="center"/>
          </w:tcPr>
          <w:p w14:paraId="33B58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县市场监督管理局</w:t>
            </w:r>
          </w:p>
        </w:tc>
        <w:tc>
          <w:tcPr>
            <w:tcW w:w="2683" w:type="dxa"/>
            <w:shd w:val="clear" w:color="auto" w:fill="auto"/>
            <w:tcMar>
              <w:top w:w="0" w:type="dxa"/>
              <w:left w:w="105" w:type="dxa"/>
              <w:bottom w:w="0" w:type="dxa"/>
              <w:right w:w="105" w:type="dxa"/>
            </w:tcMar>
            <w:vAlign w:val="center"/>
          </w:tcPr>
          <w:p w14:paraId="4CC771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县应急管理局、相关成员单位</w:t>
            </w:r>
          </w:p>
        </w:tc>
        <w:tc>
          <w:tcPr>
            <w:tcW w:w="1860" w:type="dxa"/>
            <w:shd w:val="clear" w:color="auto" w:fill="auto"/>
            <w:tcMar>
              <w:top w:w="0" w:type="dxa"/>
              <w:left w:w="105" w:type="dxa"/>
              <w:bottom w:w="0" w:type="dxa"/>
              <w:right w:w="105" w:type="dxa"/>
            </w:tcMar>
            <w:vAlign w:val="center"/>
          </w:tcPr>
          <w:p w14:paraId="309FF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特种设备事故应急指挥部</w:t>
            </w:r>
          </w:p>
        </w:tc>
        <w:tc>
          <w:tcPr>
            <w:tcW w:w="1425" w:type="dxa"/>
            <w:shd w:val="clear" w:color="auto" w:fill="auto"/>
            <w:vAlign w:val="center"/>
          </w:tcPr>
          <w:p w14:paraId="085D4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r>
      <w:tr w14:paraId="7944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0" w:hRule="atLeast"/>
          <w:tblCellSpacing w:w="0" w:type="dxa"/>
          <w:jc w:val="center"/>
        </w:trPr>
        <w:tc>
          <w:tcPr>
            <w:tcW w:w="574" w:type="dxa"/>
            <w:shd w:val="clear" w:color="auto" w:fill="auto"/>
            <w:tcMar>
              <w:top w:w="0" w:type="dxa"/>
              <w:left w:w="105" w:type="dxa"/>
              <w:bottom w:w="0" w:type="dxa"/>
              <w:right w:w="105" w:type="dxa"/>
            </w:tcMar>
            <w:vAlign w:val="center"/>
          </w:tcPr>
          <w:p w14:paraId="196BF6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3</w:t>
            </w:r>
          </w:p>
        </w:tc>
        <w:tc>
          <w:tcPr>
            <w:tcW w:w="1579" w:type="dxa"/>
            <w:shd w:val="clear" w:color="auto" w:fill="auto"/>
            <w:tcMar>
              <w:top w:w="0" w:type="dxa"/>
              <w:left w:w="105" w:type="dxa"/>
              <w:bottom w:w="0" w:type="dxa"/>
              <w:right w:w="105" w:type="dxa"/>
            </w:tcMar>
            <w:vAlign w:val="center"/>
          </w:tcPr>
          <w:p w14:paraId="6EB176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通信安全事故</w:t>
            </w:r>
          </w:p>
        </w:tc>
        <w:tc>
          <w:tcPr>
            <w:tcW w:w="1929" w:type="dxa"/>
            <w:shd w:val="clear" w:color="auto" w:fill="auto"/>
            <w:tcMar>
              <w:top w:w="0" w:type="dxa"/>
              <w:left w:w="105" w:type="dxa"/>
              <w:bottom w:w="0" w:type="dxa"/>
              <w:right w:w="105" w:type="dxa"/>
            </w:tcMar>
            <w:vAlign w:val="center"/>
          </w:tcPr>
          <w:p w14:paraId="7F14A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县科学技术和工业信息化局</w:t>
            </w:r>
          </w:p>
        </w:tc>
        <w:tc>
          <w:tcPr>
            <w:tcW w:w="2683" w:type="dxa"/>
            <w:shd w:val="clear" w:color="auto" w:fill="auto"/>
            <w:tcMar>
              <w:top w:w="0" w:type="dxa"/>
              <w:left w:w="105" w:type="dxa"/>
              <w:bottom w:w="0" w:type="dxa"/>
              <w:right w:w="105" w:type="dxa"/>
            </w:tcMar>
            <w:vAlign w:val="center"/>
          </w:tcPr>
          <w:p w14:paraId="0641D1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三大运营商</w:t>
            </w:r>
          </w:p>
        </w:tc>
        <w:tc>
          <w:tcPr>
            <w:tcW w:w="1860" w:type="dxa"/>
            <w:shd w:val="clear" w:color="auto" w:fill="auto"/>
            <w:tcMar>
              <w:top w:w="0" w:type="dxa"/>
              <w:left w:w="105" w:type="dxa"/>
              <w:bottom w:w="0" w:type="dxa"/>
              <w:right w:w="105" w:type="dxa"/>
            </w:tcMar>
            <w:vAlign w:val="center"/>
          </w:tcPr>
          <w:p w14:paraId="6CA80F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vAlign w:val="center"/>
          </w:tcPr>
          <w:p w14:paraId="16BC4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p>
        </w:tc>
      </w:tr>
      <w:tr w14:paraId="61C7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5" w:hRule="atLeast"/>
          <w:tblCellSpacing w:w="0" w:type="dxa"/>
          <w:jc w:val="center"/>
        </w:trPr>
        <w:tc>
          <w:tcPr>
            <w:tcW w:w="574" w:type="dxa"/>
            <w:shd w:val="clear" w:color="auto" w:fill="auto"/>
            <w:tcMar>
              <w:top w:w="0" w:type="dxa"/>
              <w:left w:w="105" w:type="dxa"/>
              <w:bottom w:w="0" w:type="dxa"/>
              <w:right w:w="105" w:type="dxa"/>
            </w:tcMar>
            <w:vAlign w:val="center"/>
          </w:tcPr>
          <w:p w14:paraId="6B33EA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4</w:t>
            </w:r>
          </w:p>
        </w:tc>
        <w:tc>
          <w:tcPr>
            <w:tcW w:w="1579" w:type="dxa"/>
            <w:shd w:val="clear" w:color="auto" w:fill="auto"/>
            <w:tcMar>
              <w:top w:w="0" w:type="dxa"/>
              <w:left w:w="105" w:type="dxa"/>
              <w:bottom w:w="0" w:type="dxa"/>
              <w:right w:w="105" w:type="dxa"/>
            </w:tcMar>
            <w:vAlign w:val="center"/>
          </w:tcPr>
          <w:p w14:paraId="789F0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网络信息安全事故</w:t>
            </w:r>
          </w:p>
        </w:tc>
        <w:tc>
          <w:tcPr>
            <w:tcW w:w="1929" w:type="dxa"/>
            <w:shd w:val="clear" w:color="auto" w:fill="auto"/>
            <w:tcMar>
              <w:top w:w="0" w:type="dxa"/>
              <w:left w:w="105" w:type="dxa"/>
              <w:bottom w:w="0" w:type="dxa"/>
              <w:right w:w="105" w:type="dxa"/>
            </w:tcMar>
            <w:vAlign w:val="center"/>
          </w:tcPr>
          <w:p w14:paraId="0079C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县委网信办</w:t>
            </w:r>
          </w:p>
        </w:tc>
        <w:tc>
          <w:tcPr>
            <w:tcW w:w="2683" w:type="dxa"/>
            <w:shd w:val="clear" w:color="auto" w:fill="auto"/>
            <w:tcMar>
              <w:top w:w="0" w:type="dxa"/>
              <w:left w:w="105" w:type="dxa"/>
              <w:bottom w:w="0" w:type="dxa"/>
              <w:right w:w="105" w:type="dxa"/>
            </w:tcMar>
            <w:vAlign w:val="center"/>
          </w:tcPr>
          <w:p w14:paraId="24EA44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县公安局、县委宣传部（县政府新闻办）、县科学技术和工业信息化局等</w:t>
            </w:r>
          </w:p>
        </w:tc>
        <w:tc>
          <w:tcPr>
            <w:tcW w:w="1860" w:type="dxa"/>
            <w:shd w:val="clear" w:color="auto" w:fill="auto"/>
            <w:tcMar>
              <w:top w:w="0" w:type="dxa"/>
              <w:left w:w="105" w:type="dxa"/>
              <w:bottom w:w="0" w:type="dxa"/>
              <w:right w:w="105" w:type="dxa"/>
            </w:tcMar>
            <w:vAlign w:val="center"/>
          </w:tcPr>
          <w:p w14:paraId="15DDF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sz w:val="21"/>
                <w:szCs w:val="21"/>
                <w:lang w:eastAsia="zh-CN"/>
              </w:rPr>
              <w:t>县专项应急指挥部</w:t>
            </w:r>
          </w:p>
        </w:tc>
        <w:tc>
          <w:tcPr>
            <w:tcW w:w="1425" w:type="dxa"/>
            <w:shd w:val="clear" w:color="auto" w:fill="auto"/>
            <w:vAlign w:val="center"/>
          </w:tcPr>
          <w:p w14:paraId="3D903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p>
        </w:tc>
      </w:tr>
      <w:tr w14:paraId="0737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0" w:type="dxa"/>
          <w:jc w:val="center"/>
        </w:trPr>
        <w:tc>
          <w:tcPr>
            <w:tcW w:w="574" w:type="dxa"/>
            <w:shd w:val="clear" w:color="auto" w:fill="auto"/>
            <w:tcMar>
              <w:top w:w="0" w:type="dxa"/>
              <w:left w:w="105" w:type="dxa"/>
              <w:bottom w:w="0" w:type="dxa"/>
              <w:right w:w="105" w:type="dxa"/>
            </w:tcMar>
            <w:vAlign w:val="center"/>
          </w:tcPr>
          <w:p w14:paraId="1BA65C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序号</w:t>
            </w:r>
          </w:p>
        </w:tc>
        <w:tc>
          <w:tcPr>
            <w:tcW w:w="1579" w:type="dxa"/>
            <w:shd w:val="clear" w:color="auto" w:fill="auto"/>
            <w:tcMar>
              <w:top w:w="0" w:type="dxa"/>
              <w:left w:w="105" w:type="dxa"/>
              <w:bottom w:w="0" w:type="dxa"/>
              <w:right w:w="105" w:type="dxa"/>
            </w:tcMar>
            <w:vAlign w:val="center"/>
          </w:tcPr>
          <w:p w14:paraId="2FEC1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事故灾难类</w:t>
            </w:r>
          </w:p>
        </w:tc>
        <w:tc>
          <w:tcPr>
            <w:tcW w:w="1929" w:type="dxa"/>
            <w:shd w:val="clear" w:color="auto" w:fill="auto"/>
            <w:tcMar>
              <w:top w:w="0" w:type="dxa"/>
              <w:left w:w="105" w:type="dxa"/>
              <w:bottom w:w="0" w:type="dxa"/>
              <w:right w:w="105" w:type="dxa"/>
            </w:tcMar>
            <w:vAlign w:val="center"/>
          </w:tcPr>
          <w:p w14:paraId="3D320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应急主管部门</w:t>
            </w:r>
          </w:p>
        </w:tc>
        <w:tc>
          <w:tcPr>
            <w:tcW w:w="2683" w:type="dxa"/>
            <w:shd w:val="clear" w:color="auto" w:fill="auto"/>
            <w:tcMar>
              <w:top w:w="0" w:type="dxa"/>
              <w:left w:w="105" w:type="dxa"/>
              <w:bottom w:w="0" w:type="dxa"/>
              <w:right w:w="105" w:type="dxa"/>
            </w:tcMar>
            <w:vAlign w:val="center"/>
          </w:tcPr>
          <w:p w14:paraId="02B5F7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应急协管部门</w:t>
            </w:r>
          </w:p>
        </w:tc>
        <w:tc>
          <w:tcPr>
            <w:tcW w:w="1860" w:type="dxa"/>
            <w:shd w:val="clear" w:color="auto" w:fill="auto"/>
            <w:tcMar>
              <w:top w:w="0" w:type="dxa"/>
              <w:left w:w="105" w:type="dxa"/>
              <w:bottom w:w="0" w:type="dxa"/>
              <w:right w:w="105" w:type="dxa"/>
            </w:tcMar>
            <w:vAlign w:val="center"/>
          </w:tcPr>
          <w:p w14:paraId="573C50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专项指挥机构</w:t>
            </w:r>
          </w:p>
        </w:tc>
        <w:tc>
          <w:tcPr>
            <w:tcW w:w="1425" w:type="dxa"/>
            <w:shd w:val="clear" w:color="auto" w:fill="auto"/>
            <w:vAlign w:val="center"/>
          </w:tcPr>
          <w:p w14:paraId="1B3543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b/>
                <w:color w:val="333333"/>
                <w:kern w:val="0"/>
                <w:sz w:val="21"/>
                <w:szCs w:val="21"/>
                <w:u w:val="none"/>
                <w:lang w:val="en-US" w:eastAsia="zh-CN" w:bidi="ar-SA"/>
              </w:rPr>
              <w:t>属地单位</w:t>
            </w:r>
          </w:p>
        </w:tc>
      </w:tr>
      <w:tr w14:paraId="3570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3" w:hRule="atLeast"/>
          <w:tblCellSpacing w:w="0" w:type="dxa"/>
          <w:jc w:val="center"/>
        </w:trPr>
        <w:tc>
          <w:tcPr>
            <w:tcW w:w="574" w:type="dxa"/>
            <w:shd w:val="clear" w:color="auto" w:fill="auto"/>
            <w:tcMar>
              <w:top w:w="0" w:type="dxa"/>
              <w:left w:w="105" w:type="dxa"/>
              <w:bottom w:w="0" w:type="dxa"/>
              <w:right w:w="105" w:type="dxa"/>
            </w:tcMar>
            <w:vAlign w:val="center"/>
          </w:tcPr>
          <w:p w14:paraId="57E286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5</w:t>
            </w:r>
          </w:p>
        </w:tc>
        <w:tc>
          <w:tcPr>
            <w:tcW w:w="1579" w:type="dxa"/>
            <w:shd w:val="clear" w:color="auto" w:fill="auto"/>
            <w:tcMar>
              <w:top w:w="0" w:type="dxa"/>
              <w:left w:w="105" w:type="dxa"/>
              <w:bottom w:w="0" w:type="dxa"/>
              <w:right w:w="105" w:type="dxa"/>
            </w:tcMar>
            <w:vAlign w:val="center"/>
          </w:tcPr>
          <w:p w14:paraId="3A8E2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000000" w:themeColor="text1"/>
                <w:kern w:val="0"/>
                <w:sz w:val="21"/>
                <w:szCs w:val="21"/>
                <w:u w:val="none"/>
                <w:lang w:val="en-US" w:eastAsia="zh-CN" w:bidi="ar-SA"/>
                <w14:textFill>
                  <w14:solidFill>
                    <w14:schemeClr w14:val="tx1"/>
                  </w14:solidFill>
                </w14:textFill>
              </w:rPr>
              <w:t>旅游文体突发事件</w:t>
            </w:r>
          </w:p>
        </w:tc>
        <w:tc>
          <w:tcPr>
            <w:tcW w:w="1929" w:type="dxa"/>
            <w:shd w:val="clear" w:color="auto" w:fill="auto"/>
            <w:tcMar>
              <w:top w:w="0" w:type="dxa"/>
              <w:left w:w="105" w:type="dxa"/>
              <w:bottom w:w="0" w:type="dxa"/>
              <w:right w:w="105" w:type="dxa"/>
            </w:tcMar>
            <w:vAlign w:val="center"/>
          </w:tcPr>
          <w:p w14:paraId="4E3739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县旅文局</w:t>
            </w:r>
          </w:p>
        </w:tc>
        <w:tc>
          <w:tcPr>
            <w:tcW w:w="2683" w:type="dxa"/>
            <w:shd w:val="clear" w:color="auto" w:fill="auto"/>
            <w:tcMar>
              <w:top w:w="0" w:type="dxa"/>
              <w:left w:w="105" w:type="dxa"/>
              <w:bottom w:w="0" w:type="dxa"/>
              <w:right w:w="105" w:type="dxa"/>
            </w:tcMar>
            <w:vAlign w:val="center"/>
          </w:tcPr>
          <w:p w14:paraId="40209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县应急管理局、县交通运输局、县公安局</w:t>
            </w:r>
          </w:p>
        </w:tc>
        <w:tc>
          <w:tcPr>
            <w:tcW w:w="1860" w:type="dxa"/>
            <w:shd w:val="clear" w:color="auto" w:fill="auto"/>
            <w:tcMar>
              <w:top w:w="0" w:type="dxa"/>
              <w:left w:w="105" w:type="dxa"/>
              <w:bottom w:w="0" w:type="dxa"/>
              <w:right w:w="105" w:type="dxa"/>
            </w:tcMar>
            <w:vAlign w:val="center"/>
          </w:tcPr>
          <w:p w14:paraId="624E2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r>
              <w:rPr>
                <w:rFonts w:hint="eastAsia" w:ascii="仿宋" w:hAnsi="仿宋" w:eastAsia="仿宋" w:cs="仿宋"/>
                <w:sz w:val="21"/>
                <w:szCs w:val="21"/>
                <w:lang w:eastAsia="zh-CN"/>
              </w:rPr>
              <w:t>县专项应急指挥部</w:t>
            </w:r>
          </w:p>
        </w:tc>
        <w:tc>
          <w:tcPr>
            <w:tcW w:w="1425" w:type="dxa"/>
            <w:shd w:val="clear" w:color="auto" w:fill="auto"/>
            <w:vAlign w:val="center"/>
          </w:tcPr>
          <w:p w14:paraId="38E88D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r>
      <w:tr w14:paraId="5674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blCellSpacing w:w="0" w:type="dxa"/>
          <w:jc w:val="center"/>
        </w:trPr>
        <w:tc>
          <w:tcPr>
            <w:tcW w:w="574" w:type="dxa"/>
            <w:shd w:val="clear" w:color="auto" w:fill="auto"/>
            <w:tcMar>
              <w:top w:w="0" w:type="dxa"/>
              <w:left w:w="105" w:type="dxa"/>
              <w:bottom w:w="0" w:type="dxa"/>
              <w:right w:w="105" w:type="dxa"/>
            </w:tcMar>
            <w:vAlign w:val="center"/>
          </w:tcPr>
          <w:p w14:paraId="400A8B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1</w:t>
            </w:r>
            <w:r>
              <w:rPr>
                <w:rFonts w:hint="default" w:ascii="仿宋" w:hAnsi="仿宋" w:eastAsia="仿宋" w:cs="仿宋"/>
                <w:color w:val="333333"/>
                <w:kern w:val="0"/>
                <w:sz w:val="21"/>
                <w:szCs w:val="21"/>
                <w:u w:val="none"/>
                <w:lang w:val="en-US" w:eastAsia="zh-CN" w:bidi="ar-SA"/>
              </w:rPr>
              <w:t>6</w:t>
            </w:r>
          </w:p>
        </w:tc>
        <w:tc>
          <w:tcPr>
            <w:tcW w:w="1579" w:type="dxa"/>
            <w:shd w:val="clear" w:color="auto" w:fill="auto"/>
            <w:tcMar>
              <w:top w:w="0" w:type="dxa"/>
              <w:left w:w="105" w:type="dxa"/>
              <w:bottom w:w="0" w:type="dxa"/>
              <w:right w:w="105" w:type="dxa"/>
            </w:tcMar>
            <w:vAlign w:val="center"/>
          </w:tcPr>
          <w:p w14:paraId="0C27C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农业生产事故</w:t>
            </w:r>
          </w:p>
        </w:tc>
        <w:tc>
          <w:tcPr>
            <w:tcW w:w="1929" w:type="dxa"/>
            <w:shd w:val="clear" w:color="auto" w:fill="auto"/>
            <w:tcMar>
              <w:top w:w="0" w:type="dxa"/>
              <w:left w:w="105" w:type="dxa"/>
              <w:bottom w:w="0" w:type="dxa"/>
              <w:right w:w="105" w:type="dxa"/>
            </w:tcMar>
            <w:vAlign w:val="center"/>
          </w:tcPr>
          <w:p w14:paraId="5F45E4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县农业农村局</w:t>
            </w:r>
          </w:p>
        </w:tc>
        <w:tc>
          <w:tcPr>
            <w:tcW w:w="2683" w:type="dxa"/>
            <w:shd w:val="clear" w:color="auto" w:fill="auto"/>
            <w:tcMar>
              <w:top w:w="0" w:type="dxa"/>
              <w:left w:w="105" w:type="dxa"/>
              <w:bottom w:w="0" w:type="dxa"/>
              <w:right w:w="105" w:type="dxa"/>
            </w:tcMar>
            <w:vAlign w:val="center"/>
          </w:tcPr>
          <w:p w14:paraId="7C2C03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县公安局、县市场监督管理局等</w:t>
            </w:r>
          </w:p>
        </w:tc>
        <w:tc>
          <w:tcPr>
            <w:tcW w:w="1860" w:type="dxa"/>
            <w:shd w:val="clear" w:color="auto" w:fill="auto"/>
            <w:tcMar>
              <w:top w:w="0" w:type="dxa"/>
              <w:left w:w="105" w:type="dxa"/>
              <w:bottom w:w="0" w:type="dxa"/>
              <w:right w:w="105" w:type="dxa"/>
            </w:tcMar>
            <w:vAlign w:val="center"/>
          </w:tcPr>
          <w:p w14:paraId="17C9A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highlight w:val="yellow"/>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vAlign w:val="center"/>
          </w:tcPr>
          <w:p w14:paraId="6291C7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0B8F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5" w:hRule="atLeast"/>
          <w:tblCellSpacing w:w="0" w:type="dxa"/>
          <w:jc w:val="center"/>
        </w:trPr>
        <w:tc>
          <w:tcPr>
            <w:tcW w:w="574" w:type="dxa"/>
            <w:shd w:val="clear" w:color="auto" w:fill="auto"/>
            <w:tcMar>
              <w:top w:w="0" w:type="dxa"/>
              <w:left w:w="105" w:type="dxa"/>
              <w:bottom w:w="0" w:type="dxa"/>
              <w:right w:w="105" w:type="dxa"/>
            </w:tcMar>
            <w:vAlign w:val="center"/>
          </w:tcPr>
          <w:p w14:paraId="008F83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17</w:t>
            </w:r>
          </w:p>
        </w:tc>
        <w:tc>
          <w:tcPr>
            <w:tcW w:w="1579" w:type="dxa"/>
            <w:shd w:val="clear" w:color="auto" w:fill="auto"/>
            <w:tcMar>
              <w:top w:w="0" w:type="dxa"/>
              <w:left w:w="105" w:type="dxa"/>
              <w:bottom w:w="0" w:type="dxa"/>
              <w:right w:w="105" w:type="dxa"/>
            </w:tcMar>
            <w:vAlign w:val="center"/>
          </w:tcPr>
          <w:p w14:paraId="279641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农机事故</w:t>
            </w:r>
          </w:p>
        </w:tc>
        <w:tc>
          <w:tcPr>
            <w:tcW w:w="1929" w:type="dxa"/>
            <w:shd w:val="clear" w:color="auto" w:fill="auto"/>
            <w:tcMar>
              <w:top w:w="0" w:type="dxa"/>
              <w:left w:w="105" w:type="dxa"/>
              <w:bottom w:w="0" w:type="dxa"/>
              <w:right w:w="105" w:type="dxa"/>
            </w:tcMar>
            <w:vAlign w:val="center"/>
          </w:tcPr>
          <w:p w14:paraId="794CC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县农业农村局</w:t>
            </w:r>
          </w:p>
        </w:tc>
        <w:tc>
          <w:tcPr>
            <w:tcW w:w="2683" w:type="dxa"/>
            <w:shd w:val="clear" w:color="auto" w:fill="auto"/>
            <w:tcMar>
              <w:top w:w="0" w:type="dxa"/>
              <w:left w:w="105" w:type="dxa"/>
              <w:bottom w:w="0" w:type="dxa"/>
              <w:right w:w="105" w:type="dxa"/>
            </w:tcMar>
            <w:vAlign w:val="center"/>
          </w:tcPr>
          <w:p w14:paraId="018B6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县公安局、县应急管理局等</w:t>
            </w:r>
          </w:p>
        </w:tc>
        <w:tc>
          <w:tcPr>
            <w:tcW w:w="1860" w:type="dxa"/>
            <w:shd w:val="clear" w:color="auto" w:fill="auto"/>
            <w:tcMar>
              <w:top w:w="0" w:type="dxa"/>
              <w:left w:w="105" w:type="dxa"/>
              <w:bottom w:w="0" w:type="dxa"/>
              <w:right w:w="105" w:type="dxa"/>
            </w:tcMar>
            <w:vAlign w:val="center"/>
          </w:tcPr>
          <w:p w14:paraId="5958E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highlight w:val="yellow"/>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vAlign w:val="center"/>
          </w:tcPr>
          <w:p w14:paraId="197A1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77F7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5" w:hRule="atLeast"/>
          <w:tblCellSpacing w:w="0" w:type="dxa"/>
          <w:jc w:val="center"/>
        </w:trPr>
        <w:tc>
          <w:tcPr>
            <w:tcW w:w="574" w:type="dxa"/>
            <w:shd w:val="clear" w:color="auto" w:fill="auto"/>
            <w:tcMar>
              <w:top w:w="0" w:type="dxa"/>
              <w:left w:w="105" w:type="dxa"/>
              <w:bottom w:w="0" w:type="dxa"/>
              <w:right w:w="105" w:type="dxa"/>
            </w:tcMar>
            <w:vAlign w:val="center"/>
          </w:tcPr>
          <w:p w14:paraId="5AA72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18</w:t>
            </w:r>
          </w:p>
        </w:tc>
        <w:tc>
          <w:tcPr>
            <w:tcW w:w="1579" w:type="dxa"/>
            <w:shd w:val="clear" w:color="auto" w:fill="auto"/>
            <w:tcMar>
              <w:top w:w="0" w:type="dxa"/>
              <w:left w:w="105" w:type="dxa"/>
              <w:bottom w:w="0" w:type="dxa"/>
              <w:right w:w="105" w:type="dxa"/>
            </w:tcMar>
            <w:vAlign w:val="center"/>
          </w:tcPr>
          <w:p w14:paraId="67D1F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环境污染事件</w:t>
            </w:r>
          </w:p>
        </w:tc>
        <w:tc>
          <w:tcPr>
            <w:tcW w:w="1929" w:type="dxa"/>
            <w:vMerge w:val="restart"/>
            <w:shd w:val="clear" w:color="auto" w:fill="auto"/>
            <w:tcMar>
              <w:top w:w="0" w:type="dxa"/>
              <w:left w:w="105" w:type="dxa"/>
              <w:bottom w:w="0" w:type="dxa"/>
              <w:right w:w="105" w:type="dxa"/>
            </w:tcMar>
            <w:vAlign w:val="center"/>
          </w:tcPr>
          <w:p w14:paraId="73F59E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县生态环境局</w:t>
            </w:r>
          </w:p>
        </w:tc>
        <w:tc>
          <w:tcPr>
            <w:tcW w:w="2683" w:type="dxa"/>
            <w:vMerge w:val="restart"/>
            <w:shd w:val="clear" w:color="auto" w:fill="auto"/>
            <w:tcMar>
              <w:top w:w="0" w:type="dxa"/>
              <w:left w:w="105" w:type="dxa"/>
              <w:bottom w:w="0" w:type="dxa"/>
              <w:right w:w="105" w:type="dxa"/>
            </w:tcMar>
            <w:vAlign w:val="center"/>
          </w:tcPr>
          <w:p w14:paraId="7E6314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指挥部成员单位</w:t>
            </w:r>
          </w:p>
        </w:tc>
        <w:tc>
          <w:tcPr>
            <w:tcW w:w="1860" w:type="dxa"/>
            <w:vMerge w:val="restart"/>
            <w:shd w:val="clear" w:color="auto" w:fill="auto"/>
            <w:tcMar>
              <w:top w:w="0" w:type="dxa"/>
              <w:left w:w="105" w:type="dxa"/>
              <w:bottom w:w="0" w:type="dxa"/>
              <w:right w:w="105" w:type="dxa"/>
            </w:tcMar>
            <w:vAlign w:val="center"/>
          </w:tcPr>
          <w:p w14:paraId="6F1DE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县生态环境事件应急指挥部</w:t>
            </w:r>
          </w:p>
        </w:tc>
        <w:tc>
          <w:tcPr>
            <w:tcW w:w="1425" w:type="dxa"/>
            <w:shd w:val="clear" w:color="auto" w:fill="auto"/>
            <w:vAlign w:val="center"/>
          </w:tcPr>
          <w:p w14:paraId="5EB40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62DA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0" w:hRule="atLeast"/>
          <w:tblCellSpacing w:w="0" w:type="dxa"/>
          <w:jc w:val="center"/>
        </w:trPr>
        <w:tc>
          <w:tcPr>
            <w:tcW w:w="574" w:type="dxa"/>
            <w:shd w:val="clear" w:color="auto" w:fill="auto"/>
            <w:tcMar>
              <w:top w:w="0" w:type="dxa"/>
              <w:left w:w="105" w:type="dxa"/>
              <w:bottom w:w="0" w:type="dxa"/>
              <w:right w:w="105" w:type="dxa"/>
            </w:tcMar>
            <w:vAlign w:val="center"/>
          </w:tcPr>
          <w:p w14:paraId="687F14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19</w:t>
            </w:r>
          </w:p>
        </w:tc>
        <w:tc>
          <w:tcPr>
            <w:tcW w:w="1579" w:type="dxa"/>
            <w:shd w:val="clear" w:color="auto" w:fill="auto"/>
            <w:tcMar>
              <w:top w:w="0" w:type="dxa"/>
              <w:left w:w="105" w:type="dxa"/>
              <w:bottom w:w="0" w:type="dxa"/>
              <w:right w:w="105" w:type="dxa"/>
            </w:tcMar>
            <w:vAlign w:val="center"/>
          </w:tcPr>
          <w:p w14:paraId="700F0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生态破坏事件</w:t>
            </w:r>
          </w:p>
        </w:tc>
        <w:tc>
          <w:tcPr>
            <w:tcW w:w="1929" w:type="dxa"/>
            <w:vMerge w:val="continue"/>
            <w:shd w:val="clear" w:color="auto" w:fill="auto"/>
            <w:tcMar>
              <w:top w:w="0" w:type="dxa"/>
              <w:left w:w="105" w:type="dxa"/>
              <w:bottom w:w="0" w:type="dxa"/>
              <w:right w:w="105" w:type="dxa"/>
            </w:tcMar>
            <w:vAlign w:val="center"/>
          </w:tcPr>
          <w:p w14:paraId="3454B0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2683" w:type="dxa"/>
            <w:vMerge w:val="continue"/>
            <w:shd w:val="clear" w:color="auto" w:fill="auto"/>
            <w:tcMar>
              <w:top w:w="0" w:type="dxa"/>
              <w:left w:w="105" w:type="dxa"/>
              <w:bottom w:w="0" w:type="dxa"/>
              <w:right w:w="105" w:type="dxa"/>
            </w:tcMar>
            <w:vAlign w:val="center"/>
          </w:tcPr>
          <w:p w14:paraId="4935C3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1860" w:type="dxa"/>
            <w:vMerge w:val="continue"/>
            <w:shd w:val="clear" w:color="auto" w:fill="auto"/>
            <w:tcMar>
              <w:top w:w="0" w:type="dxa"/>
              <w:left w:w="105" w:type="dxa"/>
              <w:bottom w:w="0" w:type="dxa"/>
              <w:right w:w="105" w:type="dxa"/>
            </w:tcMar>
            <w:vAlign w:val="center"/>
          </w:tcPr>
          <w:p w14:paraId="519A7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1425" w:type="dxa"/>
            <w:shd w:val="clear" w:color="auto" w:fill="auto"/>
            <w:vAlign w:val="center"/>
          </w:tcPr>
          <w:p w14:paraId="1B9C82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70D3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35" w:hRule="atLeast"/>
          <w:tblCellSpacing w:w="0" w:type="dxa"/>
          <w:jc w:val="center"/>
        </w:trPr>
        <w:tc>
          <w:tcPr>
            <w:tcW w:w="574" w:type="dxa"/>
            <w:shd w:val="clear" w:color="auto" w:fill="auto"/>
            <w:tcMar>
              <w:top w:w="0" w:type="dxa"/>
              <w:left w:w="105" w:type="dxa"/>
              <w:bottom w:w="0" w:type="dxa"/>
              <w:right w:w="105" w:type="dxa"/>
            </w:tcMar>
            <w:vAlign w:val="center"/>
          </w:tcPr>
          <w:p w14:paraId="14BDC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0</w:t>
            </w:r>
          </w:p>
        </w:tc>
        <w:tc>
          <w:tcPr>
            <w:tcW w:w="1579" w:type="dxa"/>
            <w:shd w:val="clear" w:color="auto" w:fill="auto"/>
            <w:tcMar>
              <w:top w:w="0" w:type="dxa"/>
              <w:left w:w="105" w:type="dxa"/>
              <w:bottom w:w="0" w:type="dxa"/>
              <w:right w:w="105" w:type="dxa"/>
            </w:tcMar>
            <w:vAlign w:val="center"/>
          </w:tcPr>
          <w:p w14:paraId="23F64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大气重污染事件</w:t>
            </w:r>
          </w:p>
        </w:tc>
        <w:tc>
          <w:tcPr>
            <w:tcW w:w="1929" w:type="dxa"/>
            <w:vMerge w:val="continue"/>
            <w:shd w:val="clear" w:color="auto" w:fill="auto"/>
            <w:tcMar>
              <w:top w:w="0" w:type="dxa"/>
              <w:left w:w="105" w:type="dxa"/>
              <w:bottom w:w="0" w:type="dxa"/>
              <w:right w:w="105" w:type="dxa"/>
            </w:tcMar>
            <w:vAlign w:val="center"/>
          </w:tcPr>
          <w:p w14:paraId="11990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2683" w:type="dxa"/>
            <w:vMerge w:val="continue"/>
            <w:shd w:val="clear" w:color="auto" w:fill="auto"/>
            <w:tcMar>
              <w:top w:w="0" w:type="dxa"/>
              <w:left w:w="105" w:type="dxa"/>
              <w:bottom w:w="0" w:type="dxa"/>
              <w:right w:w="105" w:type="dxa"/>
            </w:tcMar>
            <w:vAlign w:val="center"/>
          </w:tcPr>
          <w:p w14:paraId="1F9B9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1860" w:type="dxa"/>
            <w:vMerge w:val="continue"/>
            <w:shd w:val="clear" w:color="auto" w:fill="auto"/>
            <w:tcMar>
              <w:top w:w="0" w:type="dxa"/>
              <w:left w:w="105" w:type="dxa"/>
              <w:bottom w:w="0" w:type="dxa"/>
              <w:right w:w="105" w:type="dxa"/>
            </w:tcMar>
            <w:vAlign w:val="center"/>
          </w:tcPr>
          <w:p w14:paraId="389E81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p>
        </w:tc>
        <w:tc>
          <w:tcPr>
            <w:tcW w:w="1425" w:type="dxa"/>
            <w:shd w:val="clear" w:color="auto" w:fill="auto"/>
            <w:tcMar>
              <w:top w:w="0" w:type="dxa"/>
              <w:left w:w="105" w:type="dxa"/>
              <w:bottom w:w="0" w:type="dxa"/>
              <w:right w:w="105" w:type="dxa"/>
            </w:tcMar>
            <w:vAlign w:val="center"/>
          </w:tcPr>
          <w:p w14:paraId="7FDCBE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600A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70" w:hRule="atLeast"/>
          <w:tblCellSpacing w:w="0" w:type="dxa"/>
          <w:jc w:val="center"/>
        </w:trPr>
        <w:tc>
          <w:tcPr>
            <w:tcW w:w="574" w:type="dxa"/>
            <w:shd w:val="clear" w:color="auto" w:fill="auto"/>
            <w:tcMar>
              <w:top w:w="0" w:type="dxa"/>
              <w:left w:w="105" w:type="dxa"/>
              <w:bottom w:w="0" w:type="dxa"/>
              <w:right w:w="105" w:type="dxa"/>
            </w:tcMar>
            <w:vAlign w:val="center"/>
          </w:tcPr>
          <w:p w14:paraId="3B782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1</w:t>
            </w:r>
          </w:p>
        </w:tc>
        <w:tc>
          <w:tcPr>
            <w:tcW w:w="1579" w:type="dxa"/>
            <w:shd w:val="clear" w:color="auto" w:fill="auto"/>
            <w:tcMar>
              <w:top w:w="0" w:type="dxa"/>
              <w:left w:w="105" w:type="dxa"/>
              <w:bottom w:w="0" w:type="dxa"/>
              <w:right w:w="105" w:type="dxa"/>
            </w:tcMar>
            <w:vAlign w:val="center"/>
          </w:tcPr>
          <w:p w14:paraId="4A0F9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饮用水水源污染事件</w:t>
            </w:r>
          </w:p>
        </w:tc>
        <w:tc>
          <w:tcPr>
            <w:tcW w:w="1929" w:type="dxa"/>
            <w:vMerge w:val="continue"/>
            <w:shd w:val="clear" w:color="auto" w:fill="auto"/>
            <w:tcMar>
              <w:top w:w="0" w:type="dxa"/>
              <w:left w:w="105" w:type="dxa"/>
              <w:bottom w:w="0" w:type="dxa"/>
              <w:right w:w="105" w:type="dxa"/>
            </w:tcMar>
            <w:vAlign w:val="center"/>
          </w:tcPr>
          <w:p w14:paraId="5B8E2D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vMerge w:val="continue"/>
            <w:shd w:val="clear" w:color="auto" w:fill="auto"/>
            <w:tcMar>
              <w:top w:w="0" w:type="dxa"/>
              <w:left w:w="105" w:type="dxa"/>
              <w:bottom w:w="0" w:type="dxa"/>
              <w:right w:w="105" w:type="dxa"/>
            </w:tcMar>
            <w:vAlign w:val="center"/>
          </w:tcPr>
          <w:p w14:paraId="39E856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860" w:type="dxa"/>
            <w:vMerge w:val="continue"/>
            <w:shd w:val="clear" w:color="auto" w:fill="auto"/>
            <w:tcMar>
              <w:top w:w="0" w:type="dxa"/>
              <w:left w:w="105" w:type="dxa"/>
              <w:bottom w:w="0" w:type="dxa"/>
              <w:right w:w="105" w:type="dxa"/>
            </w:tcMar>
            <w:vAlign w:val="center"/>
          </w:tcPr>
          <w:p w14:paraId="5A016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425" w:type="dxa"/>
            <w:shd w:val="clear" w:color="auto" w:fill="auto"/>
            <w:tcMar>
              <w:top w:w="0" w:type="dxa"/>
              <w:left w:w="105" w:type="dxa"/>
              <w:bottom w:w="0" w:type="dxa"/>
              <w:right w:w="105" w:type="dxa"/>
            </w:tcMar>
            <w:vAlign w:val="center"/>
          </w:tcPr>
          <w:p w14:paraId="5DB27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33F0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35" w:hRule="atLeast"/>
          <w:tblCellSpacing w:w="0" w:type="dxa"/>
          <w:jc w:val="center"/>
        </w:trPr>
        <w:tc>
          <w:tcPr>
            <w:tcW w:w="574" w:type="dxa"/>
            <w:shd w:val="clear" w:color="auto" w:fill="auto"/>
            <w:tcMar>
              <w:top w:w="0" w:type="dxa"/>
              <w:left w:w="105" w:type="dxa"/>
              <w:bottom w:w="0" w:type="dxa"/>
              <w:right w:w="105" w:type="dxa"/>
            </w:tcMar>
            <w:vAlign w:val="center"/>
          </w:tcPr>
          <w:p w14:paraId="1FEB0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2</w:t>
            </w:r>
          </w:p>
        </w:tc>
        <w:tc>
          <w:tcPr>
            <w:tcW w:w="1579" w:type="dxa"/>
            <w:shd w:val="clear" w:color="auto" w:fill="auto"/>
            <w:tcMar>
              <w:top w:w="0" w:type="dxa"/>
              <w:left w:w="105" w:type="dxa"/>
              <w:bottom w:w="0" w:type="dxa"/>
              <w:right w:w="105" w:type="dxa"/>
            </w:tcMar>
            <w:vAlign w:val="center"/>
          </w:tcPr>
          <w:p w14:paraId="79228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火灾事故</w:t>
            </w:r>
          </w:p>
        </w:tc>
        <w:tc>
          <w:tcPr>
            <w:tcW w:w="1929" w:type="dxa"/>
            <w:shd w:val="clear" w:color="auto" w:fill="auto"/>
            <w:tcMar>
              <w:top w:w="0" w:type="dxa"/>
              <w:left w:w="105" w:type="dxa"/>
              <w:bottom w:w="0" w:type="dxa"/>
              <w:right w:w="105" w:type="dxa"/>
            </w:tcMar>
            <w:vAlign w:val="center"/>
          </w:tcPr>
          <w:p w14:paraId="62992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县消防救援大队</w:t>
            </w:r>
          </w:p>
        </w:tc>
        <w:tc>
          <w:tcPr>
            <w:tcW w:w="2683" w:type="dxa"/>
            <w:shd w:val="clear" w:color="auto" w:fill="auto"/>
            <w:tcMar>
              <w:top w:w="0" w:type="dxa"/>
              <w:left w:w="105" w:type="dxa"/>
              <w:bottom w:w="0" w:type="dxa"/>
              <w:right w:w="105" w:type="dxa"/>
            </w:tcMar>
            <w:vAlign w:val="center"/>
          </w:tcPr>
          <w:p w14:paraId="763C7A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消防委成员单位</w:t>
            </w:r>
          </w:p>
        </w:tc>
        <w:tc>
          <w:tcPr>
            <w:tcW w:w="1860" w:type="dxa"/>
            <w:shd w:val="clear" w:color="auto" w:fill="auto"/>
            <w:tcMar>
              <w:top w:w="0" w:type="dxa"/>
              <w:left w:w="105" w:type="dxa"/>
              <w:bottom w:w="0" w:type="dxa"/>
              <w:right w:w="105" w:type="dxa"/>
            </w:tcMar>
            <w:vAlign w:val="center"/>
          </w:tcPr>
          <w:p w14:paraId="7762E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县消防安全委员会</w:t>
            </w:r>
          </w:p>
        </w:tc>
        <w:tc>
          <w:tcPr>
            <w:tcW w:w="1425" w:type="dxa"/>
            <w:shd w:val="clear" w:color="auto" w:fill="auto"/>
            <w:tcMar>
              <w:top w:w="0" w:type="dxa"/>
              <w:left w:w="105" w:type="dxa"/>
              <w:bottom w:w="0" w:type="dxa"/>
              <w:right w:w="105" w:type="dxa"/>
            </w:tcMar>
            <w:vAlign w:val="center"/>
          </w:tcPr>
          <w:p w14:paraId="05239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3B55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3" w:hRule="atLeast"/>
          <w:tblCellSpacing w:w="0" w:type="dxa"/>
          <w:jc w:val="center"/>
        </w:trPr>
        <w:tc>
          <w:tcPr>
            <w:tcW w:w="574" w:type="dxa"/>
            <w:shd w:val="clear" w:color="auto" w:fill="auto"/>
            <w:tcMar>
              <w:top w:w="0" w:type="dxa"/>
              <w:left w:w="105" w:type="dxa"/>
              <w:bottom w:w="0" w:type="dxa"/>
              <w:right w:w="105" w:type="dxa"/>
            </w:tcMar>
            <w:vAlign w:val="center"/>
          </w:tcPr>
          <w:p w14:paraId="13DA5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3</w:t>
            </w:r>
          </w:p>
        </w:tc>
        <w:tc>
          <w:tcPr>
            <w:tcW w:w="1579" w:type="dxa"/>
            <w:shd w:val="clear" w:color="auto" w:fill="auto"/>
            <w:tcMar>
              <w:top w:w="0" w:type="dxa"/>
              <w:left w:w="105" w:type="dxa"/>
              <w:bottom w:w="0" w:type="dxa"/>
              <w:right w:w="105" w:type="dxa"/>
            </w:tcMar>
            <w:vAlign w:val="center"/>
          </w:tcPr>
          <w:p w14:paraId="2D674E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工矿商贸企业事故</w:t>
            </w:r>
          </w:p>
        </w:tc>
        <w:tc>
          <w:tcPr>
            <w:tcW w:w="1929" w:type="dxa"/>
            <w:vMerge w:val="restart"/>
            <w:shd w:val="clear" w:color="auto" w:fill="auto"/>
            <w:tcMar>
              <w:top w:w="0" w:type="dxa"/>
              <w:left w:w="105" w:type="dxa"/>
              <w:bottom w:w="0" w:type="dxa"/>
              <w:right w:w="105" w:type="dxa"/>
            </w:tcMar>
            <w:vAlign w:val="center"/>
          </w:tcPr>
          <w:p w14:paraId="3F3A6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县应急管理局</w:t>
            </w:r>
          </w:p>
        </w:tc>
        <w:tc>
          <w:tcPr>
            <w:tcW w:w="2683" w:type="dxa"/>
            <w:shd w:val="clear" w:color="auto" w:fill="auto"/>
            <w:tcMar>
              <w:top w:w="0" w:type="dxa"/>
              <w:left w:w="105" w:type="dxa"/>
              <w:bottom w:w="0" w:type="dxa"/>
              <w:right w:w="105" w:type="dxa"/>
            </w:tcMar>
            <w:vAlign w:val="center"/>
          </w:tcPr>
          <w:p w14:paraId="08D61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安委会成员单位</w:t>
            </w:r>
          </w:p>
        </w:tc>
        <w:tc>
          <w:tcPr>
            <w:tcW w:w="1860" w:type="dxa"/>
            <w:shd w:val="clear" w:color="auto" w:fill="auto"/>
            <w:tcMar>
              <w:top w:w="0" w:type="dxa"/>
              <w:left w:w="105" w:type="dxa"/>
              <w:bottom w:w="0" w:type="dxa"/>
              <w:right w:w="105" w:type="dxa"/>
            </w:tcMar>
            <w:vAlign w:val="center"/>
          </w:tcPr>
          <w:p w14:paraId="32CA46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县安全生产委员会</w:t>
            </w:r>
          </w:p>
        </w:tc>
        <w:tc>
          <w:tcPr>
            <w:tcW w:w="1425" w:type="dxa"/>
            <w:shd w:val="clear" w:color="auto" w:fill="auto"/>
            <w:tcMar>
              <w:top w:w="0" w:type="dxa"/>
              <w:left w:w="105" w:type="dxa"/>
              <w:bottom w:w="0" w:type="dxa"/>
              <w:right w:w="105" w:type="dxa"/>
            </w:tcMar>
            <w:vAlign w:val="center"/>
          </w:tcPr>
          <w:p w14:paraId="1FBBE1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2F5D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0" w:hRule="atLeast"/>
          <w:tblCellSpacing w:w="0" w:type="dxa"/>
          <w:jc w:val="center"/>
        </w:trPr>
        <w:tc>
          <w:tcPr>
            <w:tcW w:w="574" w:type="dxa"/>
            <w:shd w:val="clear" w:color="auto" w:fill="auto"/>
            <w:tcMar>
              <w:top w:w="0" w:type="dxa"/>
              <w:left w:w="105" w:type="dxa"/>
              <w:bottom w:w="0" w:type="dxa"/>
              <w:right w:w="105" w:type="dxa"/>
            </w:tcMar>
            <w:vAlign w:val="center"/>
          </w:tcPr>
          <w:p w14:paraId="3BD15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4</w:t>
            </w:r>
          </w:p>
        </w:tc>
        <w:tc>
          <w:tcPr>
            <w:tcW w:w="1579" w:type="dxa"/>
            <w:shd w:val="clear" w:color="auto" w:fill="auto"/>
            <w:tcMar>
              <w:top w:w="0" w:type="dxa"/>
              <w:left w:w="105" w:type="dxa"/>
              <w:bottom w:w="0" w:type="dxa"/>
              <w:right w:w="105" w:type="dxa"/>
            </w:tcMar>
            <w:vAlign w:val="center"/>
          </w:tcPr>
          <w:p w14:paraId="61FAD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危险化学品事故</w:t>
            </w:r>
          </w:p>
        </w:tc>
        <w:tc>
          <w:tcPr>
            <w:tcW w:w="1929" w:type="dxa"/>
            <w:vMerge w:val="continue"/>
            <w:shd w:val="clear" w:color="auto" w:fill="auto"/>
            <w:tcMar>
              <w:top w:w="0" w:type="dxa"/>
              <w:left w:w="105" w:type="dxa"/>
              <w:bottom w:w="0" w:type="dxa"/>
              <w:right w:w="105" w:type="dxa"/>
            </w:tcMar>
            <w:vAlign w:val="center"/>
          </w:tcPr>
          <w:p w14:paraId="5F4B8C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c>
          <w:tcPr>
            <w:tcW w:w="2683" w:type="dxa"/>
            <w:shd w:val="clear" w:color="auto" w:fill="auto"/>
            <w:tcMar>
              <w:top w:w="0" w:type="dxa"/>
              <w:left w:w="105" w:type="dxa"/>
              <w:bottom w:w="0" w:type="dxa"/>
              <w:right w:w="105" w:type="dxa"/>
            </w:tcMar>
            <w:vAlign w:val="center"/>
          </w:tcPr>
          <w:p w14:paraId="2D278A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安委会成员单位</w:t>
            </w:r>
          </w:p>
        </w:tc>
        <w:tc>
          <w:tcPr>
            <w:tcW w:w="1860" w:type="dxa"/>
            <w:shd w:val="clear" w:color="auto" w:fill="auto"/>
            <w:tcMar>
              <w:top w:w="0" w:type="dxa"/>
              <w:left w:w="105" w:type="dxa"/>
              <w:bottom w:w="0" w:type="dxa"/>
              <w:right w:w="105" w:type="dxa"/>
            </w:tcMar>
            <w:vAlign w:val="center"/>
          </w:tcPr>
          <w:p w14:paraId="3924D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县安全生产委员会</w:t>
            </w:r>
          </w:p>
        </w:tc>
        <w:tc>
          <w:tcPr>
            <w:tcW w:w="1425" w:type="dxa"/>
            <w:shd w:val="clear" w:color="auto" w:fill="auto"/>
            <w:tcMar>
              <w:top w:w="0" w:type="dxa"/>
              <w:left w:w="105" w:type="dxa"/>
              <w:bottom w:w="0" w:type="dxa"/>
              <w:right w:w="105" w:type="dxa"/>
            </w:tcMar>
            <w:vAlign w:val="center"/>
          </w:tcPr>
          <w:p w14:paraId="294A41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3B27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blCellSpacing w:w="0" w:type="dxa"/>
          <w:jc w:val="center"/>
        </w:trPr>
        <w:tc>
          <w:tcPr>
            <w:tcW w:w="574" w:type="dxa"/>
            <w:shd w:val="clear" w:color="auto" w:fill="auto"/>
            <w:tcMar>
              <w:top w:w="0" w:type="dxa"/>
              <w:left w:w="105" w:type="dxa"/>
              <w:bottom w:w="0" w:type="dxa"/>
              <w:right w:w="105" w:type="dxa"/>
            </w:tcMar>
            <w:vAlign w:val="center"/>
          </w:tcPr>
          <w:p w14:paraId="3FE2E9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5</w:t>
            </w:r>
          </w:p>
        </w:tc>
        <w:tc>
          <w:tcPr>
            <w:tcW w:w="1579" w:type="dxa"/>
            <w:shd w:val="clear" w:color="auto" w:fill="auto"/>
            <w:tcMar>
              <w:top w:w="0" w:type="dxa"/>
              <w:left w:w="105" w:type="dxa"/>
              <w:bottom w:w="0" w:type="dxa"/>
              <w:right w:w="105" w:type="dxa"/>
            </w:tcMar>
            <w:vAlign w:val="center"/>
          </w:tcPr>
          <w:p w14:paraId="1A54D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烟花爆竹事故</w:t>
            </w:r>
          </w:p>
        </w:tc>
        <w:tc>
          <w:tcPr>
            <w:tcW w:w="1929" w:type="dxa"/>
            <w:vMerge w:val="continue"/>
            <w:shd w:val="clear" w:color="auto" w:fill="auto"/>
            <w:tcMar>
              <w:top w:w="0" w:type="dxa"/>
              <w:left w:w="105" w:type="dxa"/>
              <w:bottom w:w="0" w:type="dxa"/>
              <w:right w:w="105" w:type="dxa"/>
            </w:tcMar>
            <w:vAlign w:val="center"/>
          </w:tcPr>
          <w:p w14:paraId="43AA4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5F0A9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安委会成员单位</w:t>
            </w:r>
          </w:p>
        </w:tc>
        <w:tc>
          <w:tcPr>
            <w:tcW w:w="1860" w:type="dxa"/>
            <w:shd w:val="clear" w:color="auto" w:fill="auto"/>
            <w:tcMar>
              <w:top w:w="0" w:type="dxa"/>
              <w:left w:w="105" w:type="dxa"/>
              <w:bottom w:w="0" w:type="dxa"/>
              <w:right w:w="105" w:type="dxa"/>
            </w:tcMar>
            <w:vAlign w:val="center"/>
          </w:tcPr>
          <w:p w14:paraId="5E712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县安全生产委员会</w:t>
            </w:r>
          </w:p>
        </w:tc>
        <w:tc>
          <w:tcPr>
            <w:tcW w:w="1425" w:type="dxa"/>
            <w:shd w:val="clear" w:color="auto" w:fill="auto"/>
            <w:tcMar>
              <w:top w:w="0" w:type="dxa"/>
              <w:left w:w="105" w:type="dxa"/>
              <w:bottom w:w="0" w:type="dxa"/>
              <w:right w:w="105" w:type="dxa"/>
            </w:tcMar>
            <w:vAlign w:val="center"/>
          </w:tcPr>
          <w:p w14:paraId="55346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2E53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blCellSpacing w:w="0" w:type="dxa"/>
          <w:jc w:val="center"/>
        </w:trPr>
        <w:tc>
          <w:tcPr>
            <w:tcW w:w="574" w:type="dxa"/>
            <w:shd w:val="clear" w:color="auto" w:fill="auto"/>
            <w:tcMar>
              <w:top w:w="0" w:type="dxa"/>
              <w:left w:w="105" w:type="dxa"/>
              <w:bottom w:w="0" w:type="dxa"/>
              <w:right w:w="105" w:type="dxa"/>
            </w:tcMar>
            <w:vAlign w:val="center"/>
          </w:tcPr>
          <w:p w14:paraId="1226D7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类别</w:t>
            </w:r>
          </w:p>
        </w:tc>
        <w:tc>
          <w:tcPr>
            <w:tcW w:w="1579" w:type="dxa"/>
            <w:shd w:val="clear" w:color="auto" w:fill="auto"/>
            <w:tcMar>
              <w:top w:w="0" w:type="dxa"/>
              <w:left w:w="105" w:type="dxa"/>
              <w:bottom w:w="0" w:type="dxa"/>
              <w:right w:w="105" w:type="dxa"/>
            </w:tcMar>
            <w:vAlign w:val="center"/>
          </w:tcPr>
          <w:p w14:paraId="388D7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公共卫生事件</w:t>
            </w:r>
          </w:p>
        </w:tc>
        <w:tc>
          <w:tcPr>
            <w:tcW w:w="1929" w:type="dxa"/>
            <w:shd w:val="clear" w:color="auto" w:fill="auto"/>
            <w:tcMar>
              <w:top w:w="0" w:type="dxa"/>
              <w:left w:w="105" w:type="dxa"/>
              <w:bottom w:w="0" w:type="dxa"/>
              <w:right w:w="105" w:type="dxa"/>
            </w:tcMar>
            <w:vAlign w:val="center"/>
          </w:tcPr>
          <w:p w14:paraId="2F33A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应急主管部门</w:t>
            </w:r>
          </w:p>
        </w:tc>
        <w:tc>
          <w:tcPr>
            <w:tcW w:w="2683" w:type="dxa"/>
            <w:shd w:val="clear" w:color="auto" w:fill="auto"/>
            <w:tcMar>
              <w:top w:w="0" w:type="dxa"/>
              <w:left w:w="105" w:type="dxa"/>
              <w:bottom w:w="0" w:type="dxa"/>
              <w:right w:w="105" w:type="dxa"/>
            </w:tcMar>
            <w:vAlign w:val="center"/>
          </w:tcPr>
          <w:p w14:paraId="46DB9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应急协助部门</w:t>
            </w:r>
          </w:p>
        </w:tc>
        <w:tc>
          <w:tcPr>
            <w:tcW w:w="1860" w:type="dxa"/>
            <w:shd w:val="clear" w:color="auto" w:fill="auto"/>
            <w:tcMar>
              <w:top w:w="0" w:type="dxa"/>
              <w:left w:w="105" w:type="dxa"/>
              <w:bottom w:w="0" w:type="dxa"/>
              <w:right w:w="105" w:type="dxa"/>
            </w:tcMar>
            <w:vAlign w:val="center"/>
          </w:tcPr>
          <w:p w14:paraId="3280C8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专项指挥机构</w:t>
            </w:r>
          </w:p>
        </w:tc>
        <w:tc>
          <w:tcPr>
            <w:tcW w:w="1425" w:type="dxa"/>
            <w:shd w:val="clear" w:color="auto" w:fill="auto"/>
            <w:tcMar>
              <w:top w:w="0" w:type="dxa"/>
              <w:left w:w="105" w:type="dxa"/>
              <w:bottom w:w="0" w:type="dxa"/>
              <w:right w:w="105" w:type="dxa"/>
            </w:tcMar>
            <w:vAlign w:val="center"/>
          </w:tcPr>
          <w:p w14:paraId="290A7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b/>
                <w:color w:val="333333"/>
                <w:kern w:val="0"/>
                <w:sz w:val="21"/>
                <w:szCs w:val="21"/>
                <w:u w:val="none"/>
                <w:lang w:val="en-US" w:eastAsia="zh-CN" w:bidi="ar-SA"/>
              </w:rPr>
              <w:t>属地单位</w:t>
            </w:r>
          </w:p>
        </w:tc>
      </w:tr>
      <w:tr w14:paraId="36E8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0" w:type="dxa"/>
          <w:jc w:val="center"/>
        </w:trPr>
        <w:tc>
          <w:tcPr>
            <w:tcW w:w="574" w:type="dxa"/>
            <w:shd w:val="clear" w:color="auto" w:fill="auto"/>
            <w:tcMar>
              <w:top w:w="0" w:type="dxa"/>
              <w:left w:w="105" w:type="dxa"/>
              <w:bottom w:w="0" w:type="dxa"/>
              <w:right w:w="105" w:type="dxa"/>
            </w:tcMar>
            <w:vAlign w:val="center"/>
          </w:tcPr>
          <w:p w14:paraId="16F31B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2</w:t>
            </w:r>
            <w:r>
              <w:rPr>
                <w:rFonts w:hint="default" w:ascii="仿宋" w:hAnsi="仿宋" w:eastAsia="仿宋" w:cs="仿宋"/>
                <w:color w:val="333333"/>
                <w:kern w:val="0"/>
                <w:sz w:val="21"/>
                <w:szCs w:val="21"/>
                <w:u w:val="none"/>
                <w:lang w:val="en-US" w:eastAsia="zh-CN" w:bidi="ar-SA"/>
              </w:rPr>
              <w:t>6</w:t>
            </w:r>
          </w:p>
        </w:tc>
        <w:tc>
          <w:tcPr>
            <w:tcW w:w="1579" w:type="dxa"/>
            <w:shd w:val="clear" w:color="auto" w:fill="auto"/>
            <w:tcMar>
              <w:top w:w="0" w:type="dxa"/>
              <w:left w:w="105" w:type="dxa"/>
              <w:bottom w:w="0" w:type="dxa"/>
              <w:right w:w="105" w:type="dxa"/>
            </w:tcMar>
            <w:vAlign w:val="center"/>
          </w:tcPr>
          <w:p w14:paraId="429A8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重大传染病疫情</w:t>
            </w:r>
          </w:p>
        </w:tc>
        <w:tc>
          <w:tcPr>
            <w:tcW w:w="1929" w:type="dxa"/>
            <w:shd w:val="clear" w:color="auto" w:fill="auto"/>
            <w:tcMar>
              <w:top w:w="0" w:type="dxa"/>
              <w:left w:w="105" w:type="dxa"/>
              <w:bottom w:w="0" w:type="dxa"/>
              <w:right w:w="105" w:type="dxa"/>
            </w:tcMar>
            <w:vAlign w:val="center"/>
          </w:tcPr>
          <w:p w14:paraId="671E57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县卫生健康委</w:t>
            </w:r>
          </w:p>
        </w:tc>
        <w:tc>
          <w:tcPr>
            <w:tcW w:w="2683" w:type="dxa"/>
            <w:shd w:val="clear" w:color="auto" w:fill="auto"/>
            <w:tcMar>
              <w:top w:w="0" w:type="dxa"/>
              <w:left w:w="105" w:type="dxa"/>
              <w:bottom w:w="0" w:type="dxa"/>
              <w:right w:w="105" w:type="dxa"/>
            </w:tcMar>
            <w:vAlign w:val="center"/>
          </w:tcPr>
          <w:p w14:paraId="6B1C2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县教育局、县公安局、县财政局、县交通运输局、县农业农村局、县应急管理局、县市场监督管理局等</w:t>
            </w:r>
          </w:p>
        </w:tc>
        <w:tc>
          <w:tcPr>
            <w:tcW w:w="1860" w:type="dxa"/>
            <w:shd w:val="clear" w:color="auto" w:fill="auto"/>
            <w:tcMar>
              <w:top w:w="0" w:type="dxa"/>
              <w:left w:w="105" w:type="dxa"/>
              <w:bottom w:w="0" w:type="dxa"/>
              <w:right w:w="105" w:type="dxa"/>
            </w:tcMar>
            <w:vAlign w:val="center"/>
          </w:tcPr>
          <w:p w14:paraId="2098C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县公共卫生事件应急指挥部</w:t>
            </w:r>
          </w:p>
        </w:tc>
        <w:tc>
          <w:tcPr>
            <w:tcW w:w="1425" w:type="dxa"/>
            <w:shd w:val="clear" w:color="auto" w:fill="auto"/>
            <w:tcMar>
              <w:top w:w="0" w:type="dxa"/>
              <w:left w:w="105" w:type="dxa"/>
              <w:bottom w:w="0" w:type="dxa"/>
              <w:right w:w="105" w:type="dxa"/>
            </w:tcMar>
            <w:vAlign w:val="center"/>
          </w:tcPr>
          <w:p w14:paraId="4F506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4CBC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9" w:hRule="atLeast"/>
          <w:tblCellSpacing w:w="0" w:type="dxa"/>
          <w:jc w:val="center"/>
        </w:trPr>
        <w:tc>
          <w:tcPr>
            <w:tcW w:w="574" w:type="dxa"/>
            <w:shd w:val="clear" w:color="auto" w:fill="auto"/>
            <w:tcMar>
              <w:top w:w="0" w:type="dxa"/>
              <w:left w:w="105" w:type="dxa"/>
              <w:bottom w:w="0" w:type="dxa"/>
              <w:right w:w="105" w:type="dxa"/>
            </w:tcMar>
            <w:vAlign w:val="center"/>
          </w:tcPr>
          <w:p w14:paraId="47612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27</w:t>
            </w:r>
          </w:p>
        </w:tc>
        <w:tc>
          <w:tcPr>
            <w:tcW w:w="1579" w:type="dxa"/>
            <w:shd w:val="clear" w:color="auto" w:fill="auto"/>
            <w:tcMar>
              <w:top w:w="0" w:type="dxa"/>
              <w:left w:w="105" w:type="dxa"/>
              <w:bottom w:w="0" w:type="dxa"/>
              <w:right w:w="105" w:type="dxa"/>
            </w:tcMar>
            <w:vAlign w:val="center"/>
          </w:tcPr>
          <w:p w14:paraId="18804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食品安全事件</w:t>
            </w:r>
          </w:p>
        </w:tc>
        <w:tc>
          <w:tcPr>
            <w:tcW w:w="1929" w:type="dxa"/>
            <w:vMerge w:val="restart"/>
            <w:shd w:val="clear" w:color="auto" w:fill="auto"/>
            <w:tcMar>
              <w:top w:w="0" w:type="dxa"/>
              <w:left w:w="105" w:type="dxa"/>
              <w:bottom w:w="0" w:type="dxa"/>
              <w:right w:w="105" w:type="dxa"/>
            </w:tcMar>
            <w:vAlign w:val="center"/>
          </w:tcPr>
          <w:p w14:paraId="42877C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县市场监督管理局</w:t>
            </w:r>
          </w:p>
        </w:tc>
        <w:tc>
          <w:tcPr>
            <w:tcW w:w="2683" w:type="dxa"/>
            <w:vMerge w:val="restart"/>
            <w:shd w:val="clear" w:color="auto" w:fill="auto"/>
            <w:tcMar>
              <w:top w:w="0" w:type="dxa"/>
              <w:left w:w="105" w:type="dxa"/>
              <w:bottom w:w="0" w:type="dxa"/>
              <w:right w:w="105" w:type="dxa"/>
            </w:tcMar>
            <w:vAlign w:val="center"/>
          </w:tcPr>
          <w:p w14:paraId="0BB4D0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县食品安全委员会成员单位涉及药品相关部门</w:t>
            </w:r>
          </w:p>
        </w:tc>
        <w:tc>
          <w:tcPr>
            <w:tcW w:w="1860" w:type="dxa"/>
            <w:vMerge w:val="restart"/>
            <w:shd w:val="clear" w:color="auto" w:fill="auto"/>
            <w:tcMar>
              <w:top w:w="0" w:type="dxa"/>
              <w:left w:w="105" w:type="dxa"/>
              <w:bottom w:w="0" w:type="dxa"/>
              <w:right w:w="105" w:type="dxa"/>
            </w:tcMar>
            <w:vAlign w:val="center"/>
          </w:tcPr>
          <w:p w14:paraId="2C60A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县食品安全委员会</w:t>
            </w:r>
          </w:p>
        </w:tc>
        <w:tc>
          <w:tcPr>
            <w:tcW w:w="1425" w:type="dxa"/>
            <w:vMerge w:val="restart"/>
            <w:shd w:val="clear" w:color="auto" w:fill="auto"/>
            <w:tcMar>
              <w:top w:w="0" w:type="dxa"/>
              <w:left w:w="105" w:type="dxa"/>
              <w:bottom w:w="0" w:type="dxa"/>
              <w:right w:w="105" w:type="dxa"/>
            </w:tcMar>
            <w:vAlign w:val="center"/>
          </w:tcPr>
          <w:p w14:paraId="0A807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p w14:paraId="74681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5550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76" w:hRule="atLeast"/>
          <w:tblCellSpacing w:w="0" w:type="dxa"/>
          <w:jc w:val="center"/>
        </w:trPr>
        <w:tc>
          <w:tcPr>
            <w:tcW w:w="574" w:type="dxa"/>
            <w:shd w:val="clear" w:color="auto" w:fill="auto"/>
            <w:tcMar>
              <w:top w:w="0" w:type="dxa"/>
              <w:left w:w="105" w:type="dxa"/>
              <w:bottom w:w="0" w:type="dxa"/>
              <w:right w:w="105" w:type="dxa"/>
            </w:tcMar>
            <w:vAlign w:val="center"/>
          </w:tcPr>
          <w:p w14:paraId="6E6619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28</w:t>
            </w:r>
          </w:p>
        </w:tc>
        <w:tc>
          <w:tcPr>
            <w:tcW w:w="1579" w:type="dxa"/>
            <w:shd w:val="clear" w:color="auto" w:fill="auto"/>
            <w:tcMar>
              <w:top w:w="0" w:type="dxa"/>
              <w:left w:w="105" w:type="dxa"/>
              <w:bottom w:w="0" w:type="dxa"/>
              <w:right w:w="105" w:type="dxa"/>
            </w:tcMar>
            <w:vAlign w:val="center"/>
          </w:tcPr>
          <w:p w14:paraId="75D6E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药品安全事件</w:t>
            </w:r>
          </w:p>
        </w:tc>
        <w:tc>
          <w:tcPr>
            <w:tcW w:w="1929" w:type="dxa"/>
            <w:vMerge w:val="continue"/>
            <w:shd w:val="clear" w:color="auto" w:fill="auto"/>
            <w:tcMar>
              <w:top w:w="0" w:type="dxa"/>
              <w:left w:w="105" w:type="dxa"/>
              <w:bottom w:w="0" w:type="dxa"/>
              <w:right w:w="105" w:type="dxa"/>
            </w:tcMar>
            <w:vAlign w:val="center"/>
          </w:tcPr>
          <w:p w14:paraId="637CA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vMerge w:val="continue"/>
            <w:shd w:val="clear" w:color="auto" w:fill="auto"/>
            <w:tcMar>
              <w:top w:w="0" w:type="dxa"/>
              <w:left w:w="105" w:type="dxa"/>
              <w:bottom w:w="0" w:type="dxa"/>
              <w:right w:w="105" w:type="dxa"/>
            </w:tcMar>
            <w:vAlign w:val="center"/>
          </w:tcPr>
          <w:p w14:paraId="3BF26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860" w:type="dxa"/>
            <w:vMerge w:val="continue"/>
            <w:shd w:val="clear" w:color="auto" w:fill="auto"/>
            <w:tcMar>
              <w:top w:w="0" w:type="dxa"/>
              <w:left w:w="105" w:type="dxa"/>
              <w:bottom w:w="0" w:type="dxa"/>
              <w:right w:w="105" w:type="dxa"/>
            </w:tcMar>
            <w:vAlign w:val="center"/>
          </w:tcPr>
          <w:p w14:paraId="64BA0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1425" w:type="dxa"/>
            <w:vMerge w:val="continue"/>
            <w:shd w:val="clear" w:color="auto" w:fill="auto"/>
            <w:tcMar>
              <w:top w:w="0" w:type="dxa"/>
              <w:left w:w="105" w:type="dxa"/>
              <w:bottom w:w="0" w:type="dxa"/>
              <w:right w:w="105" w:type="dxa"/>
            </w:tcMar>
            <w:vAlign w:val="center"/>
          </w:tcPr>
          <w:p w14:paraId="7DF30F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r>
      <w:tr w14:paraId="3265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8" w:hRule="atLeast"/>
          <w:tblCellSpacing w:w="0" w:type="dxa"/>
          <w:jc w:val="center"/>
        </w:trPr>
        <w:tc>
          <w:tcPr>
            <w:tcW w:w="574" w:type="dxa"/>
            <w:shd w:val="clear" w:color="auto" w:fill="auto"/>
            <w:tcMar>
              <w:top w:w="0" w:type="dxa"/>
              <w:left w:w="105" w:type="dxa"/>
              <w:bottom w:w="0" w:type="dxa"/>
              <w:right w:w="105" w:type="dxa"/>
            </w:tcMar>
            <w:vAlign w:val="center"/>
          </w:tcPr>
          <w:p w14:paraId="42C8F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29</w:t>
            </w:r>
          </w:p>
        </w:tc>
        <w:tc>
          <w:tcPr>
            <w:tcW w:w="1579" w:type="dxa"/>
            <w:shd w:val="clear" w:color="auto" w:fill="auto"/>
            <w:tcMar>
              <w:top w:w="0" w:type="dxa"/>
              <w:left w:w="105" w:type="dxa"/>
              <w:bottom w:w="0" w:type="dxa"/>
              <w:right w:w="105" w:type="dxa"/>
            </w:tcMar>
            <w:vAlign w:val="center"/>
          </w:tcPr>
          <w:p w14:paraId="59C01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重大动物疫情</w:t>
            </w:r>
          </w:p>
        </w:tc>
        <w:tc>
          <w:tcPr>
            <w:tcW w:w="1929" w:type="dxa"/>
            <w:shd w:val="clear" w:color="auto" w:fill="auto"/>
            <w:tcMar>
              <w:top w:w="0" w:type="dxa"/>
              <w:left w:w="105" w:type="dxa"/>
              <w:bottom w:w="0" w:type="dxa"/>
              <w:right w:w="105" w:type="dxa"/>
            </w:tcMar>
            <w:vAlign w:val="center"/>
          </w:tcPr>
          <w:p w14:paraId="5BDED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县农业农村局</w:t>
            </w:r>
          </w:p>
        </w:tc>
        <w:tc>
          <w:tcPr>
            <w:tcW w:w="2683" w:type="dxa"/>
            <w:shd w:val="clear" w:color="auto" w:fill="auto"/>
            <w:tcMar>
              <w:top w:w="0" w:type="dxa"/>
              <w:left w:w="105" w:type="dxa"/>
              <w:bottom w:w="0" w:type="dxa"/>
              <w:right w:w="105" w:type="dxa"/>
            </w:tcMar>
            <w:vAlign w:val="center"/>
          </w:tcPr>
          <w:p w14:paraId="2BF3D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指挥部成员单位</w:t>
            </w:r>
          </w:p>
        </w:tc>
        <w:tc>
          <w:tcPr>
            <w:tcW w:w="1860" w:type="dxa"/>
            <w:shd w:val="clear" w:color="auto" w:fill="auto"/>
            <w:tcMar>
              <w:top w:w="0" w:type="dxa"/>
              <w:left w:w="105" w:type="dxa"/>
              <w:bottom w:w="0" w:type="dxa"/>
              <w:right w:w="105" w:type="dxa"/>
            </w:tcMar>
            <w:vAlign w:val="center"/>
          </w:tcPr>
          <w:p w14:paraId="10241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县重大动物疫情应急指挥部</w:t>
            </w:r>
          </w:p>
        </w:tc>
        <w:tc>
          <w:tcPr>
            <w:tcW w:w="1425" w:type="dxa"/>
            <w:shd w:val="clear" w:color="auto" w:fill="auto"/>
            <w:tcMar>
              <w:top w:w="0" w:type="dxa"/>
              <w:left w:w="105" w:type="dxa"/>
              <w:bottom w:w="0" w:type="dxa"/>
              <w:right w:w="105" w:type="dxa"/>
            </w:tcMar>
            <w:vAlign w:val="center"/>
          </w:tcPr>
          <w:p w14:paraId="65E8C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0FFF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5" w:hRule="atLeast"/>
          <w:tblCellSpacing w:w="0" w:type="dxa"/>
          <w:jc w:val="center"/>
        </w:trPr>
        <w:tc>
          <w:tcPr>
            <w:tcW w:w="574" w:type="dxa"/>
            <w:shd w:val="clear" w:color="auto" w:fill="auto"/>
            <w:tcMar>
              <w:top w:w="0" w:type="dxa"/>
              <w:left w:w="105" w:type="dxa"/>
              <w:bottom w:w="0" w:type="dxa"/>
              <w:right w:w="105" w:type="dxa"/>
            </w:tcMar>
            <w:vAlign w:val="center"/>
          </w:tcPr>
          <w:p w14:paraId="6C76F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default"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3</w:t>
            </w:r>
            <w:r>
              <w:rPr>
                <w:rFonts w:hint="default" w:ascii="仿宋" w:hAnsi="仿宋" w:eastAsia="仿宋" w:cs="仿宋"/>
                <w:kern w:val="0"/>
                <w:sz w:val="21"/>
                <w:szCs w:val="21"/>
                <w:lang w:val="en-US" w:eastAsia="zh-CN" w:bidi="ar-SA"/>
              </w:rPr>
              <w:t>0</w:t>
            </w:r>
          </w:p>
        </w:tc>
        <w:tc>
          <w:tcPr>
            <w:tcW w:w="1579" w:type="dxa"/>
            <w:shd w:val="clear" w:color="auto" w:fill="auto"/>
            <w:tcMar>
              <w:top w:w="0" w:type="dxa"/>
              <w:left w:w="105" w:type="dxa"/>
              <w:bottom w:w="0" w:type="dxa"/>
              <w:right w:w="105" w:type="dxa"/>
            </w:tcMar>
            <w:vAlign w:val="center"/>
          </w:tcPr>
          <w:p w14:paraId="231F3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群体性事件</w:t>
            </w:r>
          </w:p>
        </w:tc>
        <w:tc>
          <w:tcPr>
            <w:tcW w:w="1929" w:type="dxa"/>
            <w:shd w:val="clear" w:color="auto" w:fill="auto"/>
            <w:tcMar>
              <w:top w:w="0" w:type="dxa"/>
              <w:left w:w="105" w:type="dxa"/>
              <w:bottom w:w="0" w:type="dxa"/>
              <w:right w:w="105" w:type="dxa"/>
            </w:tcMar>
            <w:vAlign w:val="center"/>
          </w:tcPr>
          <w:p w14:paraId="67FC3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color w:val="333333"/>
                <w:sz w:val="21"/>
                <w:szCs w:val="21"/>
                <w:u w:val="none"/>
                <w:lang w:eastAsia="zh-CN"/>
              </w:rPr>
              <w:t>县</w:t>
            </w:r>
            <w:r>
              <w:rPr>
                <w:rFonts w:hint="eastAsia" w:ascii="仿宋" w:hAnsi="仿宋" w:eastAsia="仿宋" w:cs="仿宋"/>
                <w:color w:val="333333"/>
                <w:sz w:val="21"/>
                <w:szCs w:val="21"/>
                <w:u w:val="none"/>
              </w:rPr>
              <w:t>委政法委</w:t>
            </w:r>
          </w:p>
        </w:tc>
        <w:tc>
          <w:tcPr>
            <w:tcW w:w="2683" w:type="dxa"/>
            <w:shd w:val="clear" w:color="auto" w:fill="auto"/>
            <w:tcMar>
              <w:top w:w="0" w:type="dxa"/>
              <w:left w:w="105" w:type="dxa"/>
              <w:bottom w:w="0" w:type="dxa"/>
              <w:right w:w="105" w:type="dxa"/>
            </w:tcMar>
            <w:vAlign w:val="center"/>
          </w:tcPr>
          <w:p w14:paraId="446225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县公安局、县司法局等指挥部成员单位</w:t>
            </w:r>
          </w:p>
        </w:tc>
        <w:tc>
          <w:tcPr>
            <w:tcW w:w="1860" w:type="dxa"/>
            <w:shd w:val="clear" w:color="auto" w:fill="auto"/>
            <w:tcMar>
              <w:top w:w="0" w:type="dxa"/>
              <w:left w:w="105" w:type="dxa"/>
              <w:bottom w:w="0" w:type="dxa"/>
              <w:right w:w="105" w:type="dxa"/>
            </w:tcMar>
            <w:vAlign w:val="center"/>
          </w:tcPr>
          <w:p w14:paraId="7AAA4B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县群体性事件应急指挥部</w:t>
            </w:r>
          </w:p>
        </w:tc>
        <w:tc>
          <w:tcPr>
            <w:tcW w:w="1425" w:type="dxa"/>
            <w:shd w:val="clear" w:color="auto" w:fill="auto"/>
            <w:tcMar>
              <w:top w:w="0" w:type="dxa"/>
              <w:left w:w="105" w:type="dxa"/>
              <w:bottom w:w="0" w:type="dxa"/>
              <w:right w:w="105" w:type="dxa"/>
            </w:tcMar>
            <w:vAlign w:val="center"/>
          </w:tcPr>
          <w:p w14:paraId="55FEB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3989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45" w:hRule="atLeast"/>
          <w:tblCellSpacing w:w="0" w:type="dxa"/>
          <w:jc w:val="center"/>
        </w:trPr>
        <w:tc>
          <w:tcPr>
            <w:tcW w:w="574" w:type="dxa"/>
            <w:shd w:val="clear" w:color="auto" w:fill="auto"/>
            <w:tcMar>
              <w:top w:w="0" w:type="dxa"/>
              <w:left w:w="105" w:type="dxa"/>
              <w:bottom w:w="0" w:type="dxa"/>
              <w:right w:w="105" w:type="dxa"/>
            </w:tcMar>
            <w:vAlign w:val="center"/>
          </w:tcPr>
          <w:p w14:paraId="010EE0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序号</w:t>
            </w:r>
          </w:p>
        </w:tc>
        <w:tc>
          <w:tcPr>
            <w:tcW w:w="1579" w:type="dxa"/>
            <w:shd w:val="clear" w:color="auto" w:fill="auto"/>
            <w:tcMar>
              <w:top w:w="0" w:type="dxa"/>
              <w:left w:w="105" w:type="dxa"/>
              <w:bottom w:w="0" w:type="dxa"/>
              <w:right w:w="105" w:type="dxa"/>
            </w:tcMar>
            <w:vAlign w:val="center"/>
          </w:tcPr>
          <w:p w14:paraId="0AEF7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社会安全事件</w:t>
            </w:r>
          </w:p>
        </w:tc>
        <w:tc>
          <w:tcPr>
            <w:tcW w:w="1929" w:type="dxa"/>
            <w:shd w:val="clear" w:color="auto" w:fill="auto"/>
            <w:tcMar>
              <w:top w:w="0" w:type="dxa"/>
              <w:left w:w="105" w:type="dxa"/>
              <w:bottom w:w="0" w:type="dxa"/>
              <w:right w:w="105" w:type="dxa"/>
            </w:tcMar>
            <w:vAlign w:val="center"/>
          </w:tcPr>
          <w:p w14:paraId="47C441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应急主管部门</w:t>
            </w:r>
          </w:p>
        </w:tc>
        <w:tc>
          <w:tcPr>
            <w:tcW w:w="2683" w:type="dxa"/>
            <w:shd w:val="clear" w:color="auto" w:fill="auto"/>
            <w:tcMar>
              <w:top w:w="0" w:type="dxa"/>
              <w:left w:w="105" w:type="dxa"/>
              <w:bottom w:w="0" w:type="dxa"/>
              <w:right w:w="105" w:type="dxa"/>
            </w:tcMar>
            <w:vAlign w:val="center"/>
          </w:tcPr>
          <w:p w14:paraId="10304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应急协管部门</w:t>
            </w:r>
          </w:p>
        </w:tc>
        <w:tc>
          <w:tcPr>
            <w:tcW w:w="1860" w:type="dxa"/>
            <w:shd w:val="clear" w:color="auto" w:fill="auto"/>
            <w:tcMar>
              <w:top w:w="0" w:type="dxa"/>
              <w:left w:w="105" w:type="dxa"/>
              <w:bottom w:w="0" w:type="dxa"/>
              <w:right w:w="105" w:type="dxa"/>
            </w:tcMar>
            <w:vAlign w:val="center"/>
          </w:tcPr>
          <w:p w14:paraId="7E299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b/>
                <w:color w:val="333333"/>
                <w:kern w:val="0"/>
                <w:sz w:val="21"/>
                <w:szCs w:val="21"/>
                <w:u w:val="none"/>
                <w:lang w:val="en-US" w:eastAsia="zh-CN" w:bidi="ar-SA"/>
              </w:rPr>
              <w:t>专项指挥机构</w:t>
            </w:r>
          </w:p>
        </w:tc>
        <w:tc>
          <w:tcPr>
            <w:tcW w:w="1425" w:type="dxa"/>
            <w:shd w:val="clear" w:color="auto" w:fill="auto"/>
            <w:tcMar>
              <w:top w:w="0" w:type="dxa"/>
              <w:left w:w="105" w:type="dxa"/>
              <w:bottom w:w="0" w:type="dxa"/>
              <w:right w:w="105" w:type="dxa"/>
            </w:tcMar>
            <w:vAlign w:val="center"/>
          </w:tcPr>
          <w:p w14:paraId="4E6D31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仿宋" w:hAnsi="仿宋" w:eastAsia="仿宋" w:cs="仿宋"/>
                <w:b/>
                <w:color w:val="333333"/>
                <w:kern w:val="0"/>
                <w:sz w:val="21"/>
                <w:szCs w:val="21"/>
                <w:u w:val="none"/>
                <w:lang w:val="en-US" w:eastAsia="zh-CN" w:bidi="ar-SA"/>
              </w:rPr>
            </w:pPr>
            <w:r>
              <w:rPr>
                <w:rFonts w:hint="eastAsia" w:ascii="仿宋" w:hAnsi="仿宋" w:eastAsia="仿宋" w:cs="仿宋"/>
                <w:b/>
                <w:color w:val="333333"/>
                <w:kern w:val="0"/>
                <w:sz w:val="21"/>
                <w:szCs w:val="21"/>
                <w:u w:val="none"/>
                <w:lang w:val="en-US" w:eastAsia="zh-CN" w:bidi="ar-SA"/>
              </w:rPr>
              <w:t>属地单位</w:t>
            </w:r>
          </w:p>
        </w:tc>
      </w:tr>
      <w:tr w14:paraId="2069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574" w:type="dxa"/>
            <w:shd w:val="clear" w:color="auto" w:fill="auto"/>
            <w:tcMar>
              <w:top w:w="0" w:type="dxa"/>
              <w:left w:w="105" w:type="dxa"/>
              <w:bottom w:w="0" w:type="dxa"/>
              <w:right w:w="105" w:type="dxa"/>
            </w:tcMar>
            <w:vAlign w:val="center"/>
          </w:tcPr>
          <w:p w14:paraId="3D5FA5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1</w:t>
            </w:r>
          </w:p>
        </w:tc>
        <w:tc>
          <w:tcPr>
            <w:tcW w:w="1579" w:type="dxa"/>
            <w:shd w:val="clear" w:color="auto" w:fill="auto"/>
            <w:tcMar>
              <w:top w:w="0" w:type="dxa"/>
              <w:left w:w="105" w:type="dxa"/>
              <w:bottom w:w="0" w:type="dxa"/>
              <w:right w:w="105" w:type="dxa"/>
            </w:tcMar>
            <w:vAlign w:val="center"/>
          </w:tcPr>
          <w:p w14:paraId="5CAB0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恐怖袭击</w:t>
            </w:r>
          </w:p>
        </w:tc>
        <w:tc>
          <w:tcPr>
            <w:tcW w:w="1929" w:type="dxa"/>
            <w:vMerge w:val="restart"/>
            <w:shd w:val="clear" w:color="auto" w:fill="auto"/>
            <w:tcMar>
              <w:top w:w="0" w:type="dxa"/>
              <w:left w:w="105" w:type="dxa"/>
              <w:bottom w:w="0" w:type="dxa"/>
              <w:right w:w="105" w:type="dxa"/>
            </w:tcMar>
            <w:vAlign w:val="center"/>
          </w:tcPr>
          <w:p w14:paraId="5DA58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w:t>
            </w:r>
          </w:p>
        </w:tc>
        <w:tc>
          <w:tcPr>
            <w:tcW w:w="2683" w:type="dxa"/>
            <w:shd w:val="clear" w:color="auto" w:fill="auto"/>
            <w:tcMar>
              <w:top w:w="0" w:type="dxa"/>
              <w:left w:w="105" w:type="dxa"/>
              <w:bottom w:w="0" w:type="dxa"/>
              <w:right w:w="105" w:type="dxa"/>
            </w:tcMar>
            <w:vAlign w:val="center"/>
          </w:tcPr>
          <w:p w14:paraId="324653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成员单位</w:t>
            </w:r>
          </w:p>
        </w:tc>
        <w:tc>
          <w:tcPr>
            <w:tcW w:w="1860" w:type="dxa"/>
            <w:shd w:val="clear" w:color="auto" w:fill="auto"/>
            <w:tcMar>
              <w:top w:w="0" w:type="dxa"/>
              <w:left w:w="105" w:type="dxa"/>
              <w:bottom w:w="0" w:type="dxa"/>
              <w:right w:w="105" w:type="dxa"/>
            </w:tcMar>
            <w:vAlign w:val="center"/>
          </w:tcPr>
          <w:p w14:paraId="1FC2A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县反恐怖工作领导小组</w:t>
            </w:r>
          </w:p>
        </w:tc>
        <w:tc>
          <w:tcPr>
            <w:tcW w:w="1425" w:type="dxa"/>
            <w:shd w:val="clear" w:color="auto" w:fill="auto"/>
            <w:tcMar>
              <w:top w:w="0" w:type="dxa"/>
              <w:left w:w="105" w:type="dxa"/>
              <w:bottom w:w="0" w:type="dxa"/>
              <w:right w:w="105" w:type="dxa"/>
            </w:tcMar>
            <w:vAlign w:val="center"/>
          </w:tcPr>
          <w:p w14:paraId="35C849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r>
      <w:tr w14:paraId="2DD8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574" w:type="dxa"/>
            <w:shd w:val="clear" w:color="auto" w:fill="auto"/>
            <w:tcMar>
              <w:top w:w="0" w:type="dxa"/>
              <w:left w:w="105" w:type="dxa"/>
              <w:bottom w:w="0" w:type="dxa"/>
              <w:right w:w="105" w:type="dxa"/>
            </w:tcMar>
            <w:vAlign w:val="center"/>
          </w:tcPr>
          <w:p w14:paraId="172F9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2</w:t>
            </w:r>
          </w:p>
        </w:tc>
        <w:tc>
          <w:tcPr>
            <w:tcW w:w="1579" w:type="dxa"/>
            <w:shd w:val="clear" w:color="auto" w:fill="auto"/>
            <w:tcMar>
              <w:top w:w="0" w:type="dxa"/>
              <w:left w:w="105" w:type="dxa"/>
              <w:bottom w:w="0" w:type="dxa"/>
              <w:right w:w="105" w:type="dxa"/>
            </w:tcMar>
            <w:vAlign w:val="center"/>
          </w:tcPr>
          <w:p w14:paraId="1462C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重大刑事犯罪事件</w:t>
            </w:r>
          </w:p>
        </w:tc>
        <w:tc>
          <w:tcPr>
            <w:tcW w:w="1929" w:type="dxa"/>
            <w:vMerge w:val="continue"/>
            <w:shd w:val="clear" w:color="auto" w:fill="auto"/>
            <w:tcMar>
              <w:top w:w="0" w:type="dxa"/>
              <w:left w:w="105" w:type="dxa"/>
              <w:bottom w:w="0" w:type="dxa"/>
              <w:right w:w="105" w:type="dxa"/>
            </w:tcMar>
            <w:vAlign w:val="center"/>
          </w:tcPr>
          <w:p w14:paraId="6209E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sz w:val="21"/>
                <w:szCs w:val="21"/>
                <w:u w:val="none"/>
              </w:rPr>
            </w:pPr>
          </w:p>
        </w:tc>
        <w:tc>
          <w:tcPr>
            <w:tcW w:w="2683" w:type="dxa"/>
            <w:shd w:val="clear" w:color="auto" w:fill="auto"/>
            <w:tcMar>
              <w:top w:w="0" w:type="dxa"/>
              <w:left w:w="105" w:type="dxa"/>
              <w:bottom w:w="0" w:type="dxa"/>
              <w:right w:w="105" w:type="dxa"/>
            </w:tcMar>
            <w:vAlign w:val="center"/>
          </w:tcPr>
          <w:p w14:paraId="601154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成员单位</w:t>
            </w:r>
          </w:p>
        </w:tc>
        <w:tc>
          <w:tcPr>
            <w:tcW w:w="1860" w:type="dxa"/>
            <w:shd w:val="clear" w:color="auto" w:fill="auto"/>
            <w:tcMar>
              <w:top w:w="0" w:type="dxa"/>
              <w:left w:w="105" w:type="dxa"/>
              <w:bottom w:w="0" w:type="dxa"/>
              <w:right w:w="105" w:type="dxa"/>
            </w:tcMar>
            <w:vAlign w:val="center"/>
          </w:tcPr>
          <w:p w14:paraId="65EA0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县特别重大刑事案件应急指挥部</w:t>
            </w:r>
          </w:p>
        </w:tc>
        <w:tc>
          <w:tcPr>
            <w:tcW w:w="1425" w:type="dxa"/>
            <w:shd w:val="clear" w:color="auto" w:fill="auto"/>
            <w:tcMar>
              <w:top w:w="0" w:type="dxa"/>
              <w:left w:w="105" w:type="dxa"/>
              <w:bottom w:w="0" w:type="dxa"/>
              <w:right w:w="105" w:type="dxa"/>
            </w:tcMar>
            <w:vAlign w:val="center"/>
          </w:tcPr>
          <w:p w14:paraId="19034A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r>
      <w:tr w14:paraId="7F64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0" w:hRule="atLeast"/>
          <w:tblCellSpacing w:w="0" w:type="dxa"/>
          <w:jc w:val="center"/>
        </w:trPr>
        <w:tc>
          <w:tcPr>
            <w:tcW w:w="574" w:type="dxa"/>
            <w:shd w:val="clear" w:color="auto" w:fill="auto"/>
            <w:tcMar>
              <w:top w:w="0" w:type="dxa"/>
              <w:left w:w="105" w:type="dxa"/>
              <w:bottom w:w="0" w:type="dxa"/>
              <w:right w:w="105" w:type="dxa"/>
            </w:tcMar>
            <w:vAlign w:val="center"/>
          </w:tcPr>
          <w:p w14:paraId="258366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3</w:t>
            </w:r>
          </w:p>
        </w:tc>
        <w:tc>
          <w:tcPr>
            <w:tcW w:w="1579" w:type="dxa"/>
            <w:shd w:val="clear" w:color="auto" w:fill="auto"/>
            <w:tcMar>
              <w:top w:w="0" w:type="dxa"/>
              <w:left w:w="105" w:type="dxa"/>
              <w:bottom w:w="0" w:type="dxa"/>
              <w:right w:w="105" w:type="dxa"/>
            </w:tcMar>
            <w:vAlign w:val="center"/>
          </w:tcPr>
          <w:p w14:paraId="26218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网络与信息安全事件</w:t>
            </w:r>
          </w:p>
        </w:tc>
        <w:tc>
          <w:tcPr>
            <w:tcW w:w="1929" w:type="dxa"/>
            <w:shd w:val="clear" w:color="auto" w:fill="auto"/>
            <w:tcMar>
              <w:top w:w="0" w:type="dxa"/>
              <w:left w:w="105" w:type="dxa"/>
              <w:bottom w:w="0" w:type="dxa"/>
              <w:right w:w="105" w:type="dxa"/>
            </w:tcMar>
            <w:vAlign w:val="center"/>
          </w:tcPr>
          <w:p w14:paraId="36085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县委网信办</w:t>
            </w:r>
          </w:p>
        </w:tc>
        <w:tc>
          <w:tcPr>
            <w:tcW w:w="2683" w:type="dxa"/>
            <w:shd w:val="clear" w:color="auto" w:fill="auto"/>
            <w:tcMar>
              <w:top w:w="0" w:type="dxa"/>
              <w:left w:w="105" w:type="dxa"/>
              <w:bottom w:w="0" w:type="dxa"/>
              <w:right w:w="105" w:type="dxa"/>
            </w:tcMar>
            <w:vAlign w:val="center"/>
          </w:tcPr>
          <w:p w14:paraId="453AD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eastAsia" w:ascii="仿宋" w:hAnsi="仿宋" w:eastAsia="仿宋" w:cs="仿宋"/>
                <w:color w:val="333333"/>
                <w:kern w:val="0"/>
                <w:sz w:val="21"/>
                <w:szCs w:val="21"/>
                <w:u w:val="none"/>
                <w:lang w:val="en-US" w:eastAsia="zh-CN" w:bidi="ar-SA"/>
              </w:rPr>
              <w:t>县委宣传部（县政府新闻办）、县公安局、县科学技术和工业信息化局等</w:t>
            </w:r>
          </w:p>
        </w:tc>
        <w:tc>
          <w:tcPr>
            <w:tcW w:w="1860" w:type="dxa"/>
            <w:shd w:val="clear" w:color="auto" w:fill="auto"/>
            <w:tcMar>
              <w:top w:w="0" w:type="dxa"/>
              <w:left w:w="105" w:type="dxa"/>
              <w:bottom w:w="0" w:type="dxa"/>
              <w:right w:w="105" w:type="dxa"/>
            </w:tcMar>
            <w:vAlign w:val="center"/>
          </w:tcPr>
          <w:p w14:paraId="0E53A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县网络与信息安全事件应急指挥部</w:t>
            </w:r>
          </w:p>
        </w:tc>
        <w:tc>
          <w:tcPr>
            <w:tcW w:w="1425" w:type="dxa"/>
            <w:shd w:val="clear" w:color="auto" w:fill="auto"/>
            <w:tcMar>
              <w:top w:w="0" w:type="dxa"/>
              <w:left w:w="105" w:type="dxa"/>
              <w:bottom w:w="0" w:type="dxa"/>
              <w:right w:w="105" w:type="dxa"/>
            </w:tcMar>
            <w:vAlign w:val="center"/>
          </w:tcPr>
          <w:p w14:paraId="1BC1C8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r>
      <w:tr w14:paraId="4B01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5" w:hRule="atLeast"/>
          <w:tblCellSpacing w:w="0" w:type="dxa"/>
          <w:jc w:val="center"/>
        </w:trPr>
        <w:tc>
          <w:tcPr>
            <w:tcW w:w="574" w:type="dxa"/>
            <w:shd w:val="clear" w:color="auto" w:fill="auto"/>
            <w:tcMar>
              <w:top w:w="0" w:type="dxa"/>
              <w:left w:w="105" w:type="dxa"/>
              <w:bottom w:w="0" w:type="dxa"/>
              <w:right w:w="105" w:type="dxa"/>
            </w:tcMar>
            <w:vAlign w:val="center"/>
          </w:tcPr>
          <w:p w14:paraId="6E1225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4</w:t>
            </w:r>
          </w:p>
        </w:tc>
        <w:tc>
          <w:tcPr>
            <w:tcW w:w="1579" w:type="dxa"/>
            <w:shd w:val="clear" w:color="auto" w:fill="auto"/>
            <w:tcMar>
              <w:top w:w="0" w:type="dxa"/>
              <w:left w:w="105" w:type="dxa"/>
              <w:bottom w:w="0" w:type="dxa"/>
              <w:right w:w="105" w:type="dxa"/>
            </w:tcMar>
            <w:vAlign w:val="center"/>
          </w:tcPr>
          <w:p w14:paraId="4CF81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金融突发事件</w:t>
            </w:r>
          </w:p>
        </w:tc>
        <w:tc>
          <w:tcPr>
            <w:tcW w:w="1929" w:type="dxa"/>
            <w:shd w:val="clear" w:color="auto" w:fill="auto"/>
            <w:tcMar>
              <w:top w:w="0" w:type="dxa"/>
              <w:left w:w="105" w:type="dxa"/>
              <w:bottom w:w="0" w:type="dxa"/>
              <w:right w:w="105" w:type="dxa"/>
            </w:tcMar>
            <w:vAlign w:val="center"/>
          </w:tcPr>
          <w:p w14:paraId="401E4F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县政府办</w:t>
            </w:r>
          </w:p>
        </w:tc>
        <w:tc>
          <w:tcPr>
            <w:tcW w:w="2683" w:type="dxa"/>
            <w:shd w:val="clear" w:color="auto" w:fill="auto"/>
            <w:tcMar>
              <w:top w:w="0" w:type="dxa"/>
              <w:left w:w="105" w:type="dxa"/>
              <w:bottom w:w="0" w:type="dxa"/>
              <w:right w:w="105" w:type="dxa"/>
            </w:tcMar>
            <w:vAlign w:val="center"/>
          </w:tcPr>
          <w:p w14:paraId="5ED597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县发改委、人行白沙支行</w:t>
            </w:r>
          </w:p>
        </w:tc>
        <w:tc>
          <w:tcPr>
            <w:tcW w:w="1860" w:type="dxa"/>
            <w:shd w:val="clear" w:color="auto" w:fill="auto"/>
            <w:tcMar>
              <w:top w:w="0" w:type="dxa"/>
              <w:left w:w="105" w:type="dxa"/>
              <w:bottom w:w="0" w:type="dxa"/>
              <w:right w:w="105" w:type="dxa"/>
            </w:tcMar>
            <w:vAlign w:val="center"/>
          </w:tcPr>
          <w:p w14:paraId="60D8CE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县金融突发事件应急指挥部</w:t>
            </w:r>
          </w:p>
        </w:tc>
        <w:tc>
          <w:tcPr>
            <w:tcW w:w="1425" w:type="dxa"/>
            <w:shd w:val="clear" w:color="auto" w:fill="auto"/>
            <w:tcMar>
              <w:top w:w="0" w:type="dxa"/>
              <w:left w:w="105" w:type="dxa"/>
              <w:bottom w:w="0" w:type="dxa"/>
              <w:right w:w="105" w:type="dxa"/>
            </w:tcMar>
            <w:vAlign w:val="center"/>
          </w:tcPr>
          <w:p w14:paraId="03398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p>
        </w:tc>
      </w:tr>
      <w:tr w14:paraId="79DD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5" w:hRule="atLeast"/>
          <w:tblCellSpacing w:w="0" w:type="dxa"/>
          <w:jc w:val="center"/>
        </w:trPr>
        <w:tc>
          <w:tcPr>
            <w:tcW w:w="574" w:type="dxa"/>
            <w:shd w:val="clear" w:color="auto" w:fill="auto"/>
            <w:tcMar>
              <w:top w:w="0" w:type="dxa"/>
              <w:left w:w="105" w:type="dxa"/>
              <w:bottom w:w="0" w:type="dxa"/>
              <w:right w:w="105" w:type="dxa"/>
            </w:tcMar>
            <w:vAlign w:val="center"/>
          </w:tcPr>
          <w:p w14:paraId="03A37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5</w:t>
            </w:r>
          </w:p>
        </w:tc>
        <w:tc>
          <w:tcPr>
            <w:tcW w:w="1579" w:type="dxa"/>
            <w:shd w:val="clear" w:color="auto" w:fill="auto"/>
            <w:tcMar>
              <w:top w:w="0" w:type="dxa"/>
              <w:left w:w="105" w:type="dxa"/>
              <w:bottom w:w="0" w:type="dxa"/>
              <w:right w:w="105" w:type="dxa"/>
            </w:tcMar>
            <w:vAlign w:val="center"/>
          </w:tcPr>
          <w:p w14:paraId="2022D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粮食安全事件</w:t>
            </w:r>
          </w:p>
        </w:tc>
        <w:tc>
          <w:tcPr>
            <w:tcW w:w="1929" w:type="dxa"/>
            <w:shd w:val="clear" w:color="auto" w:fill="auto"/>
            <w:tcMar>
              <w:top w:w="0" w:type="dxa"/>
              <w:left w:w="105" w:type="dxa"/>
              <w:bottom w:w="0" w:type="dxa"/>
              <w:right w:w="105" w:type="dxa"/>
            </w:tcMar>
            <w:vAlign w:val="center"/>
          </w:tcPr>
          <w:p w14:paraId="2EE771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县粮食局</w:t>
            </w:r>
          </w:p>
        </w:tc>
        <w:tc>
          <w:tcPr>
            <w:tcW w:w="2683" w:type="dxa"/>
            <w:shd w:val="clear" w:color="auto" w:fill="auto"/>
            <w:tcMar>
              <w:top w:w="0" w:type="dxa"/>
              <w:left w:w="105" w:type="dxa"/>
              <w:bottom w:w="0" w:type="dxa"/>
              <w:right w:w="105" w:type="dxa"/>
            </w:tcMar>
            <w:vAlign w:val="center"/>
          </w:tcPr>
          <w:p w14:paraId="2AD71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各成员单位</w:t>
            </w:r>
          </w:p>
        </w:tc>
        <w:tc>
          <w:tcPr>
            <w:tcW w:w="1860" w:type="dxa"/>
            <w:shd w:val="clear" w:color="auto" w:fill="auto"/>
            <w:tcMar>
              <w:top w:w="0" w:type="dxa"/>
              <w:left w:w="105" w:type="dxa"/>
              <w:bottom w:w="0" w:type="dxa"/>
              <w:right w:w="105" w:type="dxa"/>
            </w:tcMar>
            <w:vAlign w:val="center"/>
          </w:tcPr>
          <w:p w14:paraId="36AC0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县粮食安全委员会</w:t>
            </w:r>
          </w:p>
        </w:tc>
        <w:tc>
          <w:tcPr>
            <w:tcW w:w="1425" w:type="dxa"/>
            <w:shd w:val="clear" w:color="auto" w:fill="auto"/>
            <w:tcMar>
              <w:top w:w="0" w:type="dxa"/>
              <w:left w:w="105" w:type="dxa"/>
              <w:bottom w:w="0" w:type="dxa"/>
              <w:right w:w="105" w:type="dxa"/>
            </w:tcMar>
            <w:vAlign w:val="center"/>
          </w:tcPr>
          <w:p w14:paraId="29BE1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5D21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7" w:hRule="atLeast"/>
          <w:tblCellSpacing w:w="0" w:type="dxa"/>
          <w:jc w:val="center"/>
        </w:trPr>
        <w:tc>
          <w:tcPr>
            <w:tcW w:w="574" w:type="dxa"/>
            <w:shd w:val="clear" w:color="auto" w:fill="auto"/>
            <w:tcMar>
              <w:top w:w="0" w:type="dxa"/>
              <w:left w:w="105" w:type="dxa"/>
              <w:bottom w:w="0" w:type="dxa"/>
              <w:right w:w="105" w:type="dxa"/>
            </w:tcMar>
            <w:vAlign w:val="center"/>
          </w:tcPr>
          <w:p w14:paraId="6D34D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3</w:t>
            </w:r>
            <w:r>
              <w:rPr>
                <w:rFonts w:hint="default" w:ascii="仿宋" w:hAnsi="仿宋" w:eastAsia="仿宋" w:cs="仿宋"/>
                <w:color w:val="333333"/>
                <w:kern w:val="0"/>
                <w:sz w:val="21"/>
                <w:szCs w:val="21"/>
                <w:u w:val="none"/>
                <w:lang w:val="en-US" w:eastAsia="zh-CN" w:bidi="ar-SA"/>
              </w:rPr>
              <w:t>6</w:t>
            </w:r>
          </w:p>
        </w:tc>
        <w:tc>
          <w:tcPr>
            <w:tcW w:w="1579" w:type="dxa"/>
            <w:shd w:val="clear" w:color="auto" w:fill="auto"/>
            <w:tcMar>
              <w:top w:w="0" w:type="dxa"/>
              <w:left w:w="105" w:type="dxa"/>
              <w:bottom w:w="0" w:type="dxa"/>
              <w:right w:w="105" w:type="dxa"/>
            </w:tcMar>
            <w:vAlign w:val="center"/>
          </w:tcPr>
          <w:p w14:paraId="7916B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校园突发事件</w:t>
            </w:r>
          </w:p>
        </w:tc>
        <w:tc>
          <w:tcPr>
            <w:tcW w:w="1929" w:type="dxa"/>
            <w:shd w:val="clear" w:color="auto" w:fill="auto"/>
            <w:tcMar>
              <w:top w:w="0" w:type="dxa"/>
              <w:left w:w="105" w:type="dxa"/>
              <w:bottom w:w="0" w:type="dxa"/>
              <w:right w:w="105" w:type="dxa"/>
            </w:tcMar>
            <w:vAlign w:val="center"/>
          </w:tcPr>
          <w:p w14:paraId="236BA9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县教育局</w:t>
            </w:r>
          </w:p>
        </w:tc>
        <w:tc>
          <w:tcPr>
            <w:tcW w:w="2683" w:type="dxa"/>
            <w:shd w:val="clear" w:color="auto" w:fill="auto"/>
            <w:tcMar>
              <w:top w:w="0" w:type="dxa"/>
              <w:left w:w="105" w:type="dxa"/>
              <w:bottom w:w="0" w:type="dxa"/>
              <w:right w:w="105" w:type="dxa"/>
            </w:tcMar>
            <w:vAlign w:val="center"/>
          </w:tcPr>
          <w:p w14:paraId="41F732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县公安局等</w:t>
            </w:r>
          </w:p>
        </w:tc>
        <w:tc>
          <w:tcPr>
            <w:tcW w:w="1860" w:type="dxa"/>
            <w:shd w:val="clear" w:color="auto" w:fill="auto"/>
            <w:tcMar>
              <w:top w:w="0" w:type="dxa"/>
              <w:left w:w="105" w:type="dxa"/>
              <w:bottom w:w="0" w:type="dxa"/>
              <w:right w:w="105" w:type="dxa"/>
            </w:tcMar>
            <w:vAlign w:val="center"/>
          </w:tcPr>
          <w:p w14:paraId="706CCB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sz w:val="21"/>
                <w:szCs w:val="21"/>
                <w:lang w:eastAsia="zh-CN"/>
              </w:rPr>
              <w:t>县专项应急指挥部</w:t>
            </w:r>
          </w:p>
        </w:tc>
        <w:tc>
          <w:tcPr>
            <w:tcW w:w="1425" w:type="dxa"/>
            <w:shd w:val="clear" w:color="auto" w:fill="auto"/>
            <w:tcMar>
              <w:top w:w="0" w:type="dxa"/>
              <w:left w:w="105" w:type="dxa"/>
              <w:bottom w:w="0" w:type="dxa"/>
              <w:right w:w="105" w:type="dxa"/>
            </w:tcMar>
            <w:vAlign w:val="center"/>
          </w:tcPr>
          <w:p w14:paraId="39232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2F6F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6" w:hRule="atLeast"/>
          <w:tblCellSpacing w:w="0" w:type="dxa"/>
          <w:jc w:val="center"/>
        </w:trPr>
        <w:tc>
          <w:tcPr>
            <w:tcW w:w="574" w:type="dxa"/>
            <w:shd w:val="clear" w:color="auto" w:fill="auto"/>
            <w:tcMar>
              <w:top w:w="0" w:type="dxa"/>
              <w:left w:w="105" w:type="dxa"/>
              <w:bottom w:w="0" w:type="dxa"/>
              <w:right w:w="105" w:type="dxa"/>
            </w:tcMar>
            <w:vAlign w:val="center"/>
          </w:tcPr>
          <w:p w14:paraId="23303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37</w:t>
            </w:r>
          </w:p>
        </w:tc>
        <w:tc>
          <w:tcPr>
            <w:tcW w:w="1579" w:type="dxa"/>
            <w:shd w:val="clear" w:color="auto" w:fill="auto"/>
            <w:tcMar>
              <w:top w:w="0" w:type="dxa"/>
              <w:left w:w="105" w:type="dxa"/>
              <w:bottom w:w="0" w:type="dxa"/>
              <w:right w:w="105" w:type="dxa"/>
            </w:tcMar>
            <w:vAlign w:val="center"/>
          </w:tcPr>
          <w:p w14:paraId="2927B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消费领域群体性事件</w:t>
            </w:r>
          </w:p>
        </w:tc>
        <w:tc>
          <w:tcPr>
            <w:tcW w:w="1929" w:type="dxa"/>
            <w:shd w:val="clear" w:color="auto" w:fill="auto"/>
            <w:tcMar>
              <w:top w:w="0" w:type="dxa"/>
              <w:left w:w="105" w:type="dxa"/>
              <w:bottom w:w="0" w:type="dxa"/>
              <w:right w:w="105" w:type="dxa"/>
            </w:tcMar>
            <w:vAlign w:val="center"/>
          </w:tcPr>
          <w:p w14:paraId="288F2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县市场监督管理局</w:t>
            </w:r>
          </w:p>
        </w:tc>
        <w:tc>
          <w:tcPr>
            <w:tcW w:w="2683" w:type="dxa"/>
            <w:shd w:val="clear" w:color="auto" w:fill="auto"/>
            <w:tcMar>
              <w:top w:w="0" w:type="dxa"/>
              <w:left w:w="105" w:type="dxa"/>
              <w:bottom w:w="0" w:type="dxa"/>
              <w:right w:w="105" w:type="dxa"/>
            </w:tcMar>
            <w:vAlign w:val="center"/>
          </w:tcPr>
          <w:p w14:paraId="37B6B9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县商务局、县发改委、县公安局等</w:t>
            </w:r>
          </w:p>
        </w:tc>
        <w:tc>
          <w:tcPr>
            <w:tcW w:w="1860" w:type="dxa"/>
            <w:shd w:val="clear" w:color="auto" w:fill="auto"/>
            <w:tcMar>
              <w:top w:w="0" w:type="dxa"/>
              <w:left w:w="105" w:type="dxa"/>
              <w:bottom w:w="0" w:type="dxa"/>
              <w:right w:w="105" w:type="dxa"/>
            </w:tcMar>
            <w:vAlign w:val="center"/>
          </w:tcPr>
          <w:p w14:paraId="5FA7E7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县专项应急指挥部</w:t>
            </w:r>
          </w:p>
        </w:tc>
        <w:tc>
          <w:tcPr>
            <w:tcW w:w="1425" w:type="dxa"/>
            <w:shd w:val="clear" w:color="auto" w:fill="auto"/>
            <w:tcMar>
              <w:top w:w="0" w:type="dxa"/>
              <w:left w:w="105" w:type="dxa"/>
              <w:bottom w:w="0" w:type="dxa"/>
              <w:right w:w="105" w:type="dxa"/>
            </w:tcMar>
            <w:vAlign w:val="center"/>
          </w:tcPr>
          <w:p w14:paraId="67116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r w14:paraId="37AF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55" w:hRule="atLeast"/>
          <w:tblCellSpacing w:w="0" w:type="dxa"/>
          <w:jc w:val="center"/>
        </w:trPr>
        <w:tc>
          <w:tcPr>
            <w:tcW w:w="574" w:type="dxa"/>
            <w:shd w:val="clear" w:color="auto" w:fill="auto"/>
            <w:tcMar>
              <w:top w:w="0" w:type="dxa"/>
              <w:left w:w="105" w:type="dxa"/>
              <w:bottom w:w="0" w:type="dxa"/>
              <w:right w:w="105" w:type="dxa"/>
            </w:tcMar>
            <w:vAlign w:val="center"/>
          </w:tcPr>
          <w:p w14:paraId="17210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default" w:ascii="仿宋" w:hAnsi="仿宋" w:eastAsia="仿宋" w:cs="仿宋"/>
                <w:kern w:val="0"/>
                <w:sz w:val="21"/>
                <w:szCs w:val="21"/>
                <w:lang w:val="en-US" w:eastAsia="zh-CN" w:bidi="ar-SA"/>
              </w:rPr>
              <w:t>38</w:t>
            </w:r>
          </w:p>
        </w:tc>
        <w:tc>
          <w:tcPr>
            <w:tcW w:w="1579" w:type="dxa"/>
            <w:shd w:val="clear" w:color="auto" w:fill="auto"/>
            <w:tcMar>
              <w:top w:w="0" w:type="dxa"/>
              <w:left w:w="105" w:type="dxa"/>
              <w:bottom w:w="0" w:type="dxa"/>
              <w:right w:w="105" w:type="dxa"/>
            </w:tcMar>
            <w:vAlign w:val="center"/>
          </w:tcPr>
          <w:p w14:paraId="14C4B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市场价格异常上涨事件</w:t>
            </w:r>
          </w:p>
        </w:tc>
        <w:tc>
          <w:tcPr>
            <w:tcW w:w="1929" w:type="dxa"/>
            <w:shd w:val="clear" w:color="auto" w:fill="auto"/>
            <w:tcMar>
              <w:top w:w="0" w:type="dxa"/>
              <w:left w:w="105" w:type="dxa"/>
              <w:bottom w:w="0" w:type="dxa"/>
              <w:right w:w="105" w:type="dxa"/>
            </w:tcMar>
            <w:vAlign w:val="center"/>
          </w:tcPr>
          <w:p w14:paraId="5E72C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县市场监督管理局</w:t>
            </w:r>
          </w:p>
        </w:tc>
        <w:tc>
          <w:tcPr>
            <w:tcW w:w="2683" w:type="dxa"/>
            <w:shd w:val="clear" w:color="auto" w:fill="auto"/>
            <w:tcMar>
              <w:top w:w="0" w:type="dxa"/>
              <w:left w:w="105" w:type="dxa"/>
              <w:bottom w:w="0" w:type="dxa"/>
              <w:right w:w="105" w:type="dxa"/>
            </w:tcMar>
            <w:vAlign w:val="center"/>
          </w:tcPr>
          <w:p w14:paraId="67DCF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kern w:val="0"/>
                <w:sz w:val="21"/>
                <w:szCs w:val="21"/>
                <w:lang w:val="en-US" w:eastAsia="zh-CN" w:bidi="ar-SA"/>
              </w:rPr>
            </w:pPr>
            <w:r>
              <w:rPr>
                <w:rFonts w:hint="eastAsia" w:ascii="仿宋" w:hAnsi="仿宋" w:eastAsia="仿宋" w:cs="仿宋"/>
                <w:color w:val="333333"/>
                <w:kern w:val="0"/>
                <w:sz w:val="21"/>
                <w:szCs w:val="21"/>
                <w:u w:val="none"/>
                <w:lang w:val="en-US" w:eastAsia="zh-CN" w:bidi="ar-SA"/>
              </w:rPr>
              <w:t>县商务局、县发改委、县财政局、县公安局、县统计局等</w:t>
            </w:r>
          </w:p>
        </w:tc>
        <w:tc>
          <w:tcPr>
            <w:tcW w:w="1860" w:type="dxa"/>
            <w:shd w:val="clear" w:color="auto" w:fill="auto"/>
            <w:tcMar>
              <w:top w:w="0" w:type="dxa"/>
              <w:left w:w="105" w:type="dxa"/>
              <w:bottom w:w="0" w:type="dxa"/>
              <w:right w:w="105" w:type="dxa"/>
            </w:tcMar>
            <w:vAlign w:val="center"/>
          </w:tcPr>
          <w:p w14:paraId="33FFB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2"/>
                <w:sz w:val="21"/>
                <w:szCs w:val="21"/>
                <w:u w:val="none"/>
                <w:lang w:val="en-US" w:eastAsia="zh-CN" w:bidi="ar-SA"/>
              </w:rPr>
            </w:pPr>
            <w:r>
              <w:rPr>
                <w:rFonts w:hint="eastAsia" w:ascii="仿宋" w:hAnsi="仿宋" w:eastAsia="仿宋" w:cs="仿宋"/>
                <w:sz w:val="21"/>
                <w:szCs w:val="21"/>
                <w:lang w:eastAsia="zh-CN"/>
              </w:rPr>
              <w:t>县专项应急指挥部</w:t>
            </w:r>
          </w:p>
        </w:tc>
        <w:tc>
          <w:tcPr>
            <w:tcW w:w="1425" w:type="dxa"/>
            <w:shd w:val="clear" w:color="auto" w:fill="auto"/>
            <w:tcMar>
              <w:top w:w="0" w:type="dxa"/>
              <w:left w:w="105" w:type="dxa"/>
              <w:bottom w:w="0" w:type="dxa"/>
              <w:right w:w="105" w:type="dxa"/>
            </w:tcMar>
            <w:vAlign w:val="center"/>
          </w:tcPr>
          <w:p w14:paraId="6B287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 w:hAnsi="仿宋" w:eastAsia="仿宋" w:cs="仿宋"/>
                <w:color w:val="333333"/>
                <w:kern w:val="0"/>
                <w:sz w:val="21"/>
                <w:szCs w:val="21"/>
                <w:u w:val="none"/>
                <w:lang w:val="en-US" w:eastAsia="zh-CN" w:bidi="ar-SA"/>
              </w:rPr>
            </w:pPr>
            <w:r>
              <w:rPr>
                <w:rFonts w:hint="default" w:ascii="仿宋" w:hAnsi="仿宋" w:eastAsia="仿宋" w:cs="仿宋"/>
                <w:color w:val="333333"/>
                <w:kern w:val="0"/>
                <w:sz w:val="21"/>
                <w:szCs w:val="21"/>
                <w:u w:val="none"/>
                <w:lang w:val="en-US" w:eastAsia="zh-CN" w:bidi="ar-SA"/>
              </w:rPr>
              <w:t>事发地乡镇政府</w:t>
            </w:r>
          </w:p>
        </w:tc>
      </w:tr>
    </w:tbl>
    <w:p w14:paraId="1E080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left"/>
        <w:textAlignment w:val="auto"/>
        <w:outlineLvl w:val="9"/>
        <w:rPr>
          <w:rFonts w:hint="eastAsia" w:ascii="仿宋" w:hAnsi="仿宋" w:eastAsia="仿宋" w:cs="仿宋"/>
          <w:kern w:val="0"/>
          <w:sz w:val="30"/>
          <w:szCs w:val="30"/>
          <w:lang w:val="en-US" w:eastAsia="zh-CN" w:bidi="ar-SA"/>
        </w:rPr>
      </w:pPr>
      <w:r>
        <w:rPr>
          <w:rFonts w:hint="eastAsia" w:ascii="仿宋" w:hAnsi="仿宋" w:eastAsia="仿宋" w:cs="仿宋"/>
          <w:color w:val="333333"/>
          <w:kern w:val="0"/>
          <w:sz w:val="30"/>
          <w:szCs w:val="30"/>
          <w:u w:val="none"/>
          <w:shd w:val="clear" w:color="auto" w:fill="FFFFFF"/>
          <w:lang w:val="en-US" w:eastAsia="zh-CN" w:bidi="ar-SA"/>
        </w:rPr>
        <w:t>注：1、本表未明确主管部门的突发事件的预防和处置工作，由有关职能部门负责。</w:t>
      </w:r>
    </w:p>
    <w:p w14:paraId="45DF56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left"/>
        <w:textAlignment w:val="auto"/>
        <w:outlineLvl w:val="9"/>
        <w:rPr>
          <w:rFonts w:hint="eastAsia" w:ascii="仿宋" w:hAnsi="仿宋" w:eastAsia="仿宋" w:cs="仿宋"/>
          <w:kern w:val="0"/>
          <w:sz w:val="30"/>
          <w:szCs w:val="30"/>
          <w:lang w:val="en-US" w:eastAsia="zh-CN" w:bidi="ar-SA"/>
        </w:rPr>
      </w:pPr>
      <w:r>
        <w:rPr>
          <w:rFonts w:hint="eastAsia" w:ascii="仿宋" w:hAnsi="仿宋" w:eastAsia="仿宋" w:cs="仿宋"/>
          <w:color w:val="333333"/>
          <w:kern w:val="0"/>
          <w:sz w:val="30"/>
          <w:szCs w:val="30"/>
          <w:u w:val="none"/>
          <w:shd w:val="clear" w:color="auto" w:fill="FFFFFF"/>
          <w:lang w:val="en-US" w:eastAsia="zh-CN" w:bidi="ar-SA"/>
        </w:rPr>
        <w:t>2、在应急处置工作中，县政府根据需要，可对本表所列的应急主管部门和应急协助部门作出调整或补充。</w:t>
      </w:r>
    </w:p>
    <w:p w14:paraId="5F04C8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left"/>
        <w:textAlignment w:val="auto"/>
        <w:outlineLvl w:val="9"/>
        <w:rPr>
          <w:rFonts w:hint="eastAsia" w:ascii="仿宋" w:hAnsi="仿宋" w:eastAsia="仿宋" w:cs="仿宋"/>
          <w:kern w:val="0"/>
          <w:sz w:val="30"/>
          <w:szCs w:val="30"/>
          <w:lang w:val="en-US" w:eastAsia="zh-CN" w:bidi="ar-SA"/>
        </w:rPr>
      </w:pPr>
      <w:r>
        <w:rPr>
          <w:rFonts w:hint="eastAsia" w:ascii="仿宋" w:hAnsi="仿宋" w:eastAsia="仿宋" w:cs="仿宋"/>
          <w:color w:val="333333"/>
          <w:kern w:val="0"/>
          <w:sz w:val="30"/>
          <w:szCs w:val="30"/>
          <w:u w:val="none"/>
          <w:shd w:val="clear" w:color="auto" w:fill="FFFFFF"/>
          <w:lang w:val="en-US" w:eastAsia="zh-CN" w:bidi="ar-SA"/>
        </w:rPr>
        <w:t>3、随着应急管理体制改革的健全和实际情况变化，突发事件的种类及其相应的应急主管部门和应急协助部门将不断补充、调整和完善。</w:t>
      </w:r>
    </w:p>
    <w:p w14:paraId="7ABDEC2A">
      <w:pPr>
        <w:keepNext/>
        <w:keepLines/>
        <w:widowControl w:val="0"/>
        <w:spacing w:before="260" w:after="260" w:line="416" w:lineRule="auto"/>
        <w:ind w:left="0" w:leftChars="0" w:firstLine="0" w:firstLineChars="0"/>
        <w:jc w:val="both"/>
        <w:outlineLvl w:val="9"/>
        <w:rPr>
          <w:rFonts w:hint="eastAsia" w:ascii="Calibri" w:hAnsi="Calibri" w:eastAsia="宋体" w:cs="Times New Roman"/>
          <w:b/>
          <w:bCs/>
          <w:color w:val="auto"/>
          <w:kern w:val="2"/>
          <w:sz w:val="21"/>
          <w:szCs w:val="22"/>
          <w:lang w:val="en-US" w:eastAsia="zh-CN" w:bidi="ar-SA"/>
        </w:rPr>
      </w:pPr>
    </w:p>
    <w:p w14:paraId="47159275">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eastAsia" w:ascii="Calibri" w:hAnsi="Calibri" w:eastAsia="宋体" w:cs="Times New Roman"/>
          <w:color w:val="auto"/>
          <w:kern w:val="2"/>
          <w:sz w:val="21"/>
          <w:szCs w:val="22"/>
          <w:lang w:val="en-US" w:eastAsia="zh-CN" w:bidi="ar-SA"/>
        </w:rPr>
      </w:pPr>
    </w:p>
    <w:p w14:paraId="04013E87">
      <w:pPr>
        <w:keepNext w:val="0"/>
        <w:keepLines w:val="0"/>
        <w:pageBreakBefore w:val="0"/>
        <w:widowControl w:val="0"/>
        <w:kinsoku/>
        <w:wordWrap/>
        <w:overflowPunct/>
        <w:topLinePunct w:val="0"/>
        <w:autoSpaceDE/>
        <w:autoSpaceDN/>
        <w:bidi w:val="0"/>
        <w:adjustRightInd/>
        <w:snapToGrid/>
        <w:spacing w:before="260" w:after="260" w:line="416" w:lineRule="auto"/>
        <w:ind w:firstLine="643" w:firstLineChars="200"/>
        <w:jc w:val="both"/>
        <w:textAlignment w:val="auto"/>
        <w:outlineLvl w:val="1"/>
        <w:rPr>
          <w:rFonts w:hint="eastAsia" w:ascii="Arial" w:hAnsi="Arial" w:eastAsia="黑体" w:cs="Times New Roman"/>
          <w:b/>
          <w:bCs/>
          <w:kern w:val="2"/>
          <w:sz w:val="32"/>
          <w:szCs w:val="32"/>
          <w:lang w:val="en-US" w:eastAsia="zh-CN" w:bidi="ar-SA"/>
        </w:rPr>
      </w:pPr>
    </w:p>
    <w:p w14:paraId="613483D9">
      <w:pPr>
        <w:keepNext/>
        <w:keepLines/>
        <w:pageBreakBefore w:val="0"/>
        <w:widowControl w:val="0"/>
        <w:kinsoku/>
        <w:wordWrap/>
        <w:overflowPunct/>
        <w:topLinePunct w:val="0"/>
        <w:autoSpaceDE/>
        <w:autoSpaceDN/>
        <w:bidi w:val="0"/>
        <w:adjustRightInd/>
        <w:snapToGrid/>
        <w:spacing w:before="0" w:after="0" w:line="560" w:lineRule="exact"/>
        <w:ind w:left="0" w:leftChars="0" w:firstLine="0" w:firstLineChars="0"/>
        <w:textAlignment w:val="auto"/>
        <w:outlineLvl w:val="1"/>
        <w:rPr>
          <w:rFonts w:hint="eastAsia" w:ascii="仿宋" w:hAnsi="仿宋" w:eastAsia="仿宋" w:cs="Times New Roman"/>
          <w:b w:val="0"/>
          <w:bCs w:val="0"/>
          <w:color w:val="auto"/>
          <w:kern w:val="2"/>
          <w:sz w:val="28"/>
          <w:szCs w:val="28"/>
          <w:lang w:val="en-US" w:eastAsia="zh-CN" w:bidi="ar-SA"/>
        </w:rPr>
        <w:sectPr>
          <w:pgSz w:w="11910" w:h="16840"/>
          <w:pgMar w:top="1600" w:right="1440" w:bottom="1640" w:left="1420" w:header="0" w:footer="1459" w:gutter="0"/>
          <w:lnNumType w:countBy="0" w:distance="360"/>
          <w:pgNumType w:fmt="numberInDash"/>
          <w:cols w:space="720" w:num="1"/>
        </w:sectPr>
      </w:pPr>
      <w:bookmarkStart w:id="176" w:name="_Toc28492"/>
    </w:p>
    <w:p w14:paraId="4F1731A8">
      <w:pPr>
        <w:keepNext w:val="0"/>
        <w:keepLines w:val="0"/>
        <w:pageBreakBefore w:val="0"/>
        <w:widowControl w:val="0"/>
        <w:kinsoku/>
        <w:overflowPunct/>
        <w:autoSpaceDE/>
        <w:autoSpaceDN/>
        <w:bidi w:val="0"/>
        <w:spacing w:before="0" w:beforeAutospacing="0" w:after="0" w:afterAutospacing="0" w:line="560" w:lineRule="exact"/>
        <w:ind w:firstLine="0" w:firstLineChars="0"/>
        <w:jc w:val="both"/>
        <w:textAlignment w:val="auto"/>
        <w:outlineLvl w:val="9"/>
        <w:rPr>
          <w:rFonts w:hint="eastAsia" w:ascii="仿宋_GB2312" w:hAnsi="Calibri" w:eastAsia="仿宋_GB2312" w:cs="仿宋_GB2312"/>
          <w:b w:val="0"/>
          <w:bCs w:val="0"/>
          <w:color w:val="auto"/>
          <w:kern w:val="0"/>
          <w:sz w:val="32"/>
          <w:szCs w:val="32"/>
          <w:lang w:val="en-US" w:eastAsia="zh-CN" w:bidi="ar-SA"/>
        </w:rPr>
      </w:pPr>
      <w:r>
        <w:rPr>
          <w:rFonts w:hint="eastAsia" w:ascii="仿宋_GB2312" w:hAnsi="Calibri" w:eastAsia="仿宋_GB2312" w:cs="仿宋_GB2312"/>
          <w:b w:val="0"/>
          <w:bCs w:val="0"/>
          <w:color w:val="auto"/>
          <w:kern w:val="0"/>
          <w:sz w:val="32"/>
          <w:szCs w:val="32"/>
          <w:lang w:val="en-US" w:eastAsia="zh-CN" w:bidi="ar-SA"/>
        </w:rPr>
        <w:t>附件6</w:t>
      </w:r>
      <w:bookmarkEnd w:id="176"/>
    </w:p>
    <w:p w14:paraId="3968813D">
      <w:pPr>
        <w:keepNext w:val="0"/>
        <w:keepLines w:val="0"/>
        <w:pageBreakBefore w:val="0"/>
        <w:widowControl w:val="0"/>
        <w:kinsoku/>
        <w:overflowPunct/>
        <w:autoSpaceDE/>
        <w:autoSpaceDN/>
        <w:bidi w:val="0"/>
        <w:spacing w:before="0" w:beforeAutospacing="0" w:after="0" w:afterAutospacing="0" w:line="560" w:lineRule="exact"/>
        <w:ind w:firstLine="0" w:firstLineChars="0"/>
        <w:jc w:val="center"/>
        <w:textAlignment w:val="auto"/>
        <w:outlineLvl w:val="9"/>
        <w:rPr>
          <w:rFonts w:hint="eastAsia" w:ascii="仿宋_GB2312" w:hAnsi="Calibri" w:eastAsia="仿宋_GB2312" w:cs="仿宋_GB2312"/>
          <w:b/>
          <w:bCs/>
          <w:color w:val="auto"/>
          <w:kern w:val="0"/>
          <w:sz w:val="32"/>
          <w:szCs w:val="32"/>
          <w:lang w:val="en-US" w:eastAsia="zh-CN" w:bidi="ar-SA"/>
        </w:rPr>
      </w:pPr>
      <w:bookmarkStart w:id="177" w:name="_Toc3485"/>
      <w:r>
        <w:rPr>
          <w:rFonts w:hint="eastAsia" w:ascii="仿宋_GB2312" w:hAnsi="Calibri" w:eastAsia="仿宋_GB2312" w:cs="仿宋_GB2312"/>
          <w:b/>
          <w:bCs/>
          <w:color w:val="auto"/>
          <w:kern w:val="0"/>
          <w:sz w:val="32"/>
          <w:szCs w:val="32"/>
          <w:lang w:val="en-US" w:eastAsia="zh-CN" w:bidi="ar-SA"/>
        </w:rPr>
        <w:t>海南省突发事件分类分级标准</w:t>
      </w:r>
      <w:bookmarkEnd w:id="177"/>
    </w:p>
    <w:p w14:paraId="653FAE06">
      <w:pPr>
        <w:keepNext w:val="0"/>
        <w:keepLines w:val="0"/>
        <w:pageBreakBefore w:val="0"/>
        <w:widowControl w:val="0"/>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lang w:eastAsia="zh-CN"/>
        </w:rPr>
      </w:pPr>
      <w:bookmarkStart w:id="178" w:name="_Toc16699_WPSOffice_Level1"/>
    </w:p>
    <w:p w14:paraId="34C267E8">
      <w:pPr>
        <w:keepNext w:val="0"/>
        <w:keepLines w:val="0"/>
        <w:pageBreakBefore w:val="0"/>
        <w:widowControl w:val="0"/>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rPr>
      </w:pPr>
      <w:r>
        <w:rPr>
          <w:rFonts w:hint="eastAsia" w:ascii="黑体" w:hAnsi="黑体" w:eastAsia="黑体" w:cs="Times New Roman"/>
          <w:b w:val="0"/>
          <w:sz w:val="32"/>
          <w:szCs w:val="32"/>
          <w:lang w:eastAsia="zh-CN"/>
        </w:rPr>
        <w:t>一、</w:t>
      </w:r>
      <w:r>
        <w:rPr>
          <w:rFonts w:hint="eastAsia" w:ascii="黑体" w:hAnsi="黑体" w:eastAsia="黑体" w:cs="Times New Roman"/>
          <w:b w:val="0"/>
          <w:sz w:val="32"/>
          <w:szCs w:val="32"/>
        </w:rPr>
        <w:t>自然灾害类</w:t>
      </w:r>
      <w:bookmarkEnd w:id="178"/>
    </w:p>
    <w:p w14:paraId="2C522F0C">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0" w:firstLineChars="0"/>
        <w:jc w:val="both"/>
        <w:textAlignment w:val="auto"/>
        <w:outlineLvl w:val="9"/>
        <w:rPr>
          <w:rFonts w:hint="eastAsia" w:ascii="仿宋_GB2312" w:hAnsi="仿宋_GB2312" w:eastAsia="仿宋_GB2312" w:cs="Times New Roman"/>
          <w:b/>
          <w:kern w:val="2"/>
          <w:sz w:val="11"/>
          <w:szCs w:val="32"/>
          <w:lang w:val="en-US" w:eastAsia="zh-CN" w:bidi="ar-SA"/>
        </w:rPr>
      </w:pPr>
      <w:bookmarkStart w:id="179" w:name="_Toc17856_WPSOffice_Level2"/>
      <w:r>
        <w:rPr>
          <w:rFonts w:hint="eastAsia" w:ascii="仿宋_GB2312" w:hAnsi="仿宋_GB2312" w:eastAsia="仿宋_GB2312" w:cs="Times New Roman"/>
          <w:b/>
          <w:kern w:val="2"/>
          <w:sz w:val="32"/>
          <w:szCs w:val="32"/>
          <w:lang w:val="en-US" w:eastAsia="zh-CN" w:bidi="ar-SA"/>
        </w:rPr>
        <w:t>（</w:t>
      </w:r>
      <w:r>
        <w:rPr>
          <w:rFonts w:hint="eastAsia" w:ascii="楷体" w:hAnsi="楷体" w:eastAsia="楷体" w:cs="Times New Roman"/>
          <w:kern w:val="2"/>
          <w:sz w:val="32"/>
          <w:szCs w:val="32"/>
          <w:lang w:val="en-US" w:eastAsia="zh-CN" w:bidi="ar-SA"/>
        </w:rPr>
        <w:t>一）地震灾害</w:t>
      </w:r>
      <w:bookmarkEnd w:id="179"/>
    </w:p>
    <w:tbl>
      <w:tblPr>
        <w:tblStyle w:val="16"/>
        <w:tblW w:w="9000" w:type="dxa"/>
        <w:jc w:val="center"/>
        <w:tblLayout w:type="fixed"/>
        <w:tblCellMar>
          <w:top w:w="0" w:type="dxa"/>
          <w:left w:w="108" w:type="dxa"/>
          <w:bottom w:w="0" w:type="dxa"/>
          <w:right w:w="108" w:type="dxa"/>
        </w:tblCellMar>
      </w:tblPr>
      <w:tblGrid>
        <w:gridCol w:w="1572"/>
        <w:gridCol w:w="2439"/>
        <w:gridCol w:w="2026"/>
        <w:gridCol w:w="2963"/>
      </w:tblGrid>
      <w:tr w14:paraId="6AF4FBE5">
        <w:tblPrEx>
          <w:tblCellMar>
            <w:top w:w="0" w:type="dxa"/>
            <w:left w:w="108" w:type="dxa"/>
            <w:bottom w:w="0" w:type="dxa"/>
            <w:right w:w="108" w:type="dxa"/>
          </w:tblCellMar>
        </w:tblPrEx>
        <w:trPr>
          <w:trHeight w:val="634" w:hRule="exact"/>
          <w:jc w:val="center"/>
        </w:trPr>
        <w:tc>
          <w:tcPr>
            <w:tcW w:w="1572" w:type="dxa"/>
            <w:vMerge w:val="restart"/>
            <w:tcBorders>
              <w:top w:val="single" w:color="auto" w:sz="4" w:space="0"/>
              <w:left w:val="single" w:color="auto" w:sz="4" w:space="0"/>
              <w:bottom w:val="single" w:color="auto" w:sz="4" w:space="0"/>
              <w:right w:val="single" w:color="auto" w:sz="4" w:space="0"/>
            </w:tcBorders>
            <w:shd w:val="pct5" w:color="auto" w:fill="FFFFFF"/>
            <w:vAlign w:val="center"/>
          </w:tcPr>
          <w:p w14:paraId="7970BBEC">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p>
          <w:p w14:paraId="4ADC73F6">
            <w:pPr>
              <w:keepNext w:val="0"/>
              <w:keepLines w:val="0"/>
              <w:widowControl w:val="0"/>
              <w:suppressLineNumbers w:val="0"/>
              <w:tabs>
                <w:tab w:val="left" w:pos="1160"/>
              </w:tabs>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黑体" w:hAnsi="黑体" w:eastAsia="黑体" w:cs="Times New Roman"/>
                <w:b/>
                <w:kern w:val="2"/>
                <w:sz w:val="24"/>
                <w:szCs w:val="32"/>
                <w:lang w:val="en-US" w:eastAsia="zh-CN" w:bidi="ar-SA"/>
              </w:rPr>
              <w:t>地震灾害</w:t>
            </w:r>
          </w:p>
          <w:p w14:paraId="05E10185">
            <w:pPr>
              <w:keepNext w:val="0"/>
              <w:keepLines w:val="0"/>
              <w:widowControl w:val="0"/>
              <w:suppressLineNumbers w:val="0"/>
              <w:tabs>
                <w:tab w:val="left" w:pos="1160"/>
              </w:tabs>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黑体" w:hAnsi="黑体" w:eastAsia="黑体" w:cs="Times New Roman"/>
                <w:b/>
                <w:kern w:val="2"/>
                <w:sz w:val="24"/>
                <w:szCs w:val="32"/>
                <w:lang w:val="en-US" w:eastAsia="zh-CN" w:bidi="ar-SA"/>
              </w:rPr>
              <w:t>等级</w:t>
            </w:r>
          </w:p>
        </w:tc>
        <w:tc>
          <w:tcPr>
            <w:tcW w:w="4465" w:type="dxa"/>
            <w:gridSpan w:val="2"/>
            <w:tcBorders>
              <w:top w:val="single" w:color="auto" w:sz="4" w:space="0"/>
              <w:left w:val="single" w:color="auto" w:sz="4" w:space="0"/>
              <w:bottom w:val="single" w:color="auto" w:sz="4" w:space="0"/>
              <w:right w:val="single" w:color="auto" w:sz="4" w:space="0"/>
            </w:tcBorders>
            <w:shd w:val="pct5" w:color="auto" w:fill="FFFFFF"/>
            <w:vAlign w:val="center"/>
          </w:tcPr>
          <w:p w14:paraId="0E1662CD">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黑体" w:hAnsi="黑体" w:eastAsia="黑体" w:cs="Times New Roman"/>
                <w:kern w:val="2"/>
                <w:sz w:val="24"/>
                <w:szCs w:val="32"/>
                <w:lang w:val="en-US" w:eastAsia="zh-CN" w:bidi="ar-SA"/>
              </w:rPr>
              <w:t>分级标准</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265655EF">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黑体" w:hAnsi="黑体" w:eastAsia="黑体" w:cs="Times New Roman"/>
                <w:kern w:val="2"/>
                <w:sz w:val="24"/>
                <w:szCs w:val="32"/>
                <w:lang w:val="en-US" w:eastAsia="zh-CN" w:bidi="ar-SA"/>
              </w:rPr>
              <w:t>初判标准</w:t>
            </w:r>
          </w:p>
        </w:tc>
      </w:tr>
      <w:tr w14:paraId="7A5CF784">
        <w:tblPrEx>
          <w:tblCellMar>
            <w:top w:w="0" w:type="dxa"/>
            <w:left w:w="108" w:type="dxa"/>
            <w:bottom w:w="0" w:type="dxa"/>
            <w:right w:w="108" w:type="dxa"/>
          </w:tblCellMar>
        </w:tblPrEx>
        <w:trPr>
          <w:trHeight w:val="842" w:hRule="atLeast"/>
          <w:jc w:val="center"/>
        </w:trPr>
        <w:tc>
          <w:tcPr>
            <w:tcW w:w="1572" w:type="dxa"/>
            <w:vMerge w:val="continue"/>
            <w:tcBorders>
              <w:top w:val="single" w:color="auto" w:sz="4" w:space="0"/>
              <w:left w:val="single" w:color="auto" w:sz="4" w:space="0"/>
              <w:bottom w:val="single" w:color="auto" w:sz="4" w:space="0"/>
              <w:right w:val="single" w:color="auto" w:sz="4" w:space="0"/>
            </w:tcBorders>
            <w:shd w:val="pct5" w:color="auto" w:fill="FFFFFF"/>
            <w:vAlign w:val="center"/>
          </w:tcPr>
          <w:p w14:paraId="10F943C3">
            <w:pPr>
              <w:keepNext w:val="0"/>
              <w:keepLines w:val="0"/>
              <w:widowControl w:val="0"/>
              <w:suppressLineNumbers w:val="0"/>
              <w:tabs>
                <w:tab w:val="left" w:pos="1160"/>
              </w:tabs>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p>
        </w:tc>
        <w:tc>
          <w:tcPr>
            <w:tcW w:w="2439" w:type="dxa"/>
            <w:tcBorders>
              <w:top w:val="single" w:color="auto" w:sz="4" w:space="0"/>
              <w:left w:val="single" w:color="auto" w:sz="4" w:space="0"/>
              <w:bottom w:val="single" w:color="auto" w:sz="4" w:space="0"/>
              <w:right w:val="single" w:color="auto" w:sz="4" w:space="0"/>
            </w:tcBorders>
            <w:shd w:val="pct5" w:color="auto" w:fill="FFFFFF"/>
            <w:vAlign w:val="center"/>
          </w:tcPr>
          <w:p w14:paraId="05A912B0">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人员死亡（含失踪）</w:t>
            </w:r>
          </w:p>
        </w:tc>
        <w:tc>
          <w:tcPr>
            <w:tcW w:w="2026" w:type="dxa"/>
            <w:tcBorders>
              <w:top w:val="single" w:color="auto" w:sz="4" w:space="0"/>
              <w:left w:val="single" w:color="auto" w:sz="4" w:space="0"/>
              <w:bottom w:val="single" w:color="auto" w:sz="4" w:space="0"/>
              <w:right w:val="single" w:color="auto" w:sz="4" w:space="0"/>
            </w:tcBorders>
            <w:shd w:val="pct5" w:color="auto" w:fill="FFFFFF"/>
            <w:vAlign w:val="center"/>
          </w:tcPr>
          <w:p w14:paraId="42B2910A">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经济损失占年生产总值比例</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7668C82F">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人口地区震级</w:t>
            </w:r>
          </w:p>
        </w:tc>
      </w:tr>
      <w:tr w14:paraId="073190C0">
        <w:tblPrEx>
          <w:tblCellMar>
            <w:top w:w="0" w:type="dxa"/>
            <w:left w:w="108" w:type="dxa"/>
            <w:bottom w:w="0" w:type="dxa"/>
            <w:right w:w="108" w:type="dxa"/>
          </w:tblCellMar>
        </w:tblPrEx>
        <w:trPr>
          <w:trHeight w:val="707" w:hRule="atLeast"/>
          <w:jc w:val="center"/>
        </w:trPr>
        <w:tc>
          <w:tcPr>
            <w:tcW w:w="1572" w:type="dxa"/>
            <w:tcBorders>
              <w:top w:val="single" w:color="auto" w:sz="4" w:space="0"/>
              <w:left w:val="single" w:color="auto" w:sz="4" w:space="0"/>
              <w:bottom w:val="single" w:color="auto" w:sz="4" w:space="0"/>
              <w:right w:val="single" w:color="auto" w:sz="4" w:space="0"/>
            </w:tcBorders>
            <w:shd w:val="pct5" w:color="auto" w:fill="FFFFFF"/>
            <w:vAlign w:val="center"/>
          </w:tcPr>
          <w:p w14:paraId="61EA7DDC">
            <w:pPr>
              <w:keepNext w:val="0"/>
              <w:keepLines w:val="0"/>
              <w:widowControl w:val="0"/>
              <w:suppressLineNumbers w:val="0"/>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特别重大</w:t>
            </w:r>
          </w:p>
        </w:tc>
        <w:tc>
          <w:tcPr>
            <w:tcW w:w="2439" w:type="dxa"/>
            <w:tcBorders>
              <w:top w:val="single" w:color="auto" w:sz="4" w:space="0"/>
              <w:left w:val="single" w:color="auto" w:sz="4" w:space="0"/>
              <w:bottom w:val="single" w:color="auto" w:sz="4" w:space="0"/>
              <w:right w:val="single" w:color="auto" w:sz="4" w:space="0"/>
            </w:tcBorders>
            <w:shd w:val="pct5" w:color="auto" w:fill="FFFFFF"/>
            <w:vAlign w:val="center"/>
          </w:tcPr>
          <w:p w14:paraId="0667E797">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300人以上死亡</w:t>
            </w:r>
          </w:p>
          <w:p w14:paraId="68F0C5A0">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（含失踪）</w:t>
            </w:r>
          </w:p>
        </w:tc>
        <w:tc>
          <w:tcPr>
            <w:tcW w:w="2026" w:type="dxa"/>
            <w:tcBorders>
              <w:top w:val="single" w:color="auto" w:sz="4" w:space="0"/>
              <w:left w:val="single" w:color="auto" w:sz="4" w:space="0"/>
              <w:bottom w:val="single" w:color="auto" w:sz="4" w:space="0"/>
              <w:right w:val="single" w:color="auto" w:sz="4" w:space="0"/>
            </w:tcBorders>
            <w:shd w:val="pct5" w:color="auto" w:fill="FFFFFF"/>
            <w:vAlign w:val="center"/>
          </w:tcPr>
          <w:p w14:paraId="1DF433AE">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1%以上</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3BF3AC32">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left"/>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当人口较密集地区发生7.0级以上地震</w:t>
            </w:r>
            <w:r>
              <w:rPr>
                <w:rFonts w:hint="default" w:ascii="宋体" w:hAnsi="宋体" w:eastAsia="仿宋_GB2312" w:cs="Times New Roman"/>
                <w:kern w:val="2"/>
                <w:sz w:val="24"/>
                <w:szCs w:val="32"/>
                <w:lang w:val="en-US" w:eastAsia="zh-CN" w:bidi="ar-SA"/>
              </w:rPr>
              <w:t>，</w:t>
            </w:r>
            <w:r>
              <w:rPr>
                <w:rFonts w:hint="default" w:ascii="宋体" w:hAnsi="宋体" w:eastAsia="宋体" w:cs="Times New Roman"/>
                <w:kern w:val="2"/>
                <w:sz w:val="24"/>
                <w:szCs w:val="32"/>
                <w:lang w:val="en-US" w:eastAsia="zh-CN" w:bidi="ar-SA"/>
              </w:rPr>
              <w:t>人口密集地区发生</w:t>
            </w:r>
            <w:r>
              <w:rPr>
                <w:rFonts w:hint="default" w:ascii="宋体" w:hAnsi="宋体" w:eastAsia="仿宋_GB2312" w:cs="Times New Roman"/>
                <w:kern w:val="2"/>
                <w:sz w:val="24"/>
                <w:szCs w:val="32"/>
                <w:lang w:val="en-US" w:eastAsia="zh-CN" w:bidi="ar-SA"/>
              </w:rPr>
              <w:t>6</w:t>
            </w:r>
            <w:r>
              <w:rPr>
                <w:rFonts w:hint="default" w:ascii="宋体" w:hAnsi="宋体" w:eastAsia="宋体" w:cs="Times New Roman"/>
                <w:kern w:val="2"/>
                <w:sz w:val="24"/>
                <w:szCs w:val="32"/>
                <w:lang w:val="en-US" w:eastAsia="zh-CN" w:bidi="ar-SA"/>
              </w:rPr>
              <w:t>.0级以上地震</w:t>
            </w:r>
          </w:p>
        </w:tc>
      </w:tr>
      <w:tr w14:paraId="15327E21">
        <w:tblPrEx>
          <w:tblCellMar>
            <w:top w:w="0" w:type="dxa"/>
            <w:left w:w="108" w:type="dxa"/>
            <w:bottom w:w="0" w:type="dxa"/>
            <w:right w:w="108" w:type="dxa"/>
          </w:tblCellMar>
        </w:tblPrEx>
        <w:trPr>
          <w:trHeight w:val="788" w:hRule="atLeast"/>
          <w:jc w:val="center"/>
        </w:trPr>
        <w:tc>
          <w:tcPr>
            <w:tcW w:w="1572" w:type="dxa"/>
            <w:tcBorders>
              <w:top w:val="single" w:color="auto" w:sz="4" w:space="0"/>
              <w:left w:val="single" w:color="auto" w:sz="4" w:space="0"/>
              <w:bottom w:val="single" w:color="auto" w:sz="4" w:space="0"/>
              <w:right w:val="single" w:color="auto" w:sz="4" w:space="0"/>
            </w:tcBorders>
            <w:shd w:val="pct5" w:color="auto" w:fill="FFFFFF"/>
            <w:vAlign w:val="center"/>
          </w:tcPr>
          <w:p w14:paraId="04536AEF">
            <w:pPr>
              <w:keepNext w:val="0"/>
              <w:keepLines w:val="0"/>
              <w:widowControl w:val="0"/>
              <w:suppressLineNumbers w:val="0"/>
              <w:tabs>
                <w:tab w:val="left" w:pos="1040"/>
              </w:tabs>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重  大</w:t>
            </w:r>
          </w:p>
        </w:tc>
        <w:tc>
          <w:tcPr>
            <w:tcW w:w="2439" w:type="dxa"/>
            <w:tcBorders>
              <w:top w:val="single" w:color="auto" w:sz="4" w:space="0"/>
              <w:left w:val="single" w:color="auto" w:sz="4" w:space="0"/>
              <w:bottom w:val="single" w:color="auto" w:sz="4" w:space="0"/>
              <w:right w:val="single" w:color="auto" w:sz="4" w:space="0"/>
            </w:tcBorders>
            <w:shd w:val="pct5" w:color="auto" w:fill="FFFFFF"/>
            <w:vAlign w:val="center"/>
          </w:tcPr>
          <w:p w14:paraId="427896C1">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50人以上，300人以下死亡（含失踪）</w:t>
            </w:r>
          </w:p>
        </w:tc>
        <w:tc>
          <w:tcPr>
            <w:tcW w:w="2026" w:type="dxa"/>
            <w:tcBorders>
              <w:top w:val="single" w:color="auto" w:sz="4" w:space="0"/>
              <w:left w:val="single" w:color="auto" w:sz="4" w:space="0"/>
              <w:bottom w:val="single" w:color="auto" w:sz="4" w:space="0"/>
              <w:right w:val="single" w:color="auto" w:sz="4" w:space="0"/>
            </w:tcBorders>
            <w:shd w:val="pct5" w:color="auto" w:fill="FFFFFF"/>
            <w:vAlign w:val="center"/>
          </w:tcPr>
          <w:p w14:paraId="6B9F23FF">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2A0E7864">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当人口较密集地区发生6.0级以上、7.0级以下地震</w:t>
            </w:r>
            <w:r>
              <w:rPr>
                <w:rFonts w:hint="default" w:ascii="宋体" w:hAnsi="宋体" w:eastAsia="仿宋_GB2312" w:cs="Times New Roman"/>
                <w:kern w:val="2"/>
                <w:sz w:val="24"/>
                <w:szCs w:val="32"/>
                <w:lang w:val="en-US" w:eastAsia="zh-CN" w:bidi="ar-SA"/>
              </w:rPr>
              <w:t>，</w:t>
            </w:r>
            <w:r>
              <w:rPr>
                <w:rFonts w:hint="default" w:ascii="宋体" w:hAnsi="宋体" w:eastAsia="宋体" w:cs="Times New Roman"/>
                <w:kern w:val="2"/>
                <w:sz w:val="24"/>
                <w:szCs w:val="32"/>
                <w:lang w:val="en-US" w:eastAsia="zh-CN" w:bidi="ar-SA"/>
              </w:rPr>
              <w:t>人口密集地区发生5.0级以上、6.0级以下地震</w:t>
            </w:r>
          </w:p>
        </w:tc>
      </w:tr>
      <w:tr w14:paraId="4292934B">
        <w:tblPrEx>
          <w:tblCellMar>
            <w:top w:w="0" w:type="dxa"/>
            <w:left w:w="108" w:type="dxa"/>
            <w:bottom w:w="0" w:type="dxa"/>
            <w:right w:w="108" w:type="dxa"/>
          </w:tblCellMar>
        </w:tblPrEx>
        <w:trPr>
          <w:trHeight w:val="757" w:hRule="atLeast"/>
          <w:jc w:val="center"/>
        </w:trPr>
        <w:tc>
          <w:tcPr>
            <w:tcW w:w="1572" w:type="dxa"/>
            <w:tcBorders>
              <w:top w:val="single" w:color="auto" w:sz="4" w:space="0"/>
              <w:left w:val="single" w:color="auto" w:sz="4" w:space="0"/>
              <w:bottom w:val="single" w:color="auto" w:sz="4" w:space="0"/>
              <w:right w:val="single" w:color="auto" w:sz="4" w:space="0"/>
            </w:tcBorders>
            <w:shd w:val="pct5" w:color="auto" w:fill="FFFFFF"/>
            <w:vAlign w:val="center"/>
          </w:tcPr>
          <w:p w14:paraId="1AB265A8">
            <w:pPr>
              <w:keepNext w:val="0"/>
              <w:keepLines w:val="0"/>
              <w:widowControl w:val="0"/>
              <w:suppressLineNumbers w:val="0"/>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较  大</w:t>
            </w:r>
          </w:p>
        </w:tc>
        <w:tc>
          <w:tcPr>
            <w:tcW w:w="2439" w:type="dxa"/>
            <w:tcBorders>
              <w:top w:val="single" w:color="auto" w:sz="4" w:space="0"/>
              <w:left w:val="single" w:color="auto" w:sz="4" w:space="0"/>
              <w:bottom w:val="single" w:color="auto" w:sz="4" w:space="0"/>
              <w:right w:val="single" w:color="auto" w:sz="4" w:space="0"/>
            </w:tcBorders>
            <w:shd w:val="pct5" w:color="auto" w:fill="FFFFFF"/>
            <w:vAlign w:val="center"/>
          </w:tcPr>
          <w:p w14:paraId="3C7E096F">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10人以上，50人以下死亡（含失踪）</w:t>
            </w:r>
          </w:p>
        </w:tc>
        <w:tc>
          <w:tcPr>
            <w:tcW w:w="2026" w:type="dxa"/>
            <w:tcBorders>
              <w:top w:val="single" w:color="auto" w:sz="4" w:space="0"/>
              <w:left w:val="single" w:color="auto" w:sz="4" w:space="0"/>
              <w:bottom w:val="single" w:color="auto" w:sz="4" w:space="0"/>
              <w:right w:val="single" w:color="auto" w:sz="4" w:space="0"/>
            </w:tcBorders>
            <w:shd w:val="pct5" w:color="auto" w:fill="FFFFFF"/>
            <w:vAlign w:val="center"/>
          </w:tcPr>
          <w:p w14:paraId="24589161">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6103F690">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当人口较密集地区发生5.0级以上、6.0级以下地震；人口密集地区发生4.0级以上，5.0级以下地震</w:t>
            </w:r>
          </w:p>
        </w:tc>
      </w:tr>
      <w:tr w14:paraId="5E745673">
        <w:tblPrEx>
          <w:tblCellMar>
            <w:top w:w="0" w:type="dxa"/>
            <w:left w:w="108" w:type="dxa"/>
            <w:bottom w:w="0" w:type="dxa"/>
            <w:right w:w="108" w:type="dxa"/>
          </w:tblCellMar>
        </w:tblPrEx>
        <w:trPr>
          <w:trHeight w:val="888" w:hRule="atLeast"/>
          <w:jc w:val="center"/>
        </w:trPr>
        <w:tc>
          <w:tcPr>
            <w:tcW w:w="1572" w:type="dxa"/>
            <w:tcBorders>
              <w:top w:val="single" w:color="auto" w:sz="4" w:space="0"/>
              <w:left w:val="single" w:color="auto" w:sz="4" w:space="0"/>
              <w:bottom w:val="single" w:color="auto" w:sz="4" w:space="0"/>
              <w:right w:val="single" w:color="auto" w:sz="4" w:space="0"/>
            </w:tcBorders>
            <w:shd w:val="pct5" w:color="auto" w:fill="FFFFFF"/>
            <w:vAlign w:val="center"/>
          </w:tcPr>
          <w:p w14:paraId="01B78699">
            <w:pPr>
              <w:keepNext w:val="0"/>
              <w:keepLines w:val="0"/>
              <w:widowControl w:val="0"/>
              <w:suppressLineNumbers w:val="0"/>
              <w:kinsoku w:val="0"/>
              <w:overflowPunct w:val="0"/>
              <w:adjustRightInd/>
              <w:snapToGrid/>
              <w:spacing w:before="0" w:beforeAutospacing="0" w:after="0" w:afterAutospacing="0" w:line="320" w:lineRule="atLeast"/>
              <w:ind w:left="0" w:leftChars="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一  般</w:t>
            </w:r>
          </w:p>
        </w:tc>
        <w:tc>
          <w:tcPr>
            <w:tcW w:w="2439" w:type="dxa"/>
            <w:tcBorders>
              <w:top w:val="single" w:color="auto" w:sz="4" w:space="0"/>
              <w:left w:val="single" w:color="auto" w:sz="4" w:space="0"/>
              <w:bottom w:val="single" w:color="auto" w:sz="4" w:space="0"/>
              <w:right w:val="single" w:color="auto" w:sz="4" w:space="0"/>
            </w:tcBorders>
            <w:shd w:val="pct5" w:color="auto" w:fill="FFFFFF"/>
            <w:vAlign w:val="center"/>
          </w:tcPr>
          <w:p w14:paraId="2D0B5E68">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10人以下死亡</w:t>
            </w:r>
          </w:p>
          <w:p w14:paraId="721DB231">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（含失踪）</w:t>
            </w:r>
          </w:p>
        </w:tc>
        <w:tc>
          <w:tcPr>
            <w:tcW w:w="2026" w:type="dxa"/>
            <w:tcBorders>
              <w:top w:val="single" w:color="auto" w:sz="4" w:space="0"/>
              <w:left w:val="single" w:color="auto" w:sz="4" w:space="0"/>
              <w:bottom w:val="single" w:color="auto" w:sz="4" w:space="0"/>
              <w:right w:val="single" w:color="auto" w:sz="4" w:space="0"/>
            </w:tcBorders>
            <w:shd w:val="pct5" w:color="auto" w:fill="FFFFFF"/>
            <w:vAlign w:val="center"/>
          </w:tcPr>
          <w:p w14:paraId="297436A8">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w:t>
            </w:r>
          </w:p>
        </w:tc>
        <w:tc>
          <w:tcPr>
            <w:tcW w:w="2963" w:type="dxa"/>
            <w:tcBorders>
              <w:top w:val="single" w:color="auto" w:sz="4" w:space="0"/>
              <w:left w:val="single" w:color="auto" w:sz="4" w:space="0"/>
              <w:bottom w:val="single" w:color="auto" w:sz="4" w:space="0"/>
              <w:right w:val="single" w:color="auto" w:sz="4" w:space="0"/>
            </w:tcBorders>
            <w:shd w:val="pct5" w:color="auto" w:fill="FFFFFF"/>
            <w:vAlign w:val="center"/>
          </w:tcPr>
          <w:p w14:paraId="714C4067">
            <w:pPr>
              <w:keepNext w:val="0"/>
              <w:keepLines w:val="0"/>
              <w:widowControl w:val="0"/>
              <w:suppressLineNumbers w:val="0"/>
              <w:kinsoku w:val="0"/>
              <w:overflowPunct w:val="0"/>
              <w:adjustRightInd/>
              <w:snapToGrid/>
              <w:spacing w:before="0" w:beforeAutospacing="0" w:after="0" w:afterAutospacing="0" w:line="320" w:lineRule="atLeast"/>
              <w:ind w:left="0" w:right="0" w:firstLine="0" w:firstLineChars="0"/>
              <w:jc w:val="center"/>
              <w:outlineLvl w:val="9"/>
              <w:rPr>
                <w:rFonts w:hint="default" w:ascii="Times New Roman" w:hAnsi="Times New Roman" w:eastAsia="仿宋_GB2312" w:cs="Times New Roman"/>
                <w:kern w:val="2"/>
                <w:sz w:val="24"/>
                <w:szCs w:val="32"/>
                <w:lang w:val="en-US" w:eastAsia="zh-CN" w:bidi="ar-SA"/>
              </w:rPr>
            </w:pPr>
            <w:r>
              <w:rPr>
                <w:rFonts w:hint="default" w:ascii="宋体" w:hAnsi="宋体" w:eastAsia="宋体" w:cs="Times New Roman"/>
                <w:kern w:val="2"/>
                <w:sz w:val="24"/>
                <w:szCs w:val="32"/>
                <w:lang w:val="en-US" w:eastAsia="zh-CN" w:bidi="ar-SA"/>
              </w:rPr>
              <w:t>当人口较密集地区发生4.0级以上，5.0级以下地震</w:t>
            </w:r>
          </w:p>
        </w:tc>
      </w:tr>
    </w:tbl>
    <w:p w14:paraId="26C0676B">
      <w:pPr>
        <w:widowControl w:val="0"/>
        <w:kinsoku w:val="0"/>
        <w:overflowPunct w:val="0"/>
        <w:spacing w:before="66" w:line="600" w:lineRule="exact"/>
        <w:ind w:left="0" w:firstLine="0" w:firstLineChars="0"/>
        <w:jc w:val="both"/>
        <w:outlineLvl w:val="9"/>
        <w:rPr>
          <w:rFonts w:hint="eastAsia" w:ascii="宋体" w:hAnsi="宋体" w:eastAsia="宋体" w:cs="Times New Roman"/>
          <w:kern w:val="2"/>
          <w:sz w:val="24"/>
          <w:szCs w:val="32"/>
          <w:lang w:val="en-US" w:eastAsia="zh-CN" w:bidi="ar-SA"/>
        </w:rPr>
      </w:pPr>
      <w:r>
        <w:rPr>
          <w:rFonts w:hint="default" w:ascii="宋体" w:hAnsi="宋体" w:eastAsia="宋体" w:cs="Times New Roman"/>
          <w:kern w:val="2"/>
          <w:sz w:val="24"/>
          <w:szCs w:val="32"/>
          <w:lang w:val="en-US" w:eastAsia="zh-CN" w:bidi="ar-SA"/>
        </w:rPr>
        <w:t xml:space="preserve">     </w:t>
      </w:r>
      <w:r>
        <w:rPr>
          <w:rFonts w:hint="eastAsia" w:ascii="宋体" w:hAnsi="宋体" w:eastAsia="宋体" w:cs="Times New Roman"/>
          <w:kern w:val="2"/>
          <w:sz w:val="24"/>
          <w:szCs w:val="32"/>
          <w:lang w:val="en-US" w:eastAsia="zh-CN" w:bidi="ar-SA"/>
        </w:rPr>
        <w:t>〔注：依据《国家地震应急预案》（国办函</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2005</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36号）制表。〕</w:t>
      </w:r>
    </w:p>
    <w:p w14:paraId="4004DA14">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32"/>
          <w:szCs w:val="32"/>
          <w:lang w:val="en-US" w:eastAsia="zh-CN" w:bidi="ar-SA"/>
        </w:rPr>
      </w:pPr>
      <w:bookmarkStart w:id="180" w:name="_Toc13602_WPSOffice_Level2"/>
      <w:r>
        <w:rPr>
          <w:rFonts w:hint="eastAsia" w:ascii="仿宋_GB2312" w:hAnsi="仿宋_GB2312" w:eastAsia="仿宋_GB2312" w:cs="Times New Roman"/>
          <w:b/>
          <w:kern w:val="2"/>
          <w:sz w:val="32"/>
          <w:szCs w:val="32"/>
          <w:lang w:val="en-US" w:eastAsia="zh-CN" w:bidi="ar-SA"/>
        </w:rPr>
        <w:t>（二）地质灾害</w:t>
      </w:r>
      <w:bookmarkEnd w:id="180"/>
    </w:p>
    <w:tbl>
      <w:tblPr>
        <w:tblStyle w:val="16"/>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1935"/>
        <w:gridCol w:w="1674"/>
        <w:gridCol w:w="1910"/>
      </w:tblGrid>
      <w:tr w14:paraId="3D61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451" w:type="dxa"/>
            <w:vMerge w:val="restart"/>
            <w:tcBorders>
              <w:tl2br w:val="nil"/>
              <w:tr2bl w:val="nil"/>
            </w:tcBorders>
            <w:shd w:val="clear" w:color="auto" w:fill="7030A0"/>
            <w:vAlign w:val="center"/>
          </w:tcPr>
          <w:p w14:paraId="049FD0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_GB2312" w:hAnsi="仿宋_GB2312" w:eastAsia="仿宋_GB2312" w:cs="Times New Roman"/>
                <w:b/>
                <w:kern w:val="2"/>
                <w:sz w:val="17"/>
                <w:szCs w:val="32"/>
                <w:lang w:val="en-US" w:eastAsia="zh-CN" w:bidi="ar-SA"/>
              </w:rPr>
            </w:pPr>
          </w:p>
          <w:p w14:paraId="447DF60D">
            <w:pPr>
              <w:keepNext w:val="0"/>
              <w:keepLines w:val="0"/>
              <w:pageBreakBefore w:val="0"/>
              <w:widowControl w:val="0"/>
              <w:suppressLineNumbers w:val="0"/>
              <w:tabs>
                <w:tab w:val="left" w:pos="925"/>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地质灾害</w:t>
            </w:r>
          </w:p>
          <w:p w14:paraId="5DEB56C4">
            <w:pPr>
              <w:keepNext w:val="0"/>
              <w:keepLines w:val="0"/>
              <w:pageBreakBefore w:val="0"/>
              <w:widowControl w:val="0"/>
              <w:suppressLineNumbers w:val="0"/>
              <w:tabs>
                <w:tab w:val="left" w:pos="925"/>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等级</w:t>
            </w:r>
          </w:p>
        </w:tc>
        <w:tc>
          <w:tcPr>
            <w:tcW w:w="3966" w:type="dxa"/>
            <w:gridSpan w:val="2"/>
            <w:tcBorders>
              <w:tl2br w:val="nil"/>
              <w:tr2bl w:val="nil"/>
            </w:tcBorders>
            <w:shd w:val="clear" w:color="auto" w:fill="7030A0"/>
            <w:vAlign w:val="center"/>
          </w:tcPr>
          <w:p w14:paraId="57113B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险 情</w:t>
            </w:r>
          </w:p>
        </w:tc>
        <w:tc>
          <w:tcPr>
            <w:tcW w:w="3584" w:type="dxa"/>
            <w:gridSpan w:val="2"/>
            <w:tcBorders>
              <w:tl2br w:val="nil"/>
              <w:tr2bl w:val="nil"/>
            </w:tcBorders>
            <w:shd w:val="clear" w:color="auto" w:fill="7030A0"/>
            <w:vAlign w:val="center"/>
          </w:tcPr>
          <w:p w14:paraId="2F001BC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灾 情</w:t>
            </w:r>
          </w:p>
        </w:tc>
      </w:tr>
      <w:tr w14:paraId="6E94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exact"/>
          <w:jc w:val="center"/>
        </w:trPr>
        <w:tc>
          <w:tcPr>
            <w:tcW w:w="1451" w:type="dxa"/>
            <w:vMerge w:val="continue"/>
            <w:tcBorders>
              <w:tl2br w:val="nil"/>
              <w:tr2bl w:val="nil"/>
            </w:tcBorders>
            <w:shd w:val="clear" w:color="auto" w:fill="7030A0"/>
            <w:vAlign w:val="center"/>
          </w:tcPr>
          <w:p w14:paraId="6EF965A0">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sz w:val="24"/>
                <w:szCs w:val="32"/>
              </w:rPr>
            </w:pPr>
          </w:p>
        </w:tc>
        <w:tc>
          <w:tcPr>
            <w:tcW w:w="2031" w:type="dxa"/>
            <w:tcBorders>
              <w:tl2br w:val="nil"/>
              <w:tr2bl w:val="nil"/>
            </w:tcBorders>
            <w:shd w:val="clear" w:color="auto" w:fill="7030A0"/>
            <w:vAlign w:val="center"/>
          </w:tcPr>
          <w:p w14:paraId="2D30318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需搬迁转移人数</w:t>
            </w:r>
          </w:p>
        </w:tc>
        <w:tc>
          <w:tcPr>
            <w:tcW w:w="1935" w:type="dxa"/>
            <w:tcBorders>
              <w:tl2br w:val="nil"/>
              <w:tr2bl w:val="nil"/>
            </w:tcBorders>
            <w:shd w:val="clear" w:color="auto" w:fill="7030A0"/>
            <w:vAlign w:val="center"/>
          </w:tcPr>
          <w:p w14:paraId="48A5D9A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潜在经济损失（万元）</w:t>
            </w:r>
          </w:p>
        </w:tc>
        <w:tc>
          <w:tcPr>
            <w:tcW w:w="1674" w:type="dxa"/>
            <w:tcBorders>
              <w:tl2br w:val="nil"/>
              <w:tr2bl w:val="nil"/>
            </w:tcBorders>
            <w:shd w:val="clear" w:color="auto" w:fill="7030A0"/>
            <w:vAlign w:val="center"/>
          </w:tcPr>
          <w:p w14:paraId="5065DB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因灾死亡和 失踪人数</w:t>
            </w:r>
          </w:p>
        </w:tc>
        <w:tc>
          <w:tcPr>
            <w:tcW w:w="1910" w:type="dxa"/>
            <w:tcBorders>
              <w:tl2br w:val="nil"/>
              <w:tr2bl w:val="nil"/>
            </w:tcBorders>
            <w:shd w:val="clear" w:color="auto" w:fill="7030A0"/>
            <w:vAlign w:val="center"/>
          </w:tcPr>
          <w:p w14:paraId="69433F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直接经济损失</w:t>
            </w:r>
          </w:p>
          <w:p w14:paraId="449ED25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（万元）</w:t>
            </w:r>
          </w:p>
        </w:tc>
      </w:tr>
      <w:tr w14:paraId="6B7A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51" w:type="dxa"/>
            <w:tcBorders>
              <w:tl2br w:val="nil"/>
              <w:tr2bl w:val="nil"/>
            </w:tcBorders>
            <w:shd w:val="clear" w:color="auto" w:fill="FF0000"/>
            <w:vAlign w:val="center"/>
          </w:tcPr>
          <w:p w14:paraId="2EEED07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32"/>
                <w:lang w:val="en-US" w:eastAsia="zh-CN" w:bidi="ar-SA"/>
              </w:rPr>
            </w:pPr>
            <w:r>
              <w:rPr>
                <w:rFonts w:hint="eastAsia" w:ascii="宋体" w:hAnsi="宋体" w:eastAsia="宋体" w:cs="Times New Roman"/>
                <w:b/>
                <w:color w:val="FFFFFF"/>
                <w:kern w:val="2"/>
                <w:sz w:val="21"/>
                <w:szCs w:val="32"/>
                <w:lang w:val="en-US" w:eastAsia="zh-CN" w:bidi="ar-SA"/>
              </w:rPr>
              <w:t>特大型</w:t>
            </w:r>
          </w:p>
          <w:p w14:paraId="02DE7EC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w:t>
            </w:r>
            <w:r>
              <w:rPr>
                <w:rFonts w:hint="eastAsia" w:ascii="新宋体" w:hAnsi="新宋体" w:eastAsia="新宋体" w:cs="Times New Roman"/>
                <w:b/>
                <w:color w:val="FFFFFF"/>
                <w:kern w:val="2"/>
                <w:sz w:val="21"/>
                <w:szCs w:val="32"/>
                <w:lang w:val="en-US" w:eastAsia="zh-CN" w:bidi="ar-SA"/>
              </w:rPr>
              <w:t>Ⅰ</w:t>
            </w:r>
            <w:r>
              <w:rPr>
                <w:rFonts w:hint="eastAsia" w:ascii="宋体" w:hAnsi="宋体" w:eastAsia="宋体" w:cs="Times New Roman"/>
                <w:b/>
                <w:color w:val="FFFFFF"/>
                <w:kern w:val="2"/>
                <w:sz w:val="21"/>
                <w:szCs w:val="32"/>
                <w:lang w:val="en-US" w:eastAsia="zh-CN" w:bidi="ar-SA"/>
              </w:rPr>
              <w:t>级）</w:t>
            </w:r>
          </w:p>
        </w:tc>
        <w:tc>
          <w:tcPr>
            <w:tcW w:w="2031" w:type="dxa"/>
            <w:tcBorders>
              <w:tl2br w:val="nil"/>
              <w:tr2bl w:val="nil"/>
            </w:tcBorders>
            <w:shd w:val="clear" w:color="auto" w:fill="E9EDF4"/>
            <w:vAlign w:val="center"/>
          </w:tcPr>
          <w:p w14:paraId="288E60F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1000</w:t>
            </w:r>
            <w:r>
              <w:rPr>
                <w:rFonts w:hint="eastAsia" w:ascii="Calibri" w:hAnsi="Calibri" w:eastAsia="Calibri" w:cs="Times New Roman"/>
                <w:b/>
                <w:color w:val="475F77"/>
                <w:kern w:val="2"/>
                <w:sz w:val="21"/>
                <w:szCs w:val="32"/>
                <w:lang w:val="en-US" w:eastAsia="zh-CN" w:bidi="ar-SA"/>
              </w:rPr>
              <w:t>人以上</w:t>
            </w:r>
          </w:p>
        </w:tc>
        <w:tc>
          <w:tcPr>
            <w:tcW w:w="1935" w:type="dxa"/>
            <w:tcBorders>
              <w:tl2br w:val="nil"/>
              <w:tr2bl w:val="nil"/>
            </w:tcBorders>
            <w:shd w:val="clear" w:color="auto" w:fill="E9EDF4"/>
            <w:vAlign w:val="center"/>
          </w:tcPr>
          <w:p w14:paraId="7CD3B9F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10000</w:t>
            </w:r>
            <w:r>
              <w:rPr>
                <w:rFonts w:hint="eastAsia" w:ascii="Calibri" w:hAnsi="Calibri" w:eastAsia="Calibri" w:cs="Times New Roman"/>
                <w:b/>
                <w:color w:val="475F77"/>
                <w:kern w:val="2"/>
                <w:sz w:val="21"/>
                <w:szCs w:val="32"/>
                <w:lang w:val="en-US" w:eastAsia="zh-CN" w:bidi="ar-SA"/>
              </w:rPr>
              <w:t>（万元）以上</w:t>
            </w:r>
          </w:p>
        </w:tc>
        <w:tc>
          <w:tcPr>
            <w:tcW w:w="1674" w:type="dxa"/>
            <w:tcBorders>
              <w:tl2br w:val="nil"/>
              <w:tr2bl w:val="nil"/>
            </w:tcBorders>
            <w:shd w:val="clear" w:color="auto" w:fill="E9EDF4"/>
            <w:vAlign w:val="center"/>
          </w:tcPr>
          <w:p w14:paraId="7097358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30</w:t>
            </w:r>
            <w:r>
              <w:rPr>
                <w:rFonts w:hint="eastAsia" w:ascii="Calibri" w:hAnsi="Calibri" w:eastAsia="Calibri" w:cs="Times New Roman"/>
                <w:b/>
                <w:color w:val="475F77"/>
                <w:kern w:val="2"/>
                <w:sz w:val="21"/>
                <w:szCs w:val="32"/>
                <w:lang w:val="en-US" w:eastAsia="zh-CN" w:bidi="ar-SA"/>
              </w:rPr>
              <w:t>人以上</w:t>
            </w:r>
          </w:p>
        </w:tc>
        <w:tc>
          <w:tcPr>
            <w:tcW w:w="1910" w:type="dxa"/>
            <w:tcBorders>
              <w:tl2br w:val="nil"/>
              <w:tr2bl w:val="nil"/>
            </w:tcBorders>
            <w:shd w:val="clear" w:color="auto" w:fill="E9EDF4"/>
            <w:vAlign w:val="center"/>
          </w:tcPr>
          <w:p w14:paraId="2716756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1000</w:t>
            </w:r>
            <w:r>
              <w:rPr>
                <w:rFonts w:hint="eastAsia" w:ascii="Calibri" w:hAnsi="Calibri" w:eastAsia="Calibri" w:cs="Times New Roman"/>
                <w:b/>
                <w:color w:val="475F77"/>
                <w:kern w:val="2"/>
                <w:sz w:val="21"/>
                <w:szCs w:val="32"/>
                <w:lang w:val="en-US" w:eastAsia="zh-CN" w:bidi="ar-SA"/>
              </w:rPr>
              <w:t>万元以上</w:t>
            </w:r>
          </w:p>
        </w:tc>
      </w:tr>
      <w:tr w14:paraId="4AE7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451" w:type="dxa"/>
            <w:tcBorders>
              <w:tl2br w:val="nil"/>
              <w:tr2bl w:val="nil"/>
            </w:tcBorders>
            <w:shd w:val="clear" w:color="auto" w:fill="FFC000"/>
            <w:vAlign w:val="center"/>
          </w:tcPr>
          <w:p w14:paraId="4F7075C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32"/>
                <w:lang w:val="en-US" w:eastAsia="zh-CN" w:bidi="ar-SA"/>
              </w:rPr>
            </w:pPr>
            <w:r>
              <w:rPr>
                <w:rFonts w:hint="eastAsia" w:ascii="宋体" w:hAnsi="宋体" w:eastAsia="宋体" w:cs="Times New Roman"/>
                <w:b/>
                <w:color w:val="auto"/>
                <w:kern w:val="2"/>
                <w:sz w:val="21"/>
                <w:szCs w:val="32"/>
                <w:lang w:val="en-US" w:eastAsia="zh-CN" w:bidi="ar-SA"/>
              </w:rPr>
              <w:t>大型</w:t>
            </w:r>
          </w:p>
          <w:p w14:paraId="01962D9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宋体" w:hAnsi="宋体" w:eastAsia="宋体" w:cs="Times New Roman"/>
                <w:b/>
                <w:color w:val="auto"/>
                <w:kern w:val="2"/>
                <w:sz w:val="21"/>
                <w:szCs w:val="32"/>
                <w:lang w:val="en-US" w:eastAsia="zh-CN" w:bidi="ar-SA"/>
              </w:rPr>
              <w:t>（</w:t>
            </w:r>
            <w:r>
              <w:rPr>
                <w:rFonts w:hint="eastAsia" w:ascii="新宋体" w:hAnsi="新宋体" w:eastAsia="新宋体" w:cs="Times New Roman"/>
                <w:b/>
                <w:color w:val="auto"/>
                <w:kern w:val="2"/>
                <w:sz w:val="21"/>
                <w:szCs w:val="32"/>
                <w:lang w:val="en-US" w:eastAsia="zh-CN" w:bidi="ar-SA"/>
              </w:rPr>
              <w:t>Ⅱ</w:t>
            </w:r>
            <w:r>
              <w:rPr>
                <w:rFonts w:hint="eastAsia" w:ascii="宋体" w:hAnsi="宋体" w:eastAsia="宋体" w:cs="Times New Roman"/>
                <w:b/>
                <w:color w:val="auto"/>
                <w:kern w:val="2"/>
                <w:sz w:val="21"/>
                <w:szCs w:val="32"/>
                <w:lang w:val="en-US" w:eastAsia="zh-CN" w:bidi="ar-SA"/>
              </w:rPr>
              <w:t>级）</w:t>
            </w:r>
          </w:p>
        </w:tc>
        <w:tc>
          <w:tcPr>
            <w:tcW w:w="2031" w:type="dxa"/>
            <w:tcBorders>
              <w:tl2br w:val="nil"/>
              <w:tr2bl w:val="nil"/>
            </w:tcBorders>
            <w:shd w:val="clear" w:color="auto" w:fill="D0D8E8"/>
            <w:vAlign w:val="center"/>
          </w:tcPr>
          <w:p w14:paraId="06C538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500~999</w:t>
            </w:r>
            <w:r>
              <w:rPr>
                <w:rFonts w:hint="eastAsia" w:ascii="Calibri" w:hAnsi="Calibri" w:eastAsia="Calibri" w:cs="Times New Roman"/>
                <w:b/>
                <w:color w:val="475F77"/>
                <w:kern w:val="2"/>
                <w:sz w:val="21"/>
                <w:szCs w:val="32"/>
                <w:lang w:val="en-US" w:eastAsia="zh-CN" w:bidi="ar-SA"/>
              </w:rPr>
              <w:t>（人）</w:t>
            </w:r>
          </w:p>
        </w:tc>
        <w:tc>
          <w:tcPr>
            <w:tcW w:w="1935" w:type="dxa"/>
            <w:tcBorders>
              <w:tl2br w:val="nil"/>
              <w:tr2bl w:val="nil"/>
            </w:tcBorders>
            <w:shd w:val="clear" w:color="auto" w:fill="D0D8E8"/>
            <w:vAlign w:val="center"/>
          </w:tcPr>
          <w:p w14:paraId="516EA7F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5000~10000</w:t>
            </w:r>
          </w:p>
          <w:p w14:paraId="4F91B2F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eastAsia" w:ascii="Calibri" w:hAnsi="Calibri" w:eastAsia="Calibri" w:cs="Times New Roman"/>
                <w:b/>
                <w:color w:val="475F77"/>
                <w:kern w:val="2"/>
                <w:sz w:val="21"/>
                <w:szCs w:val="32"/>
                <w:lang w:val="en-US" w:eastAsia="zh-CN" w:bidi="ar-SA"/>
              </w:rPr>
              <w:t>（万元）</w:t>
            </w:r>
          </w:p>
        </w:tc>
        <w:tc>
          <w:tcPr>
            <w:tcW w:w="1674" w:type="dxa"/>
            <w:tcBorders>
              <w:tl2br w:val="nil"/>
              <w:tr2bl w:val="nil"/>
            </w:tcBorders>
            <w:shd w:val="clear" w:color="auto" w:fill="D0D8E8"/>
            <w:vAlign w:val="center"/>
          </w:tcPr>
          <w:p w14:paraId="652A7B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10~29</w:t>
            </w:r>
            <w:r>
              <w:rPr>
                <w:rFonts w:hint="eastAsia" w:ascii="Calibri" w:hAnsi="Calibri" w:eastAsia="Calibri" w:cs="Times New Roman"/>
                <w:b/>
                <w:color w:val="475F77"/>
                <w:kern w:val="2"/>
                <w:sz w:val="21"/>
                <w:szCs w:val="32"/>
                <w:lang w:val="en-US" w:eastAsia="zh-CN" w:bidi="ar-SA"/>
              </w:rPr>
              <w:t>（人）</w:t>
            </w:r>
          </w:p>
        </w:tc>
        <w:tc>
          <w:tcPr>
            <w:tcW w:w="1910" w:type="dxa"/>
            <w:tcBorders>
              <w:tl2br w:val="nil"/>
              <w:tr2bl w:val="nil"/>
            </w:tcBorders>
            <w:shd w:val="clear" w:color="auto" w:fill="D0D8E8"/>
            <w:vAlign w:val="center"/>
          </w:tcPr>
          <w:p w14:paraId="028C1C7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500~1000</w:t>
            </w:r>
          </w:p>
          <w:p w14:paraId="5A04044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eastAsia" w:ascii="Calibri" w:hAnsi="Calibri" w:eastAsia="Calibri" w:cs="Times New Roman"/>
                <w:b/>
                <w:color w:val="475F77"/>
                <w:kern w:val="2"/>
                <w:sz w:val="21"/>
                <w:szCs w:val="32"/>
                <w:lang w:val="en-US" w:eastAsia="zh-CN" w:bidi="ar-SA"/>
              </w:rPr>
              <w:t>（万元）</w:t>
            </w:r>
          </w:p>
        </w:tc>
      </w:tr>
      <w:tr w14:paraId="5621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exact"/>
          <w:jc w:val="center"/>
        </w:trPr>
        <w:tc>
          <w:tcPr>
            <w:tcW w:w="1451" w:type="dxa"/>
            <w:tcBorders>
              <w:tl2br w:val="nil"/>
              <w:tr2bl w:val="nil"/>
            </w:tcBorders>
            <w:shd w:val="clear" w:color="auto" w:fill="FFFF00"/>
            <w:vAlign w:val="center"/>
          </w:tcPr>
          <w:p w14:paraId="6D9C002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32"/>
                <w:lang w:val="en-US" w:eastAsia="zh-CN" w:bidi="ar-SA"/>
              </w:rPr>
            </w:pPr>
            <w:r>
              <w:rPr>
                <w:rFonts w:hint="eastAsia" w:ascii="宋体" w:hAnsi="宋体" w:eastAsia="宋体" w:cs="Times New Roman"/>
                <w:b/>
                <w:color w:val="auto"/>
                <w:kern w:val="2"/>
                <w:sz w:val="21"/>
                <w:szCs w:val="32"/>
                <w:lang w:val="en-US" w:eastAsia="zh-CN" w:bidi="ar-SA"/>
              </w:rPr>
              <w:t>中型</w:t>
            </w:r>
          </w:p>
          <w:p w14:paraId="13D6B88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宋体" w:hAnsi="宋体" w:eastAsia="宋体" w:cs="Times New Roman"/>
                <w:b/>
                <w:color w:val="auto"/>
                <w:kern w:val="2"/>
                <w:sz w:val="21"/>
                <w:szCs w:val="32"/>
                <w:lang w:val="en-US" w:eastAsia="zh-CN" w:bidi="ar-SA"/>
              </w:rPr>
              <w:t>（</w:t>
            </w:r>
            <w:r>
              <w:rPr>
                <w:rFonts w:hint="eastAsia" w:ascii="新宋体" w:hAnsi="新宋体" w:eastAsia="新宋体" w:cs="Times New Roman"/>
                <w:b/>
                <w:color w:val="auto"/>
                <w:kern w:val="2"/>
                <w:sz w:val="21"/>
                <w:szCs w:val="32"/>
                <w:lang w:val="en-US" w:eastAsia="zh-CN" w:bidi="ar-SA"/>
              </w:rPr>
              <w:t>Ⅲ</w:t>
            </w:r>
            <w:r>
              <w:rPr>
                <w:rFonts w:hint="eastAsia" w:ascii="宋体" w:hAnsi="宋体" w:eastAsia="宋体" w:cs="Times New Roman"/>
                <w:b/>
                <w:color w:val="auto"/>
                <w:kern w:val="2"/>
                <w:sz w:val="21"/>
                <w:szCs w:val="32"/>
                <w:lang w:val="en-US" w:eastAsia="zh-CN" w:bidi="ar-SA"/>
              </w:rPr>
              <w:t>级）</w:t>
            </w:r>
          </w:p>
        </w:tc>
        <w:tc>
          <w:tcPr>
            <w:tcW w:w="2031" w:type="dxa"/>
            <w:tcBorders>
              <w:tl2br w:val="nil"/>
              <w:tr2bl w:val="nil"/>
            </w:tcBorders>
            <w:shd w:val="clear" w:color="auto" w:fill="E9EDF4"/>
            <w:vAlign w:val="center"/>
          </w:tcPr>
          <w:p w14:paraId="014CB8A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100~499</w:t>
            </w:r>
            <w:r>
              <w:rPr>
                <w:rFonts w:hint="eastAsia" w:ascii="Calibri" w:hAnsi="Calibri" w:eastAsia="Calibri" w:cs="Times New Roman"/>
                <w:b/>
                <w:color w:val="475F77"/>
                <w:kern w:val="2"/>
                <w:sz w:val="21"/>
                <w:szCs w:val="32"/>
                <w:lang w:val="en-US" w:eastAsia="zh-CN" w:bidi="ar-SA"/>
              </w:rPr>
              <w:t>（人）</w:t>
            </w:r>
          </w:p>
        </w:tc>
        <w:tc>
          <w:tcPr>
            <w:tcW w:w="1935" w:type="dxa"/>
            <w:tcBorders>
              <w:tl2br w:val="nil"/>
              <w:tr2bl w:val="nil"/>
            </w:tcBorders>
            <w:shd w:val="clear" w:color="auto" w:fill="E9EDF4"/>
            <w:vAlign w:val="center"/>
          </w:tcPr>
          <w:p w14:paraId="440EC19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500~5000</w:t>
            </w:r>
          </w:p>
          <w:p w14:paraId="6C898DE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eastAsia" w:ascii="Calibri" w:hAnsi="Calibri" w:eastAsia="Calibri" w:cs="Times New Roman"/>
                <w:b/>
                <w:color w:val="475F77"/>
                <w:kern w:val="2"/>
                <w:sz w:val="21"/>
                <w:szCs w:val="32"/>
                <w:lang w:val="en-US" w:eastAsia="zh-CN" w:bidi="ar-SA"/>
              </w:rPr>
              <w:t>（万元）</w:t>
            </w:r>
          </w:p>
        </w:tc>
        <w:tc>
          <w:tcPr>
            <w:tcW w:w="1674" w:type="dxa"/>
            <w:tcBorders>
              <w:tl2br w:val="nil"/>
              <w:tr2bl w:val="nil"/>
            </w:tcBorders>
            <w:shd w:val="clear" w:color="auto" w:fill="E9EDF4"/>
            <w:vAlign w:val="center"/>
          </w:tcPr>
          <w:p w14:paraId="376C54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3~9</w:t>
            </w:r>
            <w:r>
              <w:rPr>
                <w:rFonts w:hint="eastAsia" w:ascii="Calibri" w:hAnsi="Calibri" w:eastAsia="Calibri" w:cs="Times New Roman"/>
                <w:b/>
                <w:color w:val="475F77"/>
                <w:kern w:val="2"/>
                <w:sz w:val="21"/>
                <w:szCs w:val="32"/>
                <w:lang w:val="en-US" w:eastAsia="zh-CN" w:bidi="ar-SA"/>
              </w:rPr>
              <w:t>（人）</w:t>
            </w:r>
          </w:p>
        </w:tc>
        <w:tc>
          <w:tcPr>
            <w:tcW w:w="1910" w:type="dxa"/>
            <w:tcBorders>
              <w:tl2br w:val="nil"/>
              <w:tr2bl w:val="nil"/>
            </w:tcBorders>
            <w:shd w:val="clear" w:color="auto" w:fill="E9EDF4"/>
            <w:vAlign w:val="center"/>
          </w:tcPr>
          <w:p w14:paraId="211E8C2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100~500</w:t>
            </w:r>
          </w:p>
          <w:p w14:paraId="16F9582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eastAsia" w:ascii="Calibri" w:hAnsi="Calibri" w:eastAsia="Calibri" w:cs="Times New Roman"/>
                <w:b/>
                <w:color w:val="475F77"/>
                <w:kern w:val="2"/>
                <w:sz w:val="21"/>
                <w:szCs w:val="32"/>
                <w:lang w:val="en-US" w:eastAsia="zh-CN" w:bidi="ar-SA"/>
              </w:rPr>
              <w:t>（万元）</w:t>
            </w:r>
          </w:p>
        </w:tc>
      </w:tr>
      <w:tr w14:paraId="2A8D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451" w:type="dxa"/>
            <w:tcBorders>
              <w:tl2br w:val="nil"/>
              <w:tr2bl w:val="nil"/>
            </w:tcBorders>
            <w:shd w:val="clear" w:color="auto" w:fill="0070C0"/>
            <w:vAlign w:val="center"/>
          </w:tcPr>
          <w:p w14:paraId="13A7E84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32"/>
                <w:lang w:val="en-US" w:eastAsia="zh-CN" w:bidi="ar-SA"/>
              </w:rPr>
            </w:pPr>
            <w:r>
              <w:rPr>
                <w:rFonts w:hint="eastAsia" w:ascii="宋体" w:hAnsi="宋体" w:eastAsia="宋体" w:cs="Times New Roman"/>
                <w:b/>
                <w:color w:val="FFFFFF"/>
                <w:kern w:val="2"/>
                <w:sz w:val="21"/>
                <w:szCs w:val="32"/>
                <w:lang w:val="en-US" w:eastAsia="zh-CN" w:bidi="ar-SA"/>
              </w:rPr>
              <w:t>小型</w:t>
            </w:r>
          </w:p>
          <w:p w14:paraId="020AD42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w:t>
            </w:r>
            <w:r>
              <w:rPr>
                <w:rFonts w:hint="eastAsia" w:ascii="新宋体" w:hAnsi="新宋体" w:eastAsia="新宋体" w:cs="Times New Roman"/>
                <w:b/>
                <w:color w:val="FFFFFF"/>
                <w:kern w:val="2"/>
                <w:sz w:val="21"/>
                <w:szCs w:val="32"/>
                <w:lang w:val="en-US" w:eastAsia="zh-CN" w:bidi="ar-SA"/>
              </w:rPr>
              <w:t>Ⅳ</w:t>
            </w:r>
            <w:r>
              <w:rPr>
                <w:rFonts w:hint="eastAsia" w:ascii="宋体" w:hAnsi="宋体" w:eastAsia="宋体" w:cs="Times New Roman"/>
                <w:b/>
                <w:color w:val="FFFFFF"/>
                <w:kern w:val="2"/>
                <w:sz w:val="21"/>
                <w:szCs w:val="32"/>
                <w:lang w:val="en-US" w:eastAsia="zh-CN" w:bidi="ar-SA"/>
              </w:rPr>
              <w:t>级）</w:t>
            </w:r>
          </w:p>
        </w:tc>
        <w:tc>
          <w:tcPr>
            <w:tcW w:w="2031" w:type="dxa"/>
            <w:tcBorders>
              <w:tl2br w:val="nil"/>
              <w:tr2bl w:val="nil"/>
            </w:tcBorders>
            <w:shd w:val="clear" w:color="auto" w:fill="D0D8E8"/>
            <w:vAlign w:val="center"/>
          </w:tcPr>
          <w:p w14:paraId="3239DC8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1~99</w:t>
            </w:r>
            <w:r>
              <w:rPr>
                <w:rFonts w:hint="eastAsia" w:ascii="Calibri" w:hAnsi="Calibri" w:eastAsia="Calibri" w:cs="Times New Roman"/>
                <w:b/>
                <w:color w:val="475F77"/>
                <w:kern w:val="2"/>
                <w:sz w:val="21"/>
                <w:szCs w:val="32"/>
                <w:lang w:val="en-US" w:eastAsia="zh-CN" w:bidi="ar-SA"/>
              </w:rPr>
              <w:t>（人）</w:t>
            </w:r>
          </w:p>
        </w:tc>
        <w:tc>
          <w:tcPr>
            <w:tcW w:w="1935" w:type="dxa"/>
            <w:tcBorders>
              <w:tl2br w:val="nil"/>
              <w:tr2bl w:val="nil"/>
            </w:tcBorders>
            <w:shd w:val="clear" w:color="auto" w:fill="D0D8E8"/>
            <w:vAlign w:val="center"/>
          </w:tcPr>
          <w:p w14:paraId="421936A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500</w:t>
            </w:r>
            <w:r>
              <w:rPr>
                <w:rFonts w:hint="eastAsia" w:ascii="Calibri" w:hAnsi="Calibri" w:eastAsia="Calibri" w:cs="Times New Roman"/>
                <w:b/>
                <w:color w:val="475F77"/>
                <w:kern w:val="2"/>
                <w:sz w:val="21"/>
                <w:szCs w:val="32"/>
                <w:lang w:val="en-US" w:eastAsia="zh-CN" w:bidi="ar-SA"/>
              </w:rPr>
              <w:t>万元以下</w:t>
            </w:r>
          </w:p>
        </w:tc>
        <w:tc>
          <w:tcPr>
            <w:tcW w:w="1674" w:type="dxa"/>
            <w:tcBorders>
              <w:tl2br w:val="nil"/>
              <w:tr2bl w:val="nil"/>
            </w:tcBorders>
            <w:shd w:val="clear" w:color="auto" w:fill="D0D8E8"/>
            <w:vAlign w:val="center"/>
          </w:tcPr>
          <w:p w14:paraId="4D3341F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1~2</w:t>
            </w:r>
            <w:r>
              <w:rPr>
                <w:rFonts w:hint="eastAsia" w:ascii="Calibri" w:hAnsi="Calibri" w:eastAsia="Calibri" w:cs="Times New Roman"/>
                <w:b/>
                <w:color w:val="475F77"/>
                <w:kern w:val="2"/>
                <w:sz w:val="21"/>
                <w:szCs w:val="32"/>
                <w:lang w:val="en-US" w:eastAsia="zh-CN" w:bidi="ar-SA"/>
              </w:rPr>
              <w:t>（人）</w:t>
            </w:r>
          </w:p>
        </w:tc>
        <w:tc>
          <w:tcPr>
            <w:tcW w:w="1910" w:type="dxa"/>
            <w:tcBorders>
              <w:tl2br w:val="nil"/>
              <w:tr2bl w:val="nil"/>
            </w:tcBorders>
            <w:shd w:val="clear" w:color="auto" w:fill="D0D8E8"/>
            <w:vAlign w:val="center"/>
          </w:tcPr>
          <w:p w14:paraId="719681E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Calibri" w:hAnsi="Calibri" w:eastAsia="Calibri" w:cs="Times New Roman"/>
                <w:b/>
                <w:color w:val="475F77"/>
                <w:kern w:val="2"/>
                <w:sz w:val="21"/>
                <w:szCs w:val="32"/>
                <w:lang w:val="en-US" w:eastAsia="zh-CN" w:bidi="ar-SA"/>
              </w:rPr>
            </w:pPr>
            <w:r>
              <w:rPr>
                <w:rFonts w:hint="default" w:ascii="Calibri" w:hAnsi="Calibri" w:eastAsia="Calibri" w:cs="Times New Roman"/>
                <w:b/>
                <w:color w:val="475F77"/>
                <w:kern w:val="2"/>
                <w:sz w:val="21"/>
                <w:szCs w:val="32"/>
                <w:lang w:val="en-US" w:eastAsia="zh-CN" w:bidi="ar-SA"/>
              </w:rPr>
              <w:t>100</w:t>
            </w:r>
            <w:r>
              <w:rPr>
                <w:rFonts w:hint="eastAsia" w:ascii="Calibri" w:hAnsi="Calibri" w:eastAsia="Calibri" w:cs="Times New Roman"/>
                <w:b/>
                <w:color w:val="475F77"/>
                <w:kern w:val="2"/>
                <w:sz w:val="21"/>
                <w:szCs w:val="32"/>
                <w:lang w:val="en-US" w:eastAsia="zh-CN" w:bidi="ar-SA"/>
              </w:rPr>
              <w:t>万元以下</w:t>
            </w:r>
          </w:p>
        </w:tc>
      </w:tr>
    </w:tbl>
    <w:p w14:paraId="4847F480">
      <w:pPr>
        <w:keepNext w:val="0"/>
        <w:keepLines w:val="0"/>
        <w:pageBreakBefore w:val="0"/>
        <w:widowControl w:val="0"/>
        <w:kinsoku w:val="0"/>
        <w:wordWrap/>
        <w:overflowPunct w:val="0"/>
        <w:topLinePunct w:val="0"/>
        <w:autoSpaceDE/>
        <w:autoSpaceDN/>
        <w:bidi w:val="0"/>
        <w:adjustRightInd/>
        <w:snapToGrid/>
        <w:spacing w:before="0" w:line="560" w:lineRule="exact"/>
        <w:ind w:left="0" w:firstLine="480" w:firstLineChars="200"/>
        <w:jc w:val="both"/>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〔注：依据《国家突发地质灾害应急预案》（国办函[2005]年5月14日印发，2006 年12月9日第一次修订）制表。〕</w:t>
      </w:r>
    </w:p>
    <w:p w14:paraId="25C25BF0">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11"/>
          <w:szCs w:val="32"/>
          <w:lang w:val="en-US" w:eastAsia="zh-CN" w:bidi="ar-SA"/>
        </w:rPr>
      </w:pPr>
      <w:bookmarkStart w:id="181" w:name="_Toc2973_WPSOffice_Level2"/>
      <w:r>
        <w:rPr>
          <w:rFonts w:hint="eastAsia" w:ascii="仿宋_GB2312" w:hAnsi="仿宋_GB2312" w:eastAsia="仿宋_GB2312" w:cs="Times New Roman"/>
          <w:b/>
          <w:kern w:val="2"/>
          <w:sz w:val="32"/>
          <w:szCs w:val="32"/>
          <w:lang w:val="en-US" w:eastAsia="zh-CN" w:bidi="ar-SA"/>
        </w:rPr>
        <w:t>（三）水灾</w:t>
      </w:r>
      <w:bookmarkEnd w:id="181"/>
      <w:r>
        <w:rPr>
          <w:rFonts w:hint="eastAsia" w:ascii="仿宋_GB2312" w:hAnsi="仿宋_GB2312" w:eastAsia="仿宋_GB2312" w:cs="Times New Roman"/>
          <w:b/>
          <w:kern w:val="2"/>
          <w:sz w:val="32"/>
          <w:szCs w:val="32"/>
          <w:lang w:val="en-US" w:eastAsia="zh-CN" w:bidi="ar-SA"/>
        </w:rPr>
        <w:t xml:space="preserve">                    国标</w:t>
      </w:r>
    </w:p>
    <w:tbl>
      <w:tblPr>
        <w:tblStyle w:val="16"/>
        <w:tblW w:w="94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5"/>
        <w:gridCol w:w="1605"/>
        <w:gridCol w:w="1830"/>
        <w:gridCol w:w="1630"/>
        <w:gridCol w:w="1775"/>
        <w:gridCol w:w="1485"/>
      </w:tblGrid>
      <w:tr w14:paraId="3F878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exact"/>
          <w:jc w:val="center"/>
        </w:trPr>
        <w:tc>
          <w:tcPr>
            <w:tcW w:w="1115" w:type="dxa"/>
            <w:tcBorders>
              <w:top w:val="single" w:color="000000" w:sz="12" w:space="0"/>
              <w:left w:val="single" w:color="000000" w:sz="12" w:space="0"/>
              <w:bottom w:val="single" w:color="000000" w:sz="18" w:space="0"/>
              <w:right w:val="single" w:color="000000" w:sz="18" w:space="0"/>
              <w:tl2br w:val="nil"/>
              <w:tr2bl w:val="nil"/>
            </w:tcBorders>
            <w:shd w:val="clear" w:color="auto" w:fill="8D8698"/>
            <w:vAlign w:val="center"/>
          </w:tcPr>
          <w:p w14:paraId="361D67E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水 灾</w:t>
            </w:r>
          </w:p>
          <w:p w14:paraId="44111DD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（国标）</w:t>
            </w:r>
          </w:p>
        </w:tc>
        <w:tc>
          <w:tcPr>
            <w:tcW w:w="1605"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201694C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流域</w:t>
            </w:r>
          </w:p>
        </w:tc>
        <w:tc>
          <w:tcPr>
            <w:tcW w:w="183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4ABF4CD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河段堤防</w:t>
            </w:r>
          </w:p>
        </w:tc>
        <w:tc>
          <w:tcPr>
            <w:tcW w:w="163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7994EBC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水库</w:t>
            </w:r>
          </w:p>
        </w:tc>
        <w:tc>
          <w:tcPr>
            <w:tcW w:w="1775"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7B74546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渍涝影响</w:t>
            </w:r>
          </w:p>
        </w:tc>
        <w:tc>
          <w:tcPr>
            <w:tcW w:w="1485" w:type="dxa"/>
            <w:tcBorders>
              <w:top w:val="single" w:color="000000" w:sz="12" w:space="0"/>
              <w:left w:val="single" w:color="000000" w:sz="18" w:space="0"/>
              <w:bottom w:val="single" w:color="000000" w:sz="18" w:space="0"/>
              <w:right w:val="single" w:color="000000" w:sz="6" w:space="0"/>
              <w:tl2br w:val="nil"/>
              <w:tr2bl w:val="nil"/>
            </w:tcBorders>
            <w:shd w:val="clear" w:color="auto" w:fill="8D8698"/>
            <w:vAlign w:val="center"/>
          </w:tcPr>
          <w:p w14:paraId="0125874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台风</w:t>
            </w:r>
          </w:p>
        </w:tc>
      </w:tr>
      <w:tr w14:paraId="430C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6" w:hRule="exact"/>
          <w:jc w:val="center"/>
        </w:trPr>
        <w:tc>
          <w:tcPr>
            <w:tcW w:w="1115" w:type="dxa"/>
            <w:tcBorders>
              <w:top w:val="single" w:color="000000" w:sz="18" w:space="0"/>
              <w:left w:val="single" w:color="000000" w:sz="12" w:space="0"/>
              <w:bottom w:val="single" w:color="000000" w:sz="18" w:space="0"/>
              <w:right w:val="single" w:color="000000" w:sz="18" w:space="0"/>
              <w:tl2br w:val="nil"/>
              <w:tr2bl w:val="nil"/>
            </w:tcBorders>
            <w:shd w:val="clear" w:color="auto" w:fill="FF0000"/>
            <w:vAlign w:val="center"/>
          </w:tcPr>
          <w:p w14:paraId="477F572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特 大</w:t>
            </w:r>
          </w:p>
        </w:tc>
        <w:tc>
          <w:tcPr>
            <w:tcW w:w="1605" w:type="dxa"/>
            <w:tcBorders>
              <w:top w:val="single" w:color="000000" w:sz="18" w:space="0"/>
              <w:left w:val="single" w:color="000000" w:sz="18" w:space="0"/>
              <w:bottom w:val="nil"/>
              <w:right w:val="single" w:color="000000" w:sz="18" w:space="0"/>
              <w:tl2br w:val="nil"/>
              <w:tr2bl w:val="nil"/>
            </w:tcBorders>
            <w:vAlign w:val="center"/>
          </w:tcPr>
          <w:p w14:paraId="45D179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某个流域发生特大洪水，或多个流域同时发生大洪水。</w:t>
            </w:r>
          </w:p>
        </w:tc>
        <w:tc>
          <w:tcPr>
            <w:tcW w:w="1830" w:type="dxa"/>
            <w:tcBorders>
              <w:top w:val="single" w:color="000000" w:sz="18" w:space="0"/>
              <w:left w:val="single" w:color="000000" w:sz="18" w:space="0"/>
              <w:bottom w:val="nil"/>
              <w:right w:val="single" w:color="000000" w:sz="18" w:space="0"/>
              <w:tl2br w:val="nil"/>
              <w:tr2bl w:val="nil"/>
            </w:tcBorders>
            <w:vAlign w:val="center"/>
          </w:tcPr>
          <w:p w14:paraId="6FD8F90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大江大河干流重要河段堤防发生决口。</w:t>
            </w:r>
          </w:p>
        </w:tc>
        <w:tc>
          <w:tcPr>
            <w:tcW w:w="1630" w:type="dxa"/>
            <w:tcBorders>
              <w:top w:val="single" w:color="000000" w:sz="18" w:space="0"/>
              <w:left w:val="single" w:color="000000" w:sz="18" w:space="0"/>
              <w:bottom w:val="single" w:color="000000" w:sz="18" w:space="0"/>
              <w:right w:val="single" w:color="000000" w:sz="18" w:space="0"/>
              <w:tl2br w:val="nil"/>
              <w:tr2bl w:val="nil"/>
            </w:tcBorders>
            <w:vAlign w:val="center"/>
          </w:tcPr>
          <w:p w14:paraId="7ADBB2F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重点大型水库发生垮坝。</w:t>
            </w:r>
          </w:p>
        </w:tc>
        <w:tc>
          <w:tcPr>
            <w:tcW w:w="1775" w:type="dxa"/>
            <w:tcBorders>
              <w:top w:val="single" w:color="000000" w:sz="18" w:space="0"/>
              <w:left w:val="single" w:color="000000" w:sz="18" w:space="0"/>
              <w:bottom w:val="single" w:color="000000" w:sz="18" w:space="0"/>
              <w:right w:val="single" w:color="000000" w:sz="18" w:space="0"/>
              <w:tl2br w:val="nil"/>
              <w:tr2bl w:val="nil"/>
            </w:tcBorders>
            <w:vAlign w:val="center"/>
          </w:tcPr>
          <w:p w14:paraId="6ED08AD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洪水造成铁路繁忙干线、国家高速公路网和主要航道中断，48小时无法恢复通行。</w:t>
            </w:r>
          </w:p>
        </w:tc>
        <w:tc>
          <w:tcPr>
            <w:tcW w:w="1485" w:type="dxa"/>
            <w:tcBorders>
              <w:top w:val="single" w:color="000000" w:sz="18" w:space="0"/>
              <w:left w:val="single" w:color="000000" w:sz="18" w:space="0"/>
              <w:bottom w:val="single" w:color="000000" w:sz="18" w:space="0"/>
              <w:right w:val="single" w:color="000000" w:sz="6" w:space="0"/>
              <w:tl2br w:val="nil"/>
              <w:tr2bl w:val="nil"/>
            </w:tcBorders>
            <w:vAlign w:val="center"/>
          </w:tcPr>
          <w:p w14:paraId="0BE20DB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p>
        </w:tc>
      </w:tr>
      <w:tr w14:paraId="106C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6" w:hRule="exact"/>
          <w:jc w:val="center"/>
        </w:trPr>
        <w:tc>
          <w:tcPr>
            <w:tcW w:w="1115" w:type="dxa"/>
            <w:tcBorders>
              <w:top w:val="single" w:color="000000" w:sz="18" w:space="0"/>
              <w:left w:val="single" w:color="000000" w:sz="12" w:space="0"/>
              <w:bottom w:val="single" w:color="000000" w:sz="18" w:space="0"/>
              <w:right w:val="single" w:color="000000" w:sz="18" w:space="0"/>
              <w:tl2br w:val="nil"/>
              <w:tr2bl w:val="nil"/>
            </w:tcBorders>
            <w:shd w:val="clear" w:color="auto" w:fill="FF6500"/>
            <w:vAlign w:val="center"/>
          </w:tcPr>
          <w:p w14:paraId="77E884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FFFFFF"/>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重 大</w:t>
            </w:r>
          </w:p>
        </w:tc>
        <w:tc>
          <w:tcPr>
            <w:tcW w:w="1605" w:type="dxa"/>
            <w:tcBorders>
              <w:top w:val="single" w:color="000000" w:sz="18" w:space="0"/>
              <w:left w:val="single" w:color="000000" w:sz="18" w:space="0"/>
              <w:bottom w:val="nil"/>
              <w:right w:val="single" w:color="000000" w:sz="18" w:space="0"/>
              <w:tl2br w:val="nil"/>
              <w:tr2bl w:val="nil"/>
            </w:tcBorders>
            <w:vAlign w:val="center"/>
          </w:tcPr>
          <w:p w14:paraId="315309E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一个流域或其部分区域发生大洪水。</w:t>
            </w:r>
          </w:p>
        </w:tc>
        <w:tc>
          <w:tcPr>
            <w:tcW w:w="1830" w:type="dxa"/>
            <w:tcBorders>
              <w:top w:val="single" w:color="000000" w:sz="18" w:space="0"/>
              <w:left w:val="single" w:color="000000" w:sz="18" w:space="0"/>
              <w:bottom w:val="nil"/>
              <w:right w:val="single" w:color="000000" w:sz="18" w:space="0"/>
              <w:tl2br w:val="nil"/>
              <w:tr2bl w:val="nil"/>
            </w:tcBorders>
            <w:vAlign w:val="center"/>
          </w:tcPr>
          <w:p w14:paraId="3068044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大江大河干流一般河段及主要支流堤防发生决口或出现重大险情。</w:t>
            </w:r>
          </w:p>
        </w:tc>
        <w:tc>
          <w:tcPr>
            <w:tcW w:w="1630" w:type="dxa"/>
            <w:tcBorders>
              <w:top w:val="single" w:color="000000" w:sz="18" w:space="0"/>
              <w:left w:val="single" w:color="000000" w:sz="18" w:space="0"/>
              <w:bottom w:val="nil"/>
              <w:right w:val="single" w:color="000000" w:sz="18" w:space="0"/>
              <w:tl2br w:val="nil"/>
              <w:tr2bl w:val="nil"/>
            </w:tcBorders>
            <w:vAlign w:val="center"/>
          </w:tcPr>
          <w:p w14:paraId="43391D7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一般大中型水库发生垮坝或出现对下游安全造成直接影响的重大险情。</w:t>
            </w:r>
          </w:p>
        </w:tc>
        <w:tc>
          <w:tcPr>
            <w:tcW w:w="1775" w:type="dxa"/>
            <w:tcBorders>
              <w:top w:val="single" w:color="000000" w:sz="18" w:space="0"/>
              <w:left w:val="single" w:color="000000" w:sz="18" w:space="0"/>
              <w:bottom w:val="nil"/>
              <w:right w:val="single" w:color="000000" w:sz="18" w:space="0"/>
              <w:tl2br w:val="nil"/>
              <w:tr2bl w:val="nil"/>
            </w:tcBorders>
            <w:vAlign w:val="center"/>
          </w:tcPr>
          <w:p w14:paraId="417DDC1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洪水造成铁路繁忙干线、国家高速公路网和主要巷道中断，24小时无法恢复通行。</w:t>
            </w:r>
          </w:p>
        </w:tc>
        <w:tc>
          <w:tcPr>
            <w:tcW w:w="1485" w:type="dxa"/>
            <w:tcBorders>
              <w:top w:val="single" w:color="000000" w:sz="18" w:space="0"/>
              <w:left w:val="single" w:color="000000" w:sz="18" w:space="0"/>
              <w:bottom w:val="single" w:color="000000" w:sz="18" w:space="0"/>
              <w:right w:val="single" w:color="000000" w:sz="6" w:space="0"/>
              <w:tl2br w:val="nil"/>
              <w:tr2bl w:val="nil"/>
            </w:tcBorders>
            <w:vAlign w:val="center"/>
          </w:tcPr>
          <w:p w14:paraId="1C39DD3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超强台风</w:t>
            </w:r>
          </w:p>
          <w:p w14:paraId="33DAE3F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登陆并严</w:t>
            </w:r>
          </w:p>
          <w:p w14:paraId="37AF946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重影响我</w:t>
            </w:r>
          </w:p>
          <w:p w14:paraId="426CE30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国。</w:t>
            </w:r>
          </w:p>
        </w:tc>
      </w:tr>
      <w:tr w14:paraId="2FB83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6" w:hRule="exact"/>
          <w:jc w:val="center"/>
        </w:trPr>
        <w:tc>
          <w:tcPr>
            <w:tcW w:w="1115" w:type="dxa"/>
            <w:tcBorders>
              <w:top w:val="single" w:color="000000" w:sz="18" w:space="0"/>
              <w:left w:val="single" w:color="000000" w:sz="12" w:space="0"/>
              <w:bottom w:val="single" w:color="000000" w:sz="18" w:space="0"/>
              <w:right w:val="single" w:color="000000" w:sz="18" w:space="0"/>
              <w:tl2br w:val="nil"/>
              <w:tr2bl w:val="nil"/>
            </w:tcBorders>
            <w:shd w:val="clear" w:color="auto" w:fill="F8FE5E"/>
            <w:vAlign w:val="center"/>
          </w:tcPr>
          <w:p w14:paraId="72434BF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auto"/>
                <w:kern w:val="2"/>
                <w:sz w:val="21"/>
                <w:szCs w:val="21"/>
                <w:lang w:val="en-US" w:eastAsia="zh-CN" w:bidi="ar-SA"/>
              </w:rPr>
            </w:pPr>
            <w:r>
              <w:rPr>
                <w:rFonts w:hint="eastAsia" w:ascii="宋体" w:hAnsi="宋体" w:eastAsia="宋体" w:cs="Times New Roman"/>
                <w:b/>
                <w:color w:val="auto"/>
                <w:kern w:val="2"/>
                <w:sz w:val="21"/>
                <w:szCs w:val="21"/>
                <w:lang w:val="en-US" w:eastAsia="zh-CN" w:bidi="ar-SA"/>
              </w:rPr>
              <w:t>较 大</w:t>
            </w:r>
          </w:p>
        </w:tc>
        <w:tc>
          <w:tcPr>
            <w:tcW w:w="1605" w:type="dxa"/>
            <w:tcBorders>
              <w:top w:val="single" w:color="000000" w:sz="18" w:space="0"/>
              <w:left w:val="single" w:color="000000" w:sz="18" w:space="0"/>
              <w:bottom w:val="single" w:color="000000" w:sz="18" w:space="0"/>
              <w:right w:val="single" w:color="000000" w:sz="18" w:space="0"/>
              <w:tl2br w:val="nil"/>
              <w:tr2bl w:val="nil"/>
            </w:tcBorders>
            <w:vAlign w:val="center"/>
          </w:tcPr>
          <w:p w14:paraId="3BEF9A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一省（区、 市）发生较大洪水。</w:t>
            </w:r>
          </w:p>
        </w:tc>
        <w:tc>
          <w:tcPr>
            <w:tcW w:w="1830" w:type="dxa"/>
            <w:tcBorders>
              <w:top w:val="single" w:color="000000" w:sz="18" w:space="0"/>
              <w:left w:val="single" w:color="000000" w:sz="18" w:space="0"/>
              <w:bottom w:val="single" w:color="000000" w:sz="18" w:space="0"/>
              <w:right w:val="single" w:color="000000" w:sz="18" w:space="0"/>
              <w:tl2br w:val="nil"/>
              <w:tr2bl w:val="nil"/>
            </w:tcBorders>
            <w:vAlign w:val="center"/>
          </w:tcPr>
          <w:p w14:paraId="18B7735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大江大河干流堤防出现重大险情。</w:t>
            </w:r>
          </w:p>
        </w:tc>
        <w:tc>
          <w:tcPr>
            <w:tcW w:w="1630" w:type="dxa"/>
            <w:tcBorders>
              <w:top w:val="single" w:color="000000" w:sz="18" w:space="0"/>
              <w:left w:val="single" w:color="000000" w:sz="18" w:space="0"/>
              <w:bottom w:val="single" w:color="000000" w:sz="18" w:space="0"/>
              <w:right w:val="single" w:color="000000" w:sz="18" w:space="0"/>
              <w:tl2br w:val="nil"/>
              <w:tr2bl w:val="nil"/>
            </w:tcBorders>
            <w:vAlign w:val="center"/>
          </w:tcPr>
          <w:p w14:paraId="14965D7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大中型水库出现严重险情或小型水库发生垮坝。</w:t>
            </w:r>
          </w:p>
        </w:tc>
        <w:tc>
          <w:tcPr>
            <w:tcW w:w="1775" w:type="dxa"/>
            <w:tcBorders>
              <w:top w:val="single" w:color="000000" w:sz="18" w:space="0"/>
              <w:left w:val="single" w:color="000000" w:sz="18" w:space="0"/>
              <w:bottom w:val="single" w:color="000000" w:sz="18" w:space="0"/>
              <w:right w:val="single" w:color="000000" w:sz="18" w:space="0"/>
              <w:tl2br w:val="nil"/>
              <w:tr2bl w:val="nil"/>
            </w:tcBorders>
            <w:vAlign w:val="center"/>
          </w:tcPr>
          <w:p w14:paraId="6640640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p>
        </w:tc>
        <w:tc>
          <w:tcPr>
            <w:tcW w:w="1485" w:type="dxa"/>
            <w:tcBorders>
              <w:top w:val="single" w:color="000000" w:sz="18" w:space="0"/>
              <w:left w:val="single" w:color="000000" w:sz="18" w:space="0"/>
              <w:bottom w:val="single" w:color="000000" w:sz="18" w:space="0"/>
              <w:right w:val="single" w:color="000000" w:sz="6" w:space="0"/>
              <w:tl2br w:val="nil"/>
              <w:tr2bl w:val="nil"/>
            </w:tcBorders>
            <w:vAlign w:val="center"/>
          </w:tcPr>
          <w:p w14:paraId="6CD03D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强台风登陆 并严重影响我国。</w:t>
            </w:r>
          </w:p>
        </w:tc>
      </w:tr>
      <w:tr w14:paraId="0F65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exact"/>
          <w:jc w:val="center"/>
        </w:trPr>
        <w:tc>
          <w:tcPr>
            <w:tcW w:w="1115" w:type="dxa"/>
            <w:tcBorders>
              <w:top w:val="single" w:color="000000" w:sz="18" w:space="0"/>
              <w:left w:val="single" w:color="000000" w:sz="12" w:space="0"/>
              <w:bottom w:val="single" w:color="000000" w:sz="6" w:space="0"/>
              <w:right w:val="single" w:color="000000" w:sz="18" w:space="0"/>
              <w:tl2br w:val="nil"/>
              <w:tr2bl w:val="nil"/>
            </w:tcBorders>
            <w:shd w:val="clear" w:color="auto" w:fill="3748E7"/>
            <w:vAlign w:val="center"/>
          </w:tcPr>
          <w:p w14:paraId="3F8D596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auto"/>
                <w:kern w:val="2"/>
                <w:sz w:val="21"/>
                <w:szCs w:val="21"/>
                <w:lang w:val="en-US" w:eastAsia="zh-CN" w:bidi="ar-SA"/>
              </w:rPr>
            </w:pPr>
            <w:r>
              <w:rPr>
                <w:rFonts w:hint="eastAsia" w:ascii="宋体" w:hAnsi="宋体" w:eastAsia="宋体" w:cs="Times New Roman"/>
                <w:b/>
                <w:color w:val="FFFFFF"/>
                <w:kern w:val="2"/>
                <w:sz w:val="21"/>
                <w:szCs w:val="21"/>
                <w:lang w:val="en-US" w:eastAsia="zh-CN" w:bidi="ar-SA"/>
              </w:rPr>
              <w:t>一 般</w:t>
            </w:r>
          </w:p>
        </w:tc>
        <w:tc>
          <w:tcPr>
            <w:tcW w:w="1605" w:type="dxa"/>
            <w:tcBorders>
              <w:top w:val="single" w:color="000000" w:sz="18" w:space="0"/>
              <w:left w:val="single" w:color="000000" w:sz="18" w:space="0"/>
              <w:bottom w:val="single" w:color="000000" w:sz="6" w:space="0"/>
              <w:right w:val="single" w:color="000000" w:sz="18" w:space="0"/>
              <w:tl2br w:val="nil"/>
              <w:tr2bl w:val="nil"/>
            </w:tcBorders>
            <w:vAlign w:val="center"/>
          </w:tcPr>
          <w:p w14:paraId="412359A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数省（区市县）同时发生一般 洪水。</w:t>
            </w:r>
          </w:p>
        </w:tc>
        <w:tc>
          <w:tcPr>
            <w:tcW w:w="1830" w:type="dxa"/>
            <w:tcBorders>
              <w:top w:val="single" w:color="000000" w:sz="18" w:space="0"/>
              <w:left w:val="single" w:color="000000" w:sz="18" w:space="0"/>
              <w:bottom w:val="single" w:color="000000" w:sz="6" w:space="0"/>
              <w:right w:val="single" w:color="000000" w:sz="18" w:space="0"/>
              <w:tl2br w:val="nil"/>
              <w:tr2bl w:val="nil"/>
            </w:tcBorders>
            <w:vAlign w:val="center"/>
          </w:tcPr>
          <w:p w14:paraId="6F2461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大江大河干流堤防出现险情。</w:t>
            </w:r>
          </w:p>
        </w:tc>
        <w:tc>
          <w:tcPr>
            <w:tcW w:w="1630" w:type="dxa"/>
            <w:tcBorders>
              <w:top w:val="single" w:color="000000" w:sz="18" w:space="0"/>
              <w:left w:val="single" w:color="000000" w:sz="18" w:space="0"/>
              <w:bottom w:val="single" w:color="000000" w:sz="6" w:space="0"/>
              <w:right w:val="single" w:color="000000" w:sz="18" w:space="0"/>
              <w:tl2br w:val="nil"/>
              <w:tr2bl w:val="nil"/>
            </w:tcBorders>
            <w:vAlign w:val="center"/>
          </w:tcPr>
          <w:p w14:paraId="4330158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大型水库出现险情。</w:t>
            </w:r>
          </w:p>
        </w:tc>
        <w:tc>
          <w:tcPr>
            <w:tcW w:w="1775" w:type="dxa"/>
            <w:tcBorders>
              <w:top w:val="single" w:color="000000" w:sz="18" w:space="0"/>
              <w:left w:val="single" w:color="000000" w:sz="18" w:space="0"/>
              <w:bottom w:val="single" w:color="000000" w:sz="6" w:space="0"/>
              <w:right w:val="single" w:color="000000" w:sz="18" w:space="0"/>
              <w:tl2br w:val="nil"/>
              <w:tr2bl w:val="nil"/>
            </w:tcBorders>
            <w:vAlign w:val="center"/>
          </w:tcPr>
          <w:p w14:paraId="0E9B7CE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w:t>
            </w:r>
          </w:p>
        </w:tc>
        <w:tc>
          <w:tcPr>
            <w:tcW w:w="1485" w:type="dxa"/>
            <w:tcBorders>
              <w:top w:val="single" w:color="000000" w:sz="18" w:space="0"/>
              <w:left w:val="single" w:color="000000" w:sz="18" w:space="0"/>
              <w:bottom w:val="single" w:color="000000" w:sz="6" w:space="0"/>
              <w:right w:val="single" w:color="000000" w:sz="6" w:space="0"/>
              <w:tl2br w:val="nil"/>
              <w:tr2bl w:val="nil"/>
            </w:tcBorders>
            <w:vAlign w:val="center"/>
          </w:tcPr>
          <w:p w14:paraId="2DD0C2D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热带风暴、 强热带风暴、台风登陆并影响我国。</w:t>
            </w:r>
          </w:p>
        </w:tc>
      </w:tr>
    </w:tbl>
    <w:p w14:paraId="07083BE8">
      <w:pPr>
        <w:widowControl w:val="0"/>
        <w:kinsoku w:val="0"/>
        <w:overflowPunct w:val="0"/>
        <w:spacing w:before="163" w:line="305" w:lineRule="auto"/>
        <w:ind w:left="0" w:right="205" w:firstLine="480" w:firstLineChars="200"/>
        <w:jc w:val="both"/>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〔注：依据《国家突发公共事件总体应急预案》（国发</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2005</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11号）、《国家防汛抗旱应急预案》（国办函[2005]35号2005年5月14日印发，2006年12月9日第1次修订）制表。〕</w:t>
      </w:r>
    </w:p>
    <w:p w14:paraId="73EADCAC">
      <w:pPr>
        <w:widowControl w:val="0"/>
        <w:kinsoku w:val="0"/>
        <w:overflowPunct w:val="0"/>
        <w:spacing w:before="163" w:line="305" w:lineRule="auto"/>
        <w:ind w:left="0" w:right="205" w:firstLine="643" w:firstLineChars="200"/>
        <w:jc w:val="center"/>
        <w:outlineLvl w:val="9"/>
        <w:rPr>
          <w:rFonts w:hint="eastAsia" w:ascii="仿宋_GB2312" w:hAnsi="仿宋_GB2312" w:eastAsia="仿宋_GB2312" w:cs="Times New Roman"/>
          <w:b/>
          <w:kern w:val="2"/>
          <w:sz w:val="16"/>
          <w:szCs w:val="32"/>
          <w:lang w:val="en-US" w:eastAsia="zh-CN" w:bidi="ar-SA"/>
        </w:rPr>
      </w:pPr>
      <w:r>
        <w:rPr>
          <w:rFonts w:hint="eastAsia" w:ascii="宋体" w:hAnsi="宋体" w:eastAsia="宋体" w:cs="Times New Roman"/>
          <w:b/>
          <w:kern w:val="2"/>
          <w:sz w:val="32"/>
          <w:szCs w:val="32"/>
          <w:lang w:val="en-US" w:eastAsia="zh-CN" w:bidi="ar-SA"/>
        </w:rPr>
        <w:t>省标</w:t>
      </w:r>
    </w:p>
    <w:tbl>
      <w:tblPr>
        <w:tblStyle w:val="16"/>
        <w:tblW w:w="101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0"/>
        <w:gridCol w:w="1980"/>
        <w:gridCol w:w="1960"/>
        <w:gridCol w:w="1220"/>
        <w:gridCol w:w="1410"/>
        <w:gridCol w:w="1550"/>
        <w:gridCol w:w="1110"/>
      </w:tblGrid>
      <w:tr w14:paraId="7F81A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exact"/>
          <w:jc w:val="center"/>
        </w:trPr>
        <w:tc>
          <w:tcPr>
            <w:tcW w:w="880" w:type="dxa"/>
            <w:tcBorders>
              <w:top w:val="single" w:color="000000" w:sz="12" w:space="0"/>
              <w:left w:val="single" w:color="000000" w:sz="12" w:space="0"/>
              <w:bottom w:val="single" w:color="000000" w:sz="18" w:space="0"/>
              <w:right w:val="single" w:color="000000" w:sz="18" w:space="0"/>
              <w:tl2br w:val="nil"/>
              <w:tr2bl w:val="nil"/>
            </w:tcBorders>
            <w:shd w:val="clear" w:color="auto" w:fill="8D8698"/>
            <w:vAlign w:val="center"/>
          </w:tcPr>
          <w:p w14:paraId="0706FB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水 灾</w:t>
            </w:r>
          </w:p>
          <w:p w14:paraId="0C609D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（省标）</w:t>
            </w:r>
          </w:p>
        </w:tc>
        <w:tc>
          <w:tcPr>
            <w:tcW w:w="198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4BD889A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流域</w:t>
            </w:r>
          </w:p>
        </w:tc>
        <w:tc>
          <w:tcPr>
            <w:tcW w:w="196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49B0EF4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河段堤防</w:t>
            </w:r>
          </w:p>
        </w:tc>
        <w:tc>
          <w:tcPr>
            <w:tcW w:w="122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20A47E8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水库</w:t>
            </w:r>
          </w:p>
        </w:tc>
        <w:tc>
          <w:tcPr>
            <w:tcW w:w="141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71F4490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风暴潮</w:t>
            </w:r>
          </w:p>
        </w:tc>
        <w:tc>
          <w:tcPr>
            <w:tcW w:w="1550" w:type="dxa"/>
            <w:tcBorders>
              <w:top w:val="single" w:color="000000" w:sz="12" w:space="0"/>
              <w:left w:val="single" w:color="000000" w:sz="18" w:space="0"/>
              <w:bottom w:val="single" w:color="000000" w:sz="18" w:space="0"/>
              <w:right w:val="single" w:color="000000" w:sz="18" w:space="0"/>
              <w:tl2br w:val="nil"/>
              <w:tr2bl w:val="nil"/>
            </w:tcBorders>
            <w:shd w:val="clear" w:color="auto" w:fill="8D8698"/>
            <w:vAlign w:val="center"/>
          </w:tcPr>
          <w:p w14:paraId="013BE85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台风</w:t>
            </w:r>
          </w:p>
        </w:tc>
        <w:tc>
          <w:tcPr>
            <w:tcW w:w="1110" w:type="dxa"/>
            <w:tcBorders>
              <w:top w:val="single" w:color="000000" w:sz="12" w:space="0"/>
              <w:left w:val="single" w:color="000000" w:sz="18" w:space="0"/>
              <w:bottom w:val="single" w:color="000000" w:sz="18" w:space="0"/>
              <w:right w:val="single" w:color="000000" w:sz="6" w:space="0"/>
              <w:tl2br w:val="nil"/>
              <w:tr2bl w:val="nil"/>
            </w:tcBorders>
            <w:shd w:val="clear" w:color="auto" w:fill="8D8698"/>
            <w:vAlign w:val="center"/>
          </w:tcPr>
          <w:p w14:paraId="0702561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暴雨</w:t>
            </w:r>
          </w:p>
        </w:tc>
      </w:tr>
      <w:tr w14:paraId="31A4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4" w:hRule="exact"/>
          <w:jc w:val="center"/>
        </w:trPr>
        <w:tc>
          <w:tcPr>
            <w:tcW w:w="880" w:type="dxa"/>
            <w:tcBorders>
              <w:top w:val="single" w:color="000000" w:sz="18" w:space="0"/>
              <w:left w:val="single" w:color="000000" w:sz="12" w:space="0"/>
              <w:bottom w:val="single" w:color="000000" w:sz="18" w:space="0"/>
              <w:right w:val="single" w:color="000000" w:sz="18" w:space="0"/>
              <w:tl2br w:val="nil"/>
              <w:tr2bl w:val="nil"/>
            </w:tcBorders>
            <w:shd w:val="clear" w:color="auto" w:fill="FF0000"/>
            <w:vAlign w:val="center"/>
          </w:tcPr>
          <w:p w14:paraId="53C45DA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b/>
                <w:color w:val="FFFFFF"/>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一级 响应</w:t>
            </w:r>
          </w:p>
        </w:tc>
        <w:tc>
          <w:tcPr>
            <w:tcW w:w="1980" w:type="dxa"/>
            <w:tcBorders>
              <w:top w:val="single" w:color="000000" w:sz="18" w:space="0"/>
              <w:left w:val="single" w:color="000000" w:sz="18" w:space="0"/>
              <w:bottom w:val="single" w:color="000000" w:sz="18" w:space="0"/>
              <w:right w:val="single" w:color="000000" w:sz="18" w:space="0"/>
              <w:tl2br w:val="nil"/>
              <w:tr2bl w:val="nil"/>
            </w:tcBorders>
            <w:vAlign w:val="center"/>
          </w:tcPr>
          <w:p w14:paraId="3EC11E1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多个市县同时发 生50年一遇或以 上洪水；某个市县发生100年一遇或以上洪水。</w:t>
            </w:r>
          </w:p>
        </w:tc>
        <w:tc>
          <w:tcPr>
            <w:tcW w:w="1960" w:type="dxa"/>
            <w:tcBorders>
              <w:top w:val="single" w:color="000000" w:sz="18" w:space="0"/>
              <w:left w:val="single" w:color="000000" w:sz="18" w:space="0"/>
              <w:bottom w:val="single" w:color="000000" w:sz="18" w:space="0"/>
              <w:right w:val="single" w:color="000000" w:sz="18" w:space="0"/>
              <w:tl2br w:val="nil"/>
              <w:tr2bl w:val="nil"/>
            </w:tcBorders>
            <w:vAlign w:val="center"/>
          </w:tcPr>
          <w:p w14:paraId="53C1D49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南渡江、 昌化江、万泉河任一流域 发生100年一遇或 以上特大洪水或南渡江下游河段堤防发生决口。</w:t>
            </w:r>
          </w:p>
        </w:tc>
        <w:tc>
          <w:tcPr>
            <w:tcW w:w="1220" w:type="dxa"/>
            <w:tcBorders>
              <w:top w:val="single" w:color="000000" w:sz="18" w:space="0"/>
              <w:left w:val="single" w:color="000000" w:sz="18" w:space="0"/>
              <w:bottom w:val="single" w:color="000000" w:sz="18" w:space="0"/>
              <w:right w:val="single" w:color="000000" w:sz="18" w:space="0"/>
              <w:tl2br w:val="nil"/>
              <w:tr2bl w:val="nil"/>
            </w:tcBorders>
            <w:vAlign w:val="center"/>
          </w:tcPr>
          <w:p w14:paraId="0AC2973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大、中型 水库已发生垮坝。</w:t>
            </w:r>
          </w:p>
        </w:tc>
        <w:tc>
          <w:tcPr>
            <w:tcW w:w="1410" w:type="dxa"/>
            <w:tcBorders>
              <w:top w:val="single" w:color="000000" w:sz="18" w:space="0"/>
              <w:left w:val="single" w:color="000000" w:sz="18" w:space="0"/>
              <w:bottom w:val="single" w:color="000000" w:sz="18" w:space="0"/>
              <w:right w:val="single" w:color="000000" w:sz="18" w:space="0"/>
              <w:tl2br w:val="nil"/>
              <w:tr2bl w:val="nil"/>
            </w:tcBorders>
            <w:vAlign w:val="center"/>
          </w:tcPr>
          <w:p w14:paraId="778B552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海南省主要 潮位站出现100年一遇及以上风暴潮。</w:t>
            </w:r>
          </w:p>
        </w:tc>
        <w:tc>
          <w:tcPr>
            <w:tcW w:w="1550" w:type="dxa"/>
            <w:tcBorders>
              <w:top w:val="single" w:color="000000" w:sz="18" w:space="0"/>
              <w:left w:val="single" w:color="000000" w:sz="18" w:space="0"/>
              <w:bottom w:val="single" w:color="000000" w:sz="18" w:space="0"/>
              <w:right w:val="single" w:color="000000" w:sz="18" w:space="0"/>
              <w:tl2br w:val="nil"/>
              <w:tr2bl w:val="nil"/>
            </w:tcBorders>
            <w:vAlign w:val="center"/>
          </w:tcPr>
          <w:p w14:paraId="5F9CA7C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台风及以上热带气旋将于 48小时内登 陆或严重影响海南岛本岛。</w:t>
            </w:r>
          </w:p>
        </w:tc>
        <w:tc>
          <w:tcPr>
            <w:tcW w:w="1110" w:type="dxa"/>
            <w:tcBorders>
              <w:top w:val="single" w:color="000000" w:sz="18" w:space="0"/>
              <w:left w:val="single" w:color="000000" w:sz="18" w:space="0"/>
              <w:bottom w:val="single" w:color="000000" w:sz="18" w:space="0"/>
              <w:right w:val="single" w:color="000000" w:sz="6" w:space="0"/>
              <w:tl2br w:val="nil"/>
              <w:tr2bl w:val="nil"/>
            </w:tcBorders>
            <w:vAlign w:val="center"/>
          </w:tcPr>
          <w:p w14:paraId="7B5FD06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b/>
                <w:kern w:val="2"/>
                <w:sz w:val="20"/>
                <w:szCs w:val="32"/>
                <w:lang w:val="en-US" w:eastAsia="zh-CN" w:bidi="ar-SA"/>
              </w:rPr>
            </w:pPr>
          </w:p>
          <w:p w14:paraId="697BE29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r>
      <w:tr w14:paraId="3CB86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5" w:hRule="exact"/>
          <w:jc w:val="center"/>
        </w:trPr>
        <w:tc>
          <w:tcPr>
            <w:tcW w:w="880" w:type="dxa"/>
            <w:tcBorders>
              <w:top w:val="single" w:color="000000" w:sz="18" w:space="0"/>
              <w:left w:val="single" w:color="000000" w:sz="12" w:space="0"/>
              <w:bottom w:val="single" w:color="000000" w:sz="18" w:space="0"/>
              <w:right w:val="single" w:color="000000" w:sz="18" w:space="0"/>
              <w:tl2br w:val="nil"/>
              <w:tr2bl w:val="nil"/>
            </w:tcBorders>
            <w:shd w:val="clear" w:color="auto" w:fill="FF6500"/>
            <w:vAlign w:val="center"/>
          </w:tcPr>
          <w:p w14:paraId="082CD5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b/>
                <w:color w:val="FFFFFF"/>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二级 响应</w:t>
            </w:r>
          </w:p>
        </w:tc>
        <w:tc>
          <w:tcPr>
            <w:tcW w:w="1980" w:type="dxa"/>
            <w:tcBorders>
              <w:top w:val="single" w:color="000000" w:sz="18" w:space="0"/>
              <w:left w:val="single" w:color="000000" w:sz="18" w:space="0"/>
              <w:bottom w:val="single" w:color="000000" w:sz="18" w:space="0"/>
              <w:right w:val="single" w:color="000000" w:sz="18" w:space="0"/>
              <w:tl2br w:val="nil"/>
              <w:tr2bl w:val="nil"/>
            </w:tcBorders>
            <w:vAlign w:val="center"/>
          </w:tcPr>
          <w:p w14:paraId="505FA2F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多个市县同时发 生20年一遇至50年一遇（不含）洪水；某个市县发生50年至100年一遇（不含）洪水。</w:t>
            </w:r>
          </w:p>
        </w:tc>
        <w:tc>
          <w:tcPr>
            <w:tcW w:w="1960" w:type="dxa"/>
            <w:tcBorders>
              <w:top w:val="single" w:color="000000" w:sz="18" w:space="0"/>
              <w:left w:val="single" w:color="000000" w:sz="18" w:space="0"/>
              <w:bottom w:val="single" w:color="000000" w:sz="18" w:space="0"/>
              <w:right w:val="single" w:color="000000" w:sz="18" w:space="0"/>
              <w:tl2br w:val="nil"/>
              <w:tr2bl w:val="nil"/>
            </w:tcBorders>
            <w:vAlign w:val="center"/>
          </w:tcPr>
          <w:p w14:paraId="07CC381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南渡江、昌化江、万泉河任一流域发生50年至100年一遇（不含）洪水或其主干堤防（不含南渡江下游） 发生决口。</w:t>
            </w:r>
          </w:p>
        </w:tc>
        <w:tc>
          <w:tcPr>
            <w:tcW w:w="1220" w:type="dxa"/>
            <w:tcBorders>
              <w:top w:val="single" w:color="000000" w:sz="18" w:space="0"/>
              <w:left w:val="single" w:color="000000" w:sz="18" w:space="0"/>
              <w:bottom w:val="single" w:color="000000" w:sz="18" w:space="0"/>
              <w:right w:val="single" w:color="000000" w:sz="18" w:space="0"/>
              <w:tl2br w:val="nil"/>
              <w:tr2bl w:val="nil"/>
            </w:tcBorders>
            <w:vAlign w:val="center"/>
          </w:tcPr>
          <w:p w14:paraId="39B37A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大中型水库出现重大险情有 可能发生垮坝。</w:t>
            </w:r>
          </w:p>
        </w:tc>
        <w:tc>
          <w:tcPr>
            <w:tcW w:w="1410" w:type="dxa"/>
            <w:tcBorders>
              <w:top w:val="single" w:color="000000" w:sz="18" w:space="0"/>
              <w:left w:val="single" w:color="000000" w:sz="18" w:space="0"/>
              <w:bottom w:val="single" w:color="000000" w:sz="18" w:space="0"/>
              <w:right w:val="single" w:color="000000" w:sz="18" w:space="0"/>
              <w:tl2br w:val="nil"/>
              <w:tr2bl w:val="nil"/>
            </w:tcBorders>
            <w:vAlign w:val="center"/>
          </w:tcPr>
          <w:p w14:paraId="1954CB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海南省主要 潮位站出现 50年至100 年一遇（不 含）风暴潮。</w:t>
            </w:r>
          </w:p>
        </w:tc>
        <w:tc>
          <w:tcPr>
            <w:tcW w:w="1550" w:type="dxa"/>
            <w:tcBorders>
              <w:top w:val="single" w:color="000000" w:sz="18" w:space="0"/>
              <w:left w:val="single" w:color="000000" w:sz="18" w:space="0"/>
              <w:bottom w:val="single" w:color="000000" w:sz="18" w:space="0"/>
              <w:right w:val="single" w:color="000000" w:sz="18" w:space="0"/>
              <w:tl2br w:val="nil"/>
              <w:tr2bl w:val="nil"/>
            </w:tcBorders>
            <w:vAlign w:val="center"/>
          </w:tcPr>
          <w:p w14:paraId="5426BAC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强热带风暴将于48小时内登 陆或严重影响海南岛本岛。</w:t>
            </w:r>
          </w:p>
        </w:tc>
        <w:tc>
          <w:tcPr>
            <w:tcW w:w="1110" w:type="dxa"/>
            <w:tcBorders>
              <w:top w:val="single" w:color="000000" w:sz="18" w:space="0"/>
              <w:left w:val="single" w:color="000000" w:sz="18" w:space="0"/>
              <w:bottom w:val="single" w:color="000000" w:sz="18" w:space="0"/>
              <w:right w:val="single" w:color="000000" w:sz="6" w:space="0"/>
              <w:tl2br w:val="nil"/>
              <w:tr2bl w:val="nil"/>
            </w:tcBorders>
            <w:vAlign w:val="center"/>
          </w:tcPr>
          <w:p w14:paraId="0BEDB6E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r>
      <w:tr w14:paraId="1C34C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exact"/>
          <w:jc w:val="center"/>
        </w:trPr>
        <w:tc>
          <w:tcPr>
            <w:tcW w:w="880" w:type="dxa"/>
            <w:tcBorders>
              <w:top w:val="single" w:color="000000" w:sz="18" w:space="0"/>
              <w:left w:val="single" w:color="000000" w:sz="12" w:space="0"/>
              <w:bottom w:val="single" w:color="000000" w:sz="6" w:space="0"/>
              <w:right w:val="single" w:color="000000" w:sz="18" w:space="0"/>
              <w:tl2br w:val="nil"/>
              <w:tr2bl w:val="nil"/>
            </w:tcBorders>
            <w:shd w:val="clear" w:color="auto" w:fill="F8FE5E"/>
            <w:vAlign w:val="center"/>
          </w:tcPr>
          <w:p w14:paraId="22292F5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kern w:val="2"/>
                <w:sz w:val="21"/>
                <w:szCs w:val="32"/>
                <w:lang w:val="en-US" w:eastAsia="zh-CN" w:bidi="ar-SA"/>
              </w:rPr>
              <w:t>三级 响应</w:t>
            </w:r>
          </w:p>
        </w:tc>
        <w:tc>
          <w:tcPr>
            <w:tcW w:w="1980" w:type="dxa"/>
            <w:tcBorders>
              <w:top w:val="single" w:color="000000" w:sz="18" w:space="0"/>
              <w:left w:val="single" w:color="000000" w:sz="18" w:space="0"/>
              <w:bottom w:val="single" w:color="000000" w:sz="6" w:space="0"/>
              <w:right w:val="single" w:color="000000" w:sz="18" w:space="0"/>
              <w:tl2br w:val="nil"/>
              <w:tr2bl w:val="nil"/>
            </w:tcBorders>
            <w:vAlign w:val="center"/>
          </w:tcPr>
          <w:p w14:paraId="17EC5F2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多个市县同时发 生10年一遇至20年一遇（不含） 洪水；某个市县发生20年至50年一遇（不含）洪水。</w:t>
            </w:r>
          </w:p>
        </w:tc>
        <w:tc>
          <w:tcPr>
            <w:tcW w:w="1960" w:type="dxa"/>
            <w:tcBorders>
              <w:top w:val="single" w:color="000000" w:sz="18" w:space="0"/>
              <w:left w:val="single" w:color="000000" w:sz="18" w:space="0"/>
              <w:bottom w:val="single" w:color="000000" w:sz="6" w:space="0"/>
              <w:right w:val="single" w:color="000000" w:sz="18" w:space="0"/>
              <w:tl2br w:val="nil"/>
              <w:tr2bl w:val="nil"/>
            </w:tcBorders>
            <w:vAlign w:val="center"/>
          </w:tcPr>
          <w:p w14:paraId="4579FC3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南渡江、 昌化江、万泉河等任一主干河流堤防出现重大 险情。</w:t>
            </w:r>
          </w:p>
        </w:tc>
        <w:tc>
          <w:tcPr>
            <w:tcW w:w="1220" w:type="dxa"/>
            <w:tcBorders>
              <w:top w:val="single" w:color="000000" w:sz="18" w:space="0"/>
              <w:left w:val="single" w:color="000000" w:sz="18" w:space="0"/>
              <w:bottom w:val="single" w:color="000000" w:sz="6" w:space="0"/>
              <w:right w:val="single" w:color="000000" w:sz="18" w:space="0"/>
              <w:tl2br w:val="nil"/>
              <w:tr2bl w:val="nil"/>
            </w:tcBorders>
            <w:vAlign w:val="center"/>
          </w:tcPr>
          <w:p w14:paraId="52AE18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大中型水库出现重大险情或 小型水库发生垮坝。</w:t>
            </w:r>
          </w:p>
        </w:tc>
        <w:tc>
          <w:tcPr>
            <w:tcW w:w="1410" w:type="dxa"/>
            <w:tcBorders>
              <w:top w:val="single" w:color="000000" w:sz="18" w:space="0"/>
              <w:left w:val="single" w:color="000000" w:sz="18" w:space="0"/>
              <w:bottom w:val="single" w:color="000000" w:sz="6" w:space="0"/>
              <w:right w:val="single" w:color="000000" w:sz="18" w:space="0"/>
              <w:tl2br w:val="nil"/>
              <w:tr2bl w:val="nil"/>
            </w:tcBorders>
            <w:vAlign w:val="center"/>
          </w:tcPr>
          <w:p w14:paraId="05E6B3B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海南省主要潮位站出现 20年至50年一遇（不含）风暴潮。</w:t>
            </w:r>
          </w:p>
        </w:tc>
        <w:tc>
          <w:tcPr>
            <w:tcW w:w="1550" w:type="dxa"/>
            <w:tcBorders>
              <w:top w:val="single" w:color="000000" w:sz="18" w:space="0"/>
              <w:left w:val="single" w:color="000000" w:sz="18" w:space="0"/>
              <w:bottom w:val="single" w:color="000000" w:sz="6" w:space="0"/>
              <w:right w:val="single" w:color="000000" w:sz="18" w:space="0"/>
              <w:tl2br w:val="nil"/>
              <w:tr2bl w:val="nil"/>
            </w:tcBorders>
            <w:vAlign w:val="center"/>
          </w:tcPr>
          <w:p w14:paraId="5128FFE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热带风暴将于 48小时内登陆或严重影响海南岛本岛。</w:t>
            </w:r>
          </w:p>
        </w:tc>
        <w:tc>
          <w:tcPr>
            <w:tcW w:w="1110" w:type="dxa"/>
            <w:tcBorders>
              <w:top w:val="single" w:color="000000" w:sz="18" w:space="0"/>
              <w:left w:val="single" w:color="000000" w:sz="18" w:space="0"/>
              <w:bottom w:val="single" w:color="000000" w:sz="6" w:space="0"/>
              <w:right w:val="single" w:color="000000" w:sz="6" w:space="0"/>
              <w:tl2br w:val="nil"/>
              <w:tr2bl w:val="nil"/>
            </w:tcBorders>
            <w:vAlign w:val="center"/>
          </w:tcPr>
          <w:p w14:paraId="4F2428B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省气象局</w:t>
            </w:r>
          </w:p>
          <w:p w14:paraId="4FAD9C5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发布暴雨</w:t>
            </w:r>
          </w:p>
          <w:p w14:paraId="1BE8668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一级预警。</w:t>
            </w:r>
          </w:p>
        </w:tc>
      </w:tr>
      <w:tr w14:paraId="773A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9" w:hRule="exact"/>
          <w:jc w:val="center"/>
        </w:trPr>
        <w:tc>
          <w:tcPr>
            <w:tcW w:w="880" w:type="dxa"/>
            <w:tcBorders>
              <w:top w:val="single" w:color="000000" w:sz="12" w:space="0"/>
              <w:left w:val="single" w:color="000000" w:sz="12" w:space="0"/>
              <w:bottom w:val="single" w:color="000000" w:sz="6" w:space="0"/>
              <w:right w:val="single" w:color="000000" w:sz="18" w:space="0"/>
              <w:tl2br w:val="nil"/>
              <w:tr2bl w:val="nil"/>
            </w:tcBorders>
            <w:shd w:val="clear" w:color="auto" w:fill="3748E7"/>
            <w:vAlign w:val="center"/>
          </w:tcPr>
          <w:p w14:paraId="4D0A2E2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四级响应</w:t>
            </w:r>
          </w:p>
        </w:tc>
        <w:tc>
          <w:tcPr>
            <w:tcW w:w="1980" w:type="dxa"/>
            <w:tcBorders>
              <w:top w:val="single" w:color="000000" w:sz="12" w:space="0"/>
              <w:left w:val="single" w:color="000000" w:sz="18" w:space="0"/>
              <w:bottom w:val="single" w:color="000000" w:sz="6" w:space="0"/>
              <w:right w:val="single" w:color="000000" w:sz="18" w:space="0"/>
              <w:tl2br w:val="nil"/>
              <w:tr2bl w:val="nil"/>
            </w:tcBorders>
            <w:vAlign w:val="center"/>
          </w:tcPr>
          <w:p w14:paraId="062C199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多个市县主要河 流同时发生5年至 10年一遇（不 含）洪水；某个市县主要河流发生10年至20年一遇（不含洪水）。</w:t>
            </w:r>
          </w:p>
        </w:tc>
        <w:tc>
          <w:tcPr>
            <w:tcW w:w="1960" w:type="dxa"/>
            <w:tcBorders>
              <w:top w:val="single" w:color="000000" w:sz="12" w:space="0"/>
              <w:left w:val="single" w:color="000000" w:sz="18" w:space="0"/>
              <w:bottom w:val="single" w:color="000000" w:sz="6" w:space="0"/>
              <w:right w:val="single" w:color="000000" w:sz="18" w:space="0"/>
              <w:tl2br w:val="nil"/>
              <w:tr2bl w:val="nil"/>
            </w:tcBorders>
            <w:vAlign w:val="center"/>
          </w:tcPr>
          <w:p w14:paraId="4EEACB5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南渡江、昌化江、万泉河等任一主干河流堤防出现险情。</w:t>
            </w:r>
          </w:p>
        </w:tc>
        <w:tc>
          <w:tcPr>
            <w:tcW w:w="1220" w:type="dxa"/>
            <w:tcBorders>
              <w:top w:val="single" w:color="000000" w:sz="12" w:space="0"/>
              <w:left w:val="single" w:color="000000" w:sz="18" w:space="0"/>
              <w:bottom w:val="single" w:color="000000" w:sz="6" w:space="0"/>
              <w:right w:val="single" w:color="000000" w:sz="18" w:space="0"/>
              <w:tl2br w:val="nil"/>
              <w:tr2bl w:val="nil"/>
            </w:tcBorders>
            <w:vAlign w:val="center"/>
          </w:tcPr>
          <w:p w14:paraId="0AE0EC2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大、中型水库出现一般险情，或小型水库出现重大险情。</w:t>
            </w:r>
          </w:p>
        </w:tc>
        <w:tc>
          <w:tcPr>
            <w:tcW w:w="1410" w:type="dxa"/>
            <w:tcBorders>
              <w:top w:val="single" w:color="000000" w:sz="12" w:space="0"/>
              <w:left w:val="single" w:color="000000" w:sz="18" w:space="0"/>
              <w:bottom w:val="single" w:color="000000" w:sz="6" w:space="0"/>
              <w:right w:val="single" w:color="000000" w:sz="18" w:space="0"/>
              <w:tl2br w:val="nil"/>
              <w:tr2bl w:val="nil"/>
            </w:tcBorders>
            <w:vAlign w:val="center"/>
          </w:tcPr>
          <w:p w14:paraId="7731B3A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省主要潮位站出现10年至20年一遇（不含）风暴潮。</w:t>
            </w:r>
          </w:p>
        </w:tc>
        <w:tc>
          <w:tcPr>
            <w:tcW w:w="1550" w:type="dxa"/>
            <w:tcBorders>
              <w:top w:val="single" w:color="000000" w:sz="12" w:space="0"/>
              <w:left w:val="single" w:color="000000" w:sz="18" w:space="0"/>
              <w:bottom w:val="single" w:color="000000" w:sz="6" w:space="0"/>
              <w:right w:val="single" w:color="000000" w:sz="18" w:space="0"/>
              <w:tl2br w:val="nil"/>
              <w:tr2bl w:val="nil"/>
            </w:tcBorders>
            <w:vAlign w:val="center"/>
          </w:tcPr>
          <w:p w14:paraId="496C54A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热带气压将于48小时登陆并影响本岛。</w:t>
            </w:r>
          </w:p>
        </w:tc>
        <w:tc>
          <w:tcPr>
            <w:tcW w:w="1110" w:type="dxa"/>
            <w:tcBorders>
              <w:top w:val="single" w:color="000000" w:sz="12" w:space="0"/>
              <w:left w:val="single" w:color="000000" w:sz="18" w:space="0"/>
              <w:bottom w:val="single" w:color="000000" w:sz="6" w:space="0"/>
              <w:right w:val="single" w:color="000000" w:sz="6" w:space="0"/>
              <w:tl2br w:val="nil"/>
              <w:tr2bl w:val="nil"/>
            </w:tcBorders>
            <w:vAlign w:val="center"/>
          </w:tcPr>
          <w:p w14:paraId="06A1858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1"/>
                <w:szCs w:val="32"/>
                <w:lang w:val="en-US" w:eastAsia="zh-CN" w:bidi="ar-SA"/>
              </w:rPr>
              <w:t>省气象局发布暴雨二级预警。</w:t>
            </w:r>
          </w:p>
        </w:tc>
      </w:tr>
    </w:tbl>
    <w:p w14:paraId="2EE01660">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480" w:firstLineChars="200"/>
        <w:jc w:val="both"/>
        <w:textAlignment w:val="auto"/>
        <w:outlineLvl w:val="9"/>
        <w:rPr>
          <w:rFonts w:hint="eastAsia" w:ascii="仿宋_GB2312" w:hAnsi="仿宋_GB2312" w:eastAsia="仿宋_GB2312" w:cs="Times New Roman"/>
          <w:b/>
          <w:kern w:val="2"/>
          <w:sz w:val="32"/>
          <w:szCs w:val="32"/>
          <w:lang w:val="en-US" w:eastAsia="zh-CN" w:bidi="ar-SA"/>
        </w:rPr>
      </w:pPr>
      <w:r>
        <w:rPr>
          <w:rFonts w:hint="eastAsia" w:ascii="宋体" w:hAnsi="宋体" w:eastAsia="宋体" w:cs="Times New Roman"/>
          <w:kern w:val="2"/>
          <w:sz w:val="24"/>
          <w:szCs w:val="32"/>
          <w:lang w:val="en-US" w:eastAsia="zh-CN" w:bidi="ar-SA"/>
        </w:rPr>
        <w:t>〔注：依据《海南省防汛防风抗旱应急预案》（琼府办</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2019</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19号）制表。〕</w:t>
      </w:r>
      <w:bookmarkStart w:id="182" w:name="_Toc2044_WPSOffice_Level2"/>
    </w:p>
    <w:p w14:paraId="4E2A652D">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0" w:firstLineChars="0"/>
        <w:jc w:val="both"/>
        <w:textAlignment w:val="auto"/>
        <w:outlineLvl w:val="9"/>
        <w:rPr>
          <w:rFonts w:hint="eastAsia" w:ascii="仿宋_GB2312" w:hAnsi="仿宋_GB2312" w:eastAsia="仿宋_GB2312" w:cs="Times New Roman"/>
          <w:b/>
          <w:kern w:val="2"/>
          <w:sz w:val="32"/>
          <w:szCs w:val="32"/>
          <w:lang w:val="en-US" w:eastAsia="zh-CN" w:bidi="ar-SA"/>
        </w:rPr>
      </w:pPr>
      <w:r>
        <w:rPr>
          <w:rFonts w:hint="eastAsia" w:ascii="仿宋_GB2312" w:hAnsi="仿宋_GB2312" w:eastAsia="仿宋_GB2312" w:cs="Times New Roman"/>
          <w:b/>
          <w:kern w:val="2"/>
          <w:sz w:val="32"/>
          <w:szCs w:val="32"/>
          <w:lang w:val="en-US" w:eastAsia="zh-CN" w:bidi="ar-SA"/>
        </w:rPr>
        <w:t>（四）旱灾</w:t>
      </w:r>
      <w:bookmarkEnd w:id="182"/>
    </w:p>
    <w:p w14:paraId="703DA604">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left="0" w:firstLine="640" w:firstLineChars="200"/>
        <w:jc w:val="center"/>
        <w:textAlignment w:val="auto"/>
        <w:outlineLvl w:val="9"/>
        <w:rPr>
          <w:rFonts w:hint="eastAsia" w:ascii="宋体" w:hAnsi="宋体" w:eastAsia="宋体" w:cs="Times New Roman"/>
          <w:sz w:val="32"/>
          <w:szCs w:val="32"/>
          <w:lang w:eastAsia="zh-CN"/>
        </w:rPr>
      </w:pPr>
      <w:r>
        <w:rPr>
          <w:rFonts w:hint="eastAsia" w:ascii="宋体" w:hAnsi="宋体" w:eastAsia="宋体" w:cs="Times New Roman"/>
          <w:sz w:val="32"/>
          <w:szCs w:val="32"/>
        </w:rPr>
        <w:t>国标</w:t>
      </w:r>
    </w:p>
    <w:tbl>
      <w:tblPr>
        <w:tblStyle w:val="16"/>
        <w:tblW w:w="94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3"/>
        <w:gridCol w:w="2152"/>
        <w:gridCol w:w="2527"/>
        <w:gridCol w:w="3018"/>
      </w:tblGrid>
      <w:tr w14:paraId="7800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exact"/>
          <w:jc w:val="center"/>
        </w:trPr>
        <w:tc>
          <w:tcPr>
            <w:tcW w:w="1763" w:type="dxa"/>
            <w:tcBorders>
              <w:top w:val="single" w:color="auto" w:sz="4" w:space="0"/>
              <w:left w:val="single" w:color="auto" w:sz="4" w:space="0"/>
              <w:bottom w:val="single" w:color="auto" w:sz="4" w:space="0"/>
              <w:right w:val="single" w:color="auto" w:sz="4" w:space="0"/>
              <w:tl2br w:val="nil"/>
              <w:tr2bl w:val="nil"/>
            </w:tcBorders>
            <w:shd w:val="clear" w:color="auto" w:fill="DBEEF3"/>
            <w:vAlign w:val="center"/>
          </w:tcPr>
          <w:p w14:paraId="68B57A2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1"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旱灾</w:t>
            </w:r>
          </w:p>
        </w:tc>
        <w:tc>
          <w:tcPr>
            <w:tcW w:w="2152" w:type="dxa"/>
            <w:tcBorders>
              <w:top w:val="single" w:color="auto" w:sz="4" w:space="0"/>
              <w:left w:val="single" w:color="auto" w:sz="4" w:space="0"/>
              <w:bottom w:val="single" w:color="auto" w:sz="4" w:space="0"/>
              <w:right w:val="single" w:color="auto" w:sz="4" w:space="0"/>
              <w:tl2br w:val="nil"/>
              <w:tr2bl w:val="nil"/>
            </w:tcBorders>
            <w:shd w:val="clear" w:color="auto" w:fill="DBEEF3"/>
            <w:vAlign w:val="center"/>
          </w:tcPr>
          <w:p w14:paraId="75F62AA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kern w:val="2"/>
                <w:sz w:val="24"/>
                <w:szCs w:val="32"/>
                <w:lang w:val="en-US" w:eastAsia="zh-CN" w:bidi="ar-SA"/>
              </w:rPr>
              <w:t>受旱区作物受</w:t>
            </w:r>
          </w:p>
          <w:p w14:paraId="43B104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旱面积占播种</w:t>
            </w:r>
          </w:p>
          <w:p w14:paraId="1B3B92E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面积比例</w:t>
            </w:r>
          </w:p>
        </w:tc>
        <w:tc>
          <w:tcPr>
            <w:tcW w:w="2527" w:type="dxa"/>
            <w:tcBorders>
              <w:top w:val="single" w:color="auto" w:sz="4" w:space="0"/>
              <w:left w:val="single" w:color="auto" w:sz="4" w:space="0"/>
              <w:bottom w:val="single" w:color="auto" w:sz="4" w:space="0"/>
              <w:right w:val="single" w:color="auto" w:sz="4" w:space="0"/>
              <w:tl2br w:val="nil"/>
              <w:tr2bl w:val="nil"/>
            </w:tcBorders>
            <w:shd w:val="clear" w:color="auto" w:fill="DBEEF3"/>
            <w:vAlign w:val="center"/>
          </w:tcPr>
          <w:p w14:paraId="302C9A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kern w:val="2"/>
                <w:sz w:val="24"/>
                <w:szCs w:val="32"/>
                <w:lang w:val="en-US" w:eastAsia="zh-CN" w:bidi="ar-SA"/>
              </w:rPr>
              <w:t>因旱农（牧）区临</w:t>
            </w:r>
          </w:p>
          <w:p w14:paraId="17B51BF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时性饮水困难人口</w:t>
            </w:r>
          </w:p>
          <w:p w14:paraId="5CE458B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占地区人口比例</w:t>
            </w:r>
          </w:p>
        </w:tc>
        <w:tc>
          <w:tcPr>
            <w:tcW w:w="3018" w:type="dxa"/>
            <w:tcBorders>
              <w:top w:val="single" w:color="auto" w:sz="4" w:space="0"/>
              <w:left w:val="single" w:color="auto" w:sz="4" w:space="0"/>
              <w:bottom w:val="single" w:color="auto" w:sz="4" w:space="0"/>
              <w:right w:val="single" w:color="auto" w:sz="4" w:space="0"/>
              <w:tl2br w:val="nil"/>
              <w:tr2bl w:val="nil"/>
            </w:tcBorders>
            <w:shd w:val="clear" w:color="auto" w:fill="DBEEF3"/>
            <w:vAlign w:val="center"/>
          </w:tcPr>
          <w:p w14:paraId="0328544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kern w:val="2"/>
                <w:sz w:val="24"/>
                <w:szCs w:val="32"/>
                <w:lang w:val="en-US" w:eastAsia="zh-CN" w:bidi="ar-SA"/>
              </w:rPr>
              <w:t>城市干旱：因旱城市出</w:t>
            </w:r>
          </w:p>
          <w:p w14:paraId="606F3FE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现缺水现象，供水量低</w:t>
            </w:r>
          </w:p>
          <w:p w14:paraId="759AEE3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于正常需求量比例</w:t>
            </w:r>
          </w:p>
        </w:tc>
      </w:tr>
      <w:tr w14:paraId="79801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exact"/>
          <w:jc w:val="center"/>
        </w:trPr>
        <w:tc>
          <w:tcPr>
            <w:tcW w:w="1763" w:type="dxa"/>
            <w:tcBorders>
              <w:top w:val="single" w:color="auto" w:sz="4" w:space="0"/>
              <w:left w:val="single" w:color="000000" w:sz="4" w:space="0"/>
              <w:bottom w:val="single" w:color="000000" w:sz="4" w:space="0"/>
              <w:right w:val="single" w:color="000000" w:sz="4" w:space="0"/>
              <w:tl2br w:val="nil"/>
              <w:tr2bl w:val="nil"/>
            </w:tcBorders>
            <w:shd w:val="clear" w:color="auto" w:fill="DBEEF3"/>
            <w:vAlign w:val="center"/>
          </w:tcPr>
          <w:p w14:paraId="407DB1E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特大干旱</w:t>
            </w:r>
          </w:p>
        </w:tc>
        <w:tc>
          <w:tcPr>
            <w:tcW w:w="2152" w:type="dxa"/>
            <w:tcBorders>
              <w:top w:val="single" w:color="auto" w:sz="4" w:space="0"/>
              <w:left w:val="single" w:color="000000" w:sz="4" w:space="0"/>
              <w:bottom w:val="single" w:color="000000" w:sz="4" w:space="0"/>
              <w:right w:val="single" w:color="000000" w:sz="4" w:space="0"/>
              <w:tl2br w:val="nil"/>
              <w:tr2bl w:val="nil"/>
            </w:tcBorders>
            <w:shd w:val="clear" w:color="auto" w:fill="DBEEF3"/>
            <w:vAlign w:val="center"/>
          </w:tcPr>
          <w:p w14:paraId="3F6DDAE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＞80%</w:t>
            </w:r>
          </w:p>
        </w:tc>
        <w:tc>
          <w:tcPr>
            <w:tcW w:w="2527" w:type="dxa"/>
            <w:tcBorders>
              <w:top w:val="single" w:color="auto" w:sz="4" w:space="0"/>
              <w:left w:val="single" w:color="000000" w:sz="4" w:space="0"/>
              <w:bottom w:val="single" w:color="000000" w:sz="4" w:space="0"/>
              <w:right w:val="single" w:color="000000" w:sz="4" w:space="0"/>
              <w:tl2br w:val="nil"/>
              <w:tr2bl w:val="nil"/>
            </w:tcBorders>
            <w:shd w:val="clear" w:color="auto" w:fill="DBEEF3"/>
            <w:vAlign w:val="center"/>
          </w:tcPr>
          <w:p w14:paraId="0F094BA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＞60%</w:t>
            </w:r>
          </w:p>
        </w:tc>
        <w:tc>
          <w:tcPr>
            <w:tcW w:w="3018" w:type="dxa"/>
            <w:tcBorders>
              <w:top w:val="single" w:color="auto" w:sz="4" w:space="0"/>
              <w:left w:val="single" w:color="000000" w:sz="4" w:space="0"/>
              <w:bottom w:val="single" w:color="000000" w:sz="4" w:space="0"/>
              <w:right w:val="single" w:color="000000" w:sz="4" w:space="0"/>
              <w:tl2br w:val="nil"/>
              <w:tr2bl w:val="nil"/>
            </w:tcBorders>
            <w:shd w:val="clear" w:color="auto" w:fill="DBEEF3"/>
            <w:vAlign w:val="center"/>
          </w:tcPr>
          <w:p w14:paraId="71630F0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＞30%</w:t>
            </w:r>
          </w:p>
        </w:tc>
      </w:tr>
      <w:tr w14:paraId="273BF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exact"/>
          <w:jc w:val="center"/>
        </w:trPr>
        <w:tc>
          <w:tcPr>
            <w:tcW w:w="1763"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79468F9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严重干旱</w:t>
            </w:r>
          </w:p>
        </w:tc>
        <w:tc>
          <w:tcPr>
            <w:tcW w:w="2152"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6069760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583"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51%-80%</w:t>
            </w:r>
          </w:p>
        </w:tc>
        <w:tc>
          <w:tcPr>
            <w:tcW w:w="2527"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31F3628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77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41%-60%</w:t>
            </w:r>
          </w:p>
        </w:tc>
        <w:tc>
          <w:tcPr>
            <w:tcW w:w="3018"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6191DFE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20%-30%</w:t>
            </w:r>
          </w:p>
        </w:tc>
      </w:tr>
      <w:tr w14:paraId="5B8C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63"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23D0F3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中度干旱</w:t>
            </w:r>
          </w:p>
        </w:tc>
        <w:tc>
          <w:tcPr>
            <w:tcW w:w="2152"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344A3CA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583"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31%-50%</w:t>
            </w:r>
          </w:p>
        </w:tc>
        <w:tc>
          <w:tcPr>
            <w:tcW w:w="2527"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0A20A0B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77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21%-40%</w:t>
            </w:r>
          </w:p>
        </w:tc>
        <w:tc>
          <w:tcPr>
            <w:tcW w:w="3018"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0E7FAE3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10%-20%</w:t>
            </w:r>
          </w:p>
        </w:tc>
      </w:tr>
      <w:tr w14:paraId="4E0C8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exact"/>
          <w:jc w:val="center"/>
        </w:trPr>
        <w:tc>
          <w:tcPr>
            <w:tcW w:w="1763"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3AACED0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轻度干旱</w:t>
            </w:r>
          </w:p>
        </w:tc>
        <w:tc>
          <w:tcPr>
            <w:tcW w:w="2152"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032A4C7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≤30%</w:t>
            </w:r>
          </w:p>
        </w:tc>
        <w:tc>
          <w:tcPr>
            <w:tcW w:w="2527"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296FA5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≤20%</w:t>
            </w:r>
          </w:p>
        </w:tc>
        <w:tc>
          <w:tcPr>
            <w:tcW w:w="3018" w:type="dxa"/>
            <w:tcBorders>
              <w:top w:val="single" w:color="000000" w:sz="4" w:space="0"/>
              <w:left w:val="single" w:color="000000" w:sz="4" w:space="0"/>
              <w:bottom w:val="single" w:color="000000" w:sz="4" w:space="0"/>
              <w:right w:val="single" w:color="000000" w:sz="4" w:space="0"/>
              <w:tl2br w:val="nil"/>
              <w:tr2bl w:val="nil"/>
            </w:tcBorders>
            <w:shd w:val="clear" w:color="auto" w:fill="DBEEF3"/>
            <w:vAlign w:val="center"/>
          </w:tcPr>
          <w:p w14:paraId="263EDE8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5%-10%</w:t>
            </w:r>
          </w:p>
        </w:tc>
      </w:tr>
    </w:tbl>
    <w:p w14:paraId="7B97D894">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480" w:firstLineChars="200"/>
        <w:jc w:val="both"/>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〔注：依据《国家防汛抗旱应急预案》（国办函</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2005</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35号2005年5月14日印发，2006年12月9日第1次修订）制表。〕</w:t>
      </w:r>
    </w:p>
    <w:p w14:paraId="5674B8D4">
      <w:pPr>
        <w:widowControl w:val="0"/>
        <w:kinsoku w:val="0"/>
        <w:overflowPunct w:val="0"/>
        <w:spacing w:before="40" w:line="305" w:lineRule="auto"/>
        <w:ind w:left="0" w:right="513" w:firstLine="240" w:firstLineChars="100"/>
        <w:jc w:val="both"/>
        <w:outlineLvl w:val="9"/>
        <w:rPr>
          <w:rFonts w:hint="eastAsia" w:ascii="仿宋_GB2312" w:hAnsi="仿宋_GB2312" w:eastAsia="仿宋_GB2312" w:cs="Times New Roman"/>
          <w:kern w:val="2"/>
          <w:sz w:val="24"/>
          <w:szCs w:val="32"/>
          <w:lang w:val="en-US" w:eastAsia="zh-CN" w:bidi="ar-SA"/>
        </w:rPr>
      </w:pPr>
    </w:p>
    <w:p w14:paraId="2C5F0BD5">
      <w:pPr>
        <w:keepNext w:val="0"/>
        <w:keepLines w:val="0"/>
        <w:pageBreakBefore w:val="0"/>
        <w:widowControl w:val="0"/>
        <w:kinsoku w:val="0"/>
        <w:wordWrap/>
        <w:overflowPunct w:val="0"/>
        <w:topLinePunct w:val="0"/>
        <w:autoSpaceDE/>
        <w:autoSpaceDN/>
        <w:bidi w:val="0"/>
        <w:adjustRightInd/>
        <w:snapToGrid/>
        <w:spacing w:before="0" w:line="560" w:lineRule="exact"/>
        <w:ind w:left="0" w:right="510" w:firstLine="321" w:firstLineChars="100"/>
        <w:jc w:val="center"/>
        <w:textAlignment w:val="auto"/>
        <w:outlineLvl w:val="9"/>
        <w:rPr>
          <w:rFonts w:hint="eastAsia" w:ascii="仿宋_GB2312" w:hAnsi="仿宋_GB2312" w:eastAsia="仿宋_GB2312" w:cs="Times New Roman"/>
          <w:b/>
          <w:kern w:val="2"/>
          <w:sz w:val="22"/>
          <w:szCs w:val="32"/>
          <w:lang w:val="en-US" w:eastAsia="zh-CN" w:bidi="ar-SA"/>
        </w:rPr>
      </w:pPr>
      <w:r>
        <w:rPr>
          <w:rFonts w:hint="eastAsia" w:ascii="宋体" w:hAnsi="宋体" w:eastAsia="宋体" w:cs="Times New Roman"/>
          <w:b/>
          <w:kern w:val="2"/>
          <w:sz w:val="32"/>
          <w:szCs w:val="32"/>
          <w:lang w:val="en-US" w:eastAsia="zh-CN" w:bidi="ar-SA"/>
        </w:rPr>
        <w:t>海南省干旱指标及等级划分</w:t>
      </w:r>
    </w:p>
    <w:tbl>
      <w:tblPr>
        <w:tblStyle w:val="16"/>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830"/>
        <w:gridCol w:w="1234"/>
        <w:gridCol w:w="1550"/>
        <w:gridCol w:w="1579"/>
        <w:gridCol w:w="15"/>
        <w:gridCol w:w="1337"/>
        <w:gridCol w:w="1305"/>
      </w:tblGrid>
      <w:tr w14:paraId="7435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exact"/>
          <w:jc w:val="center"/>
        </w:trPr>
        <w:tc>
          <w:tcPr>
            <w:tcW w:w="4010" w:type="dxa"/>
            <w:gridSpan w:val="3"/>
            <w:tcBorders>
              <w:tl2br w:val="nil"/>
              <w:tr2bl w:val="nil"/>
            </w:tcBorders>
            <w:shd w:val="clear" w:color="auto" w:fill="8D8698"/>
            <w:vAlign w:val="center"/>
          </w:tcPr>
          <w:p w14:paraId="153722C0">
            <w:pPr>
              <w:keepNext w:val="0"/>
              <w:keepLines w:val="0"/>
              <w:pageBreakBefore w:val="0"/>
              <w:widowControl w:val="0"/>
              <w:suppressLineNumbers w:val="0"/>
              <w:tabs>
                <w:tab w:val="left" w:pos="1575"/>
                <w:tab w:val="left" w:pos="2137"/>
                <w:tab w:val="left" w:pos="2699"/>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Microsoft JhengHei" w:hAnsi="Microsoft JhengHei" w:eastAsia="Microsoft JhengHei" w:cs="Times New Roman"/>
                <w:b/>
                <w:color w:val="auto"/>
                <w:kern w:val="2"/>
                <w:sz w:val="24"/>
                <w:szCs w:val="32"/>
                <w:lang w:val="en-US" w:eastAsia="zh-CN" w:bidi="ar-SA"/>
              </w:rPr>
              <w:t>评价指标</w:t>
            </w:r>
          </w:p>
        </w:tc>
        <w:tc>
          <w:tcPr>
            <w:tcW w:w="1550" w:type="dxa"/>
            <w:tcBorders>
              <w:tl2br w:val="nil"/>
              <w:tr2bl w:val="nil"/>
            </w:tcBorders>
            <w:shd w:val="clear" w:color="auto" w:fill="0070C0"/>
            <w:vAlign w:val="center"/>
          </w:tcPr>
          <w:p w14:paraId="1233ABC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Microsoft JhengHei" w:hAnsi="Microsoft JhengHei" w:eastAsia="Microsoft JhengHei" w:cs="Times New Roman"/>
                <w:b/>
                <w:color w:val="auto"/>
                <w:kern w:val="2"/>
                <w:sz w:val="24"/>
                <w:szCs w:val="32"/>
                <w:lang w:val="en-US" w:eastAsia="zh-CN" w:bidi="ar-SA"/>
              </w:rPr>
              <w:t>轻度干旱</w:t>
            </w:r>
          </w:p>
        </w:tc>
        <w:tc>
          <w:tcPr>
            <w:tcW w:w="1579" w:type="dxa"/>
            <w:tcBorders>
              <w:tl2br w:val="nil"/>
              <w:tr2bl w:val="nil"/>
            </w:tcBorders>
            <w:shd w:val="clear" w:color="auto" w:fill="FFFF00"/>
            <w:vAlign w:val="center"/>
          </w:tcPr>
          <w:p w14:paraId="614B03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Microsoft JhengHei" w:hAnsi="Microsoft JhengHei" w:eastAsia="Microsoft JhengHei" w:cs="Times New Roman"/>
                <w:b/>
                <w:color w:val="auto"/>
                <w:kern w:val="2"/>
                <w:sz w:val="24"/>
                <w:szCs w:val="32"/>
                <w:lang w:val="en-US" w:eastAsia="zh-CN" w:bidi="ar-SA"/>
              </w:rPr>
              <w:t>中度干旱</w:t>
            </w:r>
          </w:p>
        </w:tc>
        <w:tc>
          <w:tcPr>
            <w:tcW w:w="1352" w:type="dxa"/>
            <w:gridSpan w:val="2"/>
            <w:tcBorders>
              <w:tl2br w:val="nil"/>
              <w:tr2bl w:val="nil"/>
            </w:tcBorders>
            <w:shd w:val="clear" w:color="auto" w:fill="FFC000"/>
            <w:vAlign w:val="center"/>
          </w:tcPr>
          <w:p w14:paraId="724F05F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Microsoft JhengHei" w:hAnsi="Microsoft JhengHei" w:eastAsia="Microsoft JhengHei" w:cs="Times New Roman"/>
                <w:b/>
                <w:color w:val="auto"/>
                <w:kern w:val="2"/>
                <w:sz w:val="24"/>
                <w:szCs w:val="32"/>
                <w:lang w:val="en-US" w:eastAsia="zh-CN" w:bidi="ar-SA"/>
              </w:rPr>
              <w:t>重度</w:t>
            </w:r>
            <w:r>
              <w:rPr>
                <w:rFonts w:hint="eastAsia" w:ascii="Microsoft JhengHei" w:hAnsi="Microsoft JhengHei" w:eastAsia="Microsoft JhengHei" w:cs="Times New Roman"/>
                <w:b/>
                <w:color w:val="auto"/>
                <w:kern w:val="2"/>
                <w:sz w:val="24"/>
                <w:szCs w:val="32"/>
                <w:highlight w:val="none"/>
                <w:lang w:val="en-US" w:eastAsia="zh-CN" w:bidi="ar-SA"/>
              </w:rPr>
              <w:t>干</w:t>
            </w:r>
            <w:r>
              <w:rPr>
                <w:rFonts w:hint="eastAsia" w:ascii="Microsoft JhengHei" w:hAnsi="Microsoft JhengHei" w:eastAsia="Microsoft JhengHei" w:cs="Times New Roman"/>
                <w:b/>
                <w:color w:val="auto"/>
                <w:kern w:val="2"/>
                <w:sz w:val="24"/>
                <w:szCs w:val="32"/>
                <w:lang w:val="en-US" w:eastAsia="zh-CN" w:bidi="ar-SA"/>
              </w:rPr>
              <w:t>旱</w:t>
            </w:r>
          </w:p>
        </w:tc>
        <w:tc>
          <w:tcPr>
            <w:tcW w:w="1305" w:type="dxa"/>
            <w:tcBorders>
              <w:tl2br w:val="nil"/>
              <w:tr2bl w:val="nil"/>
            </w:tcBorders>
            <w:shd w:val="clear" w:color="auto" w:fill="FF0000"/>
            <w:vAlign w:val="center"/>
          </w:tcPr>
          <w:p w14:paraId="1B7369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32"/>
                <w:lang w:val="en-US" w:eastAsia="zh-CN" w:bidi="ar-SA"/>
              </w:rPr>
            </w:pPr>
            <w:r>
              <w:rPr>
                <w:rFonts w:hint="eastAsia" w:ascii="Microsoft JhengHei" w:hAnsi="Microsoft JhengHei" w:eastAsia="Microsoft JhengHei" w:cs="Times New Roman"/>
                <w:b/>
                <w:color w:val="auto"/>
                <w:kern w:val="2"/>
                <w:sz w:val="24"/>
                <w:szCs w:val="32"/>
                <w:lang w:val="en-US" w:eastAsia="zh-CN" w:bidi="ar-SA"/>
              </w:rPr>
              <w:t>特大</w:t>
            </w:r>
            <w:r>
              <w:rPr>
                <w:rFonts w:hint="eastAsia" w:ascii="Microsoft JhengHei" w:hAnsi="Microsoft JhengHei" w:eastAsia="Microsoft JhengHei" w:cs="Times New Roman"/>
                <w:b/>
                <w:color w:val="auto"/>
                <w:kern w:val="2"/>
                <w:sz w:val="24"/>
                <w:szCs w:val="32"/>
                <w:highlight w:val="none"/>
                <w:lang w:val="en-US" w:eastAsia="zh-CN" w:bidi="ar-SA"/>
              </w:rPr>
              <w:t>干</w:t>
            </w:r>
            <w:r>
              <w:rPr>
                <w:rFonts w:hint="eastAsia" w:ascii="Microsoft JhengHei" w:hAnsi="Microsoft JhengHei" w:eastAsia="Microsoft JhengHei" w:cs="Times New Roman"/>
                <w:b/>
                <w:color w:val="auto"/>
                <w:kern w:val="2"/>
                <w:sz w:val="24"/>
                <w:szCs w:val="32"/>
                <w:lang w:val="en-US" w:eastAsia="zh-CN" w:bidi="ar-SA"/>
              </w:rPr>
              <w:t>旱</w:t>
            </w:r>
          </w:p>
        </w:tc>
      </w:tr>
      <w:tr w14:paraId="08DF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946" w:type="dxa"/>
            <w:vMerge w:val="restart"/>
            <w:tcBorders>
              <w:tl2br w:val="nil"/>
              <w:tr2bl w:val="nil"/>
            </w:tcBorders>
            <w:shd w:val="clear" w:color="auto" w:fill="A5644E"/>
            <w:vAlign w:val="center"/>
          </w:tcPr>
          <w:p w14:paraId="1A74A58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Microsoft JhengHei" w:hAnsi="Microsoft JhengHei" w:eastAsia="Microsoft JhengHei" w:cs="Times New Roman"/>
                <w:b/>
                <w:color w:val="FFFFFF"/>
                <w:kern w:val="2"/>
                <w:sz w:val="24"/>
                <w:szCs w:val="32"/>
                <w:lang w:val="en-US" w:eastAsia="zh-CN" w:bidi="ar-SA"/>
              </w:rPr>
              <w:t>主要 指标</w:t>
            </w:r>
          </w:p>
        </w:tc>
        <w:tc>
          <w:tcPr>
            <w:tcW w:w="3064" w:type="dxa"/>
            <w:gridSpan w:val="2"/>
            <w:tcBorders>
              <w:tl2br w:val="nil"/>
              <w:tr2bl w:val="nil"/>
            </w:tcBorders>
            <w:shd w:val="clear" w:color="auto" w:fill="A5644E"/>
            <w:vAlign w:val="center"/>
          </w:tcPr>
          <w:p w14:paraId="2EF8405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连续无雨日（天）</w:t>
            </w:r>
          </w:p>
        </w:tc>
        <w:tc>
          <w:tcPr>
            <w:tcW w:w="1550" w:type="dxa"/>
            <w:tcBorders>
              <w:tl2br w:val="nil"/>
              <w:tr2bl w:val="nil"/>
            </w:tcBorders>
            <w:shd w:val="clear" w:color="auto" w:fill="A5644E"/>
            <w:vAlign w:val="center"/>
          </w:tcPr>
          <w:p w14:paraId="4534826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25~40</w:t>
            </w:r>
          </w:p>
        </w:tc>
        <w:tc>
          <w:tcPr>
            <w:tcW w:w="1579" w:type="dxa"/>
            <w:tcBorders>
              <w:tl2br w:val="nil"/>
              <w:tr2bl w:val="nil"/>
            </w:tcBorders>
            <w:shd w:val="clear" w:color="auto" w:fill="A5644E"/>
            <w:vAlign w:val="center"/>
          </w:tcPr>
          <w:p w14:paraId="46A75EB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40~60</w:t>
            </w:r>
          </w:p>
        </w:tc>
        <w:tc>
          <w:tcPr>
            <w:tcW w:w="1352" w:type="dxa"/>
            <w:gridSpan w:val="2"/>
            <w:tcBorders>
              <w:tl2br w:val="nil"/>
              <w:tr2bl w:val="nil"/>
            </w:tcBorders>
            <w:shd w:val="clear" w:color="auto" w:fill="A5644E"/>
            <w:vAlign w:val="center"/>
          </w:tcPr>
          <w:p w14:paraId="3F4ADFC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60~80</w:t>
            </w:r>
          </w:p>
        </w:tc>
        <w:tc>
          <w:tcPr>
            <w:tcW w:w="1305" w:type="dxa"/>
            <w:tcBorders>
              <w:tl2br w:val="nil"/>
              <w:tr2bl w:val="nil"/>
            </w:tcBorders>
            <w:shd w:val="clear" w:color="auto" w:fill="A5644E"/>
            <w:vAlign w:val="center"/>
          </w:tcPr>
          <w:p w14:paraId="287063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80</w:t>
            </w:r>
          </w:p>
        </w:tc>
      </w:tr>
      <w:tr w14:paraId="4AEE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946" w:type="dxa"/>
            <w:vMerge w:val="continue"/>
            <w:tcBorders>
              <w:tl2br w:val="nil"/>
              <w:tr2bl w:val="nil"/>
            </w:tcBorders>
            <w:shd w:val="clear" w:color="auto" w:fill="A5644E"/>
            <w:vAlign w:val="center"/>
          </w:tcPr>
          <w:p w14:paraId="194E9A31">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1830" w:type="dxa"/>
            <w:vMerge w:val="restart"/>
            <w:tcBorders>
              <w:tl2br w:val="nil"/>
              <w:tr2bl w:val="nil"/>
            </w:tcBorders>
            <w:shd w:val="clear" w:color="auto" w:fill="A5644E"/>
            <w:vAlign w:val="center"/>
          </w:tcPr>
          <w:p w14:paraId="5861F26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_GB2312" w:hAnsi="仿宋_GB2312" w:eastAsia="仿宋_GB2312" w:cs="Times New Roman"/>
                <w:b/>
                <w:color w:val="FFFFFF"/>
                <w:kern w:val="2"/>
                <w:sz w:val="24"/>
                <w:szCs w:val="32"/>
                <w:lang w:val="en-US" w:eastAsia="zh-CN" w:bidi="ar-SA"/>
              </w:rPr>
            </w:pPr>
          </w:p>
          <w:p w14:paraId="4AE06D6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降水量距平率</w:t>
            </w:r>
          </w:p>
          <w:p w14:paraId="06D481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234" w:type="dxa"/>
            <w:tcBorders>
              <w:tl2br w:val="nil"/>
              <w:tr2bl w:val="nil"/>
            </w:tcBorders>
            <w:shd w:val="clear" w:color="auto" w:fill="A5644E"/>
            <w:vAlign w:val="center"/>
          </w:tcPr>
          <w:p w14:paraId="5FFA9BA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highlight w:val="none"/>
                <w:lang w:val="en-US" w:eastAsia="zh-CN" w:bidi="ar-SA"/>
              </w:rPr>
            </w:pPr>
            <w:r>
              <w:rPr>
                <w:rFonts w:hint="default" w:ascii="Calibri" w:hAnsi="Calibri" w:eastAsia="Calibri" w:cs="Times New Roman"/>
                <w:color w:val="FFFFFF"/>
                <w:kern w:val="2"/>
                <w:sz w:val="24"/>
                <w:szCs w:val="32"/>
                <w:lang w:val="en-US" w:eastAsia="zh-CN" w:bidi="ar-SA"/>
              </w:rPr>
              <w:t xml:space="preserve">30 </w:t>
            </w:r>
            <w:r>
              <w:rPr>
                <w:rFonts w:hint="eastAsia" w:ascii="宋体" w:hAnsi="宋体" w:eastAsia="宋体" w:cs="Times New Roman"/>
                <w:b/>
                <w:color w:val="FFFFFF"/>
                <w:kern w:val="2"/>
                <w:sz w:val="24"/>
                <w:szCs w:val="32"/>
                <w:lang w:val="en-US" w:eastAsia="zh-CN" w:bidi="ar-SA"/>
              </w:rPr>
              <w:t>天</w:t>
            </w:r>
          </w:p>
        </w:tc>
        <w:tc>
          <w:tcPr>
            <w:tcW w:w="1550" w:type="dxa"/>
            <w:tcBorders>
              <w:tl2br w:val="nil"/>
              <w:tr2bl w:val="nil"/>
            </w:tcBorders>
            <w:shd w:val="clear" w:color="auto" w:fill="A5644E"/>
            <w:vAlign w:val="center"/>
          </w:tcPr>
          <w:p w14:paraId="529EB52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-75~</w:t>
            </w:r>
            <w:r>
              <w:rPr>
                <w:rFonts w:hint="default" w:ascii="Calibri" w:hAnsi="Calibri" w:eastAsia="Calibri" w:cs="Times New Roman"/>
                <w:color w:val="FFFFFF"/>
                <w:kern w:val="2"/>
                <w:sz w:val="24"/>
                <w:szCs w:val="32"/>
                <w:highlight w:val="none"/>
                <w:lang w:val="en-US" w:eastAsia="zh-CN" w:bidi="ar-SA"/>
              </w:rPr>
              <w:t>-</w:t>
            </w:r>
            <w:r>
              <w:rPr>
                <w:rFonts w:hint="default" w:ascii="Calibri" w:hAnsi="Calibri" w:eastAsia="Calibri" w:cs="Times New Roman"/>
                <w:color w:val="FFFFFF"/>
                <w:kern w:val="2"/>
                <w:sz w:val="24"/>
                <w:szCs w:val="32"/>
                <w:lang w:val="en-US" w:eastAsia="zh-CN" w:bidi="ar-SA"/>
              </w:rPr>
              <w:t>85</w:t>
            </w:r>
          </w:p>
        </w:tc>
        <w:tc>
          <w:tcPr>
            <w:tcW w:w="1579" w:type="dxa"/>
            <w:tcBorders>
              <w:tl2br w:val="nil"/>
              <w:tr2bl w:val="nil"/>
            </w:tcBorders>
            <w:shd w:val="clear" w:color="auto" w:fill="A5644E"/>
            <w:vAlign w:val="center"/>
          </w:tcPr>
          <w:p w14:paraId="2679F49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-85</w:t>
            </w:r>
          </w:p>
        </w:tc>
        <w:tc>
          <w:tcPr>
            <w:tcW w:w="1352" w:type="dxa"/>
            <w:gridSpan w:val="2"/>
            <w:tcBorders>
              <w:tl2br w:val="nil"/>
              <w:tr2bl w:val="nil"/>
            </w:tcBorders>
            <w:shd w:val="clear" w:color="auto" w:fill="A5644E"/>
            <w:vAlign w:val="center"/>
          </w:tcPr>
          <w:p w14:paraId="0216FAA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w:t>
            </w:r>
          </w:p>
        </w:tc>
        <w:tc>
          <w:tcPr>
            <w:tcW w:w="1305" w:type="dxa"/>
            <w:tcBorders>
              <w:tl2br w:val="nil"/>
              <w:tr2bl w:val="nil"/>
            </w:tcBorders>
            <w:shd w:val="clear" w:color="auto" w:fill="A5644E"/>
            <w:vAlign w:val="center"/>
          </w:tcPr>
          <w:p w14:paraId="286EEE5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w:t>
            </w:r>
          </w:p>
        </w:tc>
      </w:tr>
      <w:tr w14:paraId="5F29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jc w:val="center"/>
        </w:trPr>
        <w:tc>
          <w:tcPr>
            <w:tcW w:w="946" w:type="dxa"/>
            <w:vMerge w:val="continue"/>
            <w:tcBorders>
              <w:tl2br w:val="nil"/>
              <w:tr2bl w:val="nil"/>
            </w:tcBorders>
            <w:shd w:val="clear" w:color="auto" w:fill="A5644E"/>
            <w:vAlign w:val="center"/>
          </w:tcPr>
          <w:p w14:paraId="18972EE0">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1830" w:type="dxa"/>
            <w:vMerge w:val="continue"/>
            <w:tcBorders>
              <w:tl2br w:val="nil"/>
              <w:tr2bl w:val="nil"/>
            </w:tcBorders>
            <w:shd w:val="clear" w:color="auto" w:fill="A5644E"/>
            <w:vAlign w:val="center"/>
          </w:tcPr>
          <w:p w14:paraId="332AD503">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1234" w:type="dxa"/>
            <w:tcBorders>
              <w:tl2br w:val="nil"/>
              <w:tr2bl w:val="nil"/>
            </w:tcBorders>
            <w:shd w:val="clear" w:color="auto" w:fill="A5644E"/>
            <w:vAlign w:val="center"/>
          </w:tcPr>
          <w:p w14:paraId="56B4582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 xml:space="preserve">60 </w:t>
            </w:r>
            <w:r>
              <w:rPr>
                <w:rFonts w:hint="eastAsia" w:ascii="宋体" w:hAnsi="宋体" w:eastAsia="宋体" w:cs="Times New Roman"/>
                <w:b/>
                <w:color w:val="FFFFFF"/>
                <w:kern w:val="2"/>
                <w:sz w:val="24"/>
                <w:szCs w:val="32"/>
                <w:lang w:val="en-US" w:eastAsia="zh-CN" w:bidi="ar-SA"/>
              </w:rPr>
              <w:t>天</w:t>
            </w:r>
          </w:p>
        </w:tc>
        <w:tc>
          <w:tcPr>
            <w:tcW w:w="1550" w:type="dxa"/>
            <w:tcBorders>
              <w:tl2br w:val="nil"/>
              <w:tr2bl w:val="nil"/>
            </w:tcBorders>
            <w:shd w:val="clear" w:color="auto" w:fill="A5644E"/>
            <w:vAlign w:val="center"/>
          </w:tcPr>
          <w:p w14:paraId="7B6E0C2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-40~-60</w:t>
            </w:r>
          </w:p>
        </w:tc>
        <w:tc>
          <w:tcPr>
            <w:tcW w:w="1579" w:type="dxa"/>
            <w:tcBorders>
              <w:tl2br w:val="nil"/>
              <w:tr2bl w:val="nil"/>
            </w:tcBorders>
            <w:shd w:val="clear" w:color="auto" w:fill="A5644E"/>
            <w:vAlign w:val="center"/>
          </w:tcPr>
          <w:p w14:paraId="7152246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-60~-75</w:t>
            </w:r>
          </w:p>
        </w:tc>
        <w:tc>
          <w:tcPr>
            <w:tcW w:w="1352" w:type="dxa"/>
            <w:gridSpan w:val="2"/>
            <w:tcBorders>
              <w:tl2br w:val="nil"/>
              <w:tr2bl w:val="nil"/>
            </w:tcBorders>
            <w:shd w:val="clear" w:color="auto" w:fill="A5644E"/>
            <w:vAlign w:val="center"/>
          </w:tcPr>
          <w:p w14:paraId="70CFE5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-75~-90</w:t>
            </w:r>
          </w:p>
        </w:tc>
        <w:tc>
          <w:tcPr>
            <w:tcW w:w="1305" w:type="dxa"/>
            <w:tcBorders>
              <w:tl2br w:val="nil"/>
              <w:tr2bl w:val="nil"/>
            </w:tcBorders>
            <w:shd w:val="clear" w:color="auto" w:fill="A5644E"/>
            <w:vAlign w:val="center"/>
          </w:tcPr>
          <w:p w14:paraId="6402878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-90</w:t>
            </w:r>
          </w:p>
        </w:tc>
      </w:tr>
      <w:tr w14:paraId="3D4A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jc w:val="center"/>
        </w:trPr>
        <w:tc>
          <w:tcPr>
            <w:tcW w:w="946" w:type="dxa"/>
            <w:vMerge w:val="continue"/>
            <w:tcBorders>
              <w:tl2br w:val="nil"/>
              <w:tr2bl w:val="nil"/>
            </w:tcBorders>
            <w:shd w:val="clear" w:color="auto" w:fill="A5644E"/>
            <w:vAlign w:val="center"/>
          </w:tcPr>
          <w:p w14:paraId="75D9E7CE">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1830" w:type="dxa"/>
            <w:vMerge w:val="continue"/>
            <w:tcBorders>
              <w:tl2br w:val="nil"/>
              <w:tr2bl w:val="nil"/>
            </w:tcBorders>
            <w:shd w:val="clear" w:color="auto" w:fill="A5644E"/>
            <w:vAlign w:val="center"/>
          </w:tcPr>
          <w:p w14:paraId="0C6F9E90">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1234" w:type="dxa"/>
            <w:tcBorders>
              <w:tl2br w:val="nil"/>
              <w:tr2bl w:val="nil"/>
            </w:tcBorders>
            <w:shd w:val="clear" w:color="auto" w:fill="A5644E"/>
            <w:vAlign w:val="center"/>
          </w:tcPr>
          <w:p w14:paraId="1F4AEE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 xml:space="preserve">90 </w:t>
            </w:r>
            <w:r>
              <w:rPr>
                <w:rFonts w:hint="eastAsia" w:ascii="宋体" w:hAnsi="宋体" w:eastAsia="宋体" w:cs="Times New Roman"/>
                <w:b/>
                <w:color w:val="FFFFFF"/>
                <w:kern w:val="2"/>
                <w:sz w:val="24"/>
                <w:szCs w:val="32"/>
                <w:lang w:val="en-US" w:eastAsia="zh-CN" w:bidi="ar-SA"/>
              </w:rPr>
              <w:t>天</w:t>
            </w:r>
          </w:p>
        </w:tc>
        <w:tc>
          <w:tcPr>
            <w:tcW w:w="1550" w:type="dxa"/>
            <w:tcBorders>
              <w:tl2br w:val="nil"/>
              <w:tr2bl w:val="nil"/>
            </w:tcBorders>
            <w:shd w:val="clear" w:color="auto" w:fill="A5644E"/>
            <w:vAlign w:val="center"/>
          </w:tcPr>
          <w:p w14:paraId="17DB594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-20~-30</w:t>
            </w:r>
          </w:p>
        </w:tc>
        <w:tc>
          <w:tcPr>
            <w:tcW w:w="1579" w:type="dxa"/>
            <w:tcBorders>
              <w:tl2br w:val="nil"/>
              <w:tr2bl w:val="nil"/>
            </w:tcBorders>
            <w:shd w:val="clear" w:color="auto" w:fill="A5644E"/>
            <w:vAlign w:val="center"/>
          </w:tcPr>
          <w:p w14:paraId="553C50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-30~-50</w:t>
            </w:r>
          </w:p>
        </w:tc>
        <w:tc>
          <w:tcPr>
            <w:tcW w:w="1352" w:type="dxa"/>
            <w:gridSpan w:val="2"/>
            <w:tcBorders>
              <w:tl2br w:val="nil"/>
              <w:tr2bl w:val="nil"/>
            </w:tcBorders>
            <w:shd w:val="clear" w:color="auto" w:fill="A5644E"/>
            <w:vAlign w:val="center"/>
          </w:tcPr>
          <w:p w14:paraId="31A4A0D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-50~-80</w:t>
            </w:r>
          </w:p>
        </w:tc>
        <w:tc>
          <w:tcPr>
            <w:tcW w:w="1305" w:type="dxa"/>
            <w:tcBorders>
              <w:tl2br w:val="nil"/>
              <w:tr2bl w:val="nil"/>
            </w:tcBorders>
            <w:shd w:val="clear" w:color="auto" w:fill="A5644E"/>
            <w:vAlign w:val="center"/>
          </w:tcPr>
          <w:p w14:paraId="73CFC6C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-80</w:t>
            </w:r>
          </w:p>
        </w:tc>
      </w:tr>
      <w:tr w14:paraId="7969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exact"/>
          <w:jc w:val="center"/>
        </w:trPr>
        <w:tc>
          <w:tcPr>
            <w:tcW w:w="946" w:type="dxa"/>
            <w:vMerge w:val="continue"/>
            <w:tcBorders>
              <w:tl2br w:val="nil"/>
              <w:tr2bl w:val="nil"/>
            </w:tcBorders>
            <w:shd w:val="clear" w:color="auto" w:fill="A5644E"/>
            <w:vAlign w:val="center"/>
          </w:tcPr>
          <w:p w14:paraId="7A1978EB">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3064" w:type="dxa"/>
            <w:gridSpan w:val="2"/>
            <w:tcBorders>
              <w:tl2br w:val="nil"/>
              <w:tr2bl w:val="nil"/>
            </w:tcBorders>
            <w:shd w:val="clear" w:color="auto" w:fill="A5644E"/>
            <w:vAlign w:val="center"/>
          </w:tcPr>
          <w:p w14:paraId="19A466D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农作物受旱面积比例（</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550" w:type="dxa"/>
            <w:tcBorders>
              <w:tl2br w:val="nil"/>
              <w:tr2bl w:val="nil"/>
            </w:tcBorders>
            <w:shd w:val="clear" w:color="auto" w:fill="A5644E"/>
            <w:vAlign w:val="center"/>
          </w:tcPr>
          <w:p w14:paraId="772EE06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15~30</w:t>
            </w:r>
          </w:p>
        </w:tc>
        <w:tc>
          <w:tcPr>
            <w:tcW w:w="1579" w:type="dxa"/>
            <w:tcBorders>
              <w:tl2br w:val="nil"/>
              <w:tr2bl w:val="nil"/>
            </w:tcBorders>
            <w:shd w:val="clear" w:color="auto" w:fill="A5644E"/>
            <w:vAlign w:val="center"/>
          </w:tcPr>
          <w:p w14:paraId="6856408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30~45</w:t>
            </w:r>
          </w:p>
        </w:tc>
        <w:tc>
          <w:tcPr>
            <w:tcW w:w="1352" w:type="dxa"/>
            <w:gridSpan w:val="2"/>
            <w:tcBorders>
              <w:tl2br w:val="nil"/>
              <w:tr2bl w:val="nil"/>
            </w:tcBorders>
            <w:shd w:val="clear" w:color="auto" w:fill="A5644E"/>
            <w:vAlign w:val="center"/>
          </w:tcPr>
          <w:p w14:paraId="00A766D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45~60</w:t>
            </w:r>
          </w:p>
        </w:tc>
        <w:tc>
          <w:tcPr>
            <w:tcW w:w="1305" w:type="dxa"/>
            <w:tcBorders>
              <w:tl2br w:val="nil"/>
              <w:tr2bl w:val="nil"/>
            </w:tcBorders>
            <w:shd w:val="clear" w:color="auto" w:fill="A5644E"/>
            <w:vAlign w:val="center"/>
          </w:tcPr>
          <w:p w14:paraId="14A85E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60</w:t>
            </w:r>
          </w:p>
        </w:tc>
      </w:tr>
      <w:tr w14:paraId="0A8A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jc w:val="center"/>
        </w:trPr>
        <w:tc>
          <w:tcPr>
            <w:tcW w:w="946" w:type="dxa"/>
            <w:vMerge w:val="restart"/>
            <w:tcBorders>
              <w:tl2br w:val="nil"/>
              <w:tr2bl w:val="nil"/>
            </w:tcBorders>
            <w:shd w:val="clear" w:color="auto" w:fill="A5644E"/>
            <w:vAlign w:val="center"/>
          </w:tcPr>
          <w:p w14:paraId="456F270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Microsoft JhengHei" w:hAnsi="Microsoft JhengHei" w:eastAsia="Microsoft JhengHei" w:cs="Times New Roman"/>
                <w:b/>
                <w:color w:val="FFFFFF"/>
                <w:kern w:val="2"/>
                <w:sz w:val="24"/>
                <w:szCs w:val="32"/>
                <w:lang w:val="en-US" w:eastAsia="zh-CN" w:bidi="ar-SA"/>
              </w:rPr>
              <w:t>参考 指标</w:t>
            </w:r>
          </w:p>
        </w:tc>
        <w:tc>
          <w:tcPr>
            <w:tcW w:w="3064" w:type="dxa"/>
            <w:gridSpan w:val="2"/>
            <w:tcBorders>
              <w:tl2br w:val="nil"/>
              <w:tr2bl w:val="nil"/>
            </w:tcBorders>
            <w:shd w:val="clear" w:color="auto" w:fill="A5644E"/>
            <w:vAlign w:val="center"/>
          </w:tcPr>
          <w:p w14:paraId="708DC81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土壤相对湿度（</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550" w:type="dxa"/>
            <w:tcBorders>
              <w:tl2br w:val="nil"/>
              <w:tr2bl w:val="nil"/>
            </w:tcBorders>
            <w:shd w:val="clear" w:color="auto" w:fill="A5644E"/>
            <w:vAlign w:val="center"/>
          </w:tcPr>
          <w:p w14:paraId="76D27F9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60~50</w:t>
            </w:r>
          </w:p>
        </w:tc>
        <w:tc>
          <w:tcPr>
            <w:tcW w:w="1579" w:type="dxa"/>
            <w:tcBorders>
              <w:tl2br w:val="nil"/>
              <w:tr2bl w:val="nil"/>
            </w:tcBorders>
            <w:shd w:val="clear" w:color="auto" w:fill="A5644E"/>
            <w:vAlign w:val="center"/>
          </w:tcPr>
          <w:p w14:paraId="14267BF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50~40</w:t>
            </w:r>
          </w:p>
        </w:tc>
        <w:tc>
          <w:tcPr>
            <w:tcW w:w="1352" w:type="dxa"/>
            <w:gridSpan w:val="2"/>
            <w:tcBorders>
              <w:tl2br w:val="nil"/>
              <w:tr2bl w:val="nil"/>
            </w:tcBorders>
            <w:shd w:val="clear" w:color="auto" w:fill="A5644E"/>
            <w:vAlign w:val="center"/>
          </w:tcPr>
          <w:p w14:paraId="7DDFAC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40~30</w:t>
            </w:r>
          </w:p>
        </w:tc>
        <w:tc>
          <w:tcPr>
            <w:tcW w:w="1305" w:type="dxa"/>
            <w:tcBorders>
              <w:tl2br w:val="nil"/>
              <w:tr2bl w:val="nil"/>
            </w:tcBorders>
            <w:shd w:val="clear" w:color="auto" w:fill="A5644E"/>
            <w:vAlign w:val="center"/>
          </w:tcPr>
          <w:p w14:paraId="6388DDB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30</w:t>
            </w:r>
          </w:p>
        </w:tc>
      </w:tr>
      <w:tr w14:paraId="5CF4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946" w:type="dxa"/>
            <w:vMerge w:val="continue"/>
            <w:tcBorders>
              <w:tl2br w:val="nil"/>
              <w:tr2bl w:val="nil"/>
            </w:tcBorders>
            <w:shd w:val="clear" w:color="auto" w:fill="A5644E"/>
            <w:vAlign w:val="center"/>
          </w:tcPr>
          <w:p w14:paraId="083F983A">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sz w:val="24"/>
                <w:szCs w:val="32"/>
              </w:rPr>
            </w:pPr>
          </w:p>
        </w:tc>
        <w:tc>
          <w:tcPr>
            <w:tcW w:w="3064" w:type="dxa"/>
            <w:gridSpan w:val="2"/>
            <w:tcBorders>
              <w:tl2br w:val="nil"/>
              <w:tr2bl w:val="nil"/>
            </w:tcBorders>
            <w:shd w:val="clear" w:color="auto" w:fill="A5644E"/>
            <w:vAlign w:val="center"/>
          </w:tcPr>
          <w:p w14:paraId="6B491D7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人畜饮水临时困难率（</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550" w:type="dxa"/>
            <w:tcBorders>
              <w:tl2br w:val="nil"/>
              <w:tr2bl w:val="nil"/>
            </w:tcBorders>
            <w:shd w:val="clear" w:color="auto" w:fill="A5644E"/>
            <w:vAlign w:val="center"/>
          </w:tcPr>
          <w:p w14:paraId="0E29F24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0.5~1.5</w:t>
            </w:r>
          </w:p>
        </w:tc>
        <w:tc>
          <w:tcPr>
            <w:tcW w:w="1579" w:type="dxa"/>
            <w:tcBorders>
              <w:tl2br w:val="nil"/>
              <w:tr2bl w:val="nil"/>
            </w:tcBorders>
            <w:shd w:val="clear" w:color="auto" w:fill="A5644E"/>
            <w:vAlign w:val="center"/>
          </w:tcPr>
          <w:p w14:paraId="6EE8E13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1.5~2.5</w:t>
            </w:r>
          </w:p>
        </w:tc>
        <w:tc>
          <w:tcPr>
            <w:tcW w:w="1352" w:type="dxa"/>
            <w:gridSpan w:val="2"/>
            <w:tcBorders>
              <w:tl2br w:val="nil"/>
              <w:tr2bl w:val="nil"/>
            </w:tcBorders>
            <w:shd w:val="clear" w:color="auto" w:fill="A5644E"/>
            <w:vAlign w:val="center"/>
          </w:tcPr>
          <w:p w14:paraId="70FF51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2.5~4.0</w:t>
            </w:r>
          </w:p>
        </w:tc>
        <w:tc>
          <w:tcPr>
            <w:tcW w:w="1305" w:type="dxa"/>
            <w:tcBorders>
              <w:tl2br w:val="nil"/>
              <w:tr2bl w:val="nil"/>
            </w:tcBorders>
            <w:shd w:val="clear" w:color="auto" w:fill="A5644E"/>
            <w:vAlign w:val="center"/>
          </w:tcPr>
          <w:p w14:paraId="3B406DB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4.0</w:t>
            </w:r>
          </w:p>
        </w:tc>
      </w:tr>
      <w:tr w14:paraId="260D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exact"/>
          <w:jc w:val="center"/>
        </w:trPr>
        <w:tc>
          <w:tcPr>
            <w:tcW w:w="946" w:type="dxa"/>
            <w:vMerge w:val="restart"/>
            <w:tcBorders>
              <w:tl2br w:val="nil"/>
              <w:tr2bl w:val="nil"/>
            </w:tcBorders>
            <w:shd w:val="clear" w:color="auto" w:fill="A5644E"/>
            <w:vAlign w:val="center"/>
          </w:tcPr>
          <w:p w14:paraId="592FEF0C">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default" w:ascii="Times New Roman" w:hAnsi="Times New Roman" w:eastAsia="仿宋_GB2312" w:cs="Times New Roman"/>
                <w:color w:val="FFFFFF"/>
                <w:sz w:val="24"/>
                <w:szCs w:val="32"/>
              </w:rPr>
            </w:pPr>
          </w:p>
        </w:tc>
        <w:tc>
          <w:tcPr>
            <w:tcW w:w="3064" w:type="dxa"/>
            <w:gridSpan w:val="2"/>
            <w:tcBorders>
              <w:tl2br w:val="nil"/>
              <w:tr2bl w:val="nil"/>
            </w:tcBorders>
            <w:shd w:val="clear" w:color="auto" w:fill="A5644E"/>
            <w:vAlign w:val="center"/>
          </w:tcPr>
          <w:p w14:paraId="748D29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河流来水量距平率（</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550" w:type="dxa"/>
            <w:tcBorders>
              <w:tl2br w:val="nil"/>
              <w:tr2bl w:val="nil"/>
            </w:tcBorders>
            <w:shd w:val="clear" w:color="auto" w:fill="A5644E"/>
            <w:vAlign w:val="center"/>
          </w:tcPr>
          <w:p w14:paraId="6DE4DA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-10~-30</w:t>
            </w:r>
          </w:p>
        </w:tc>
        <w:tc>
          <w:tcPr>
            <w:tcW w:w="1594" w:type="dxa"/>
            <w:gridSpan w:val="2"/>
            <w:tcBorders>
              <w:tl2br w:val="nil"/>
              <w:tr2bl w:val="nil"/>
            </w:tcBorders>
            <w:shd w:val="clear" w:color="auto" w:fill="A5644E"/>
            <w:vAlign w:val="center"/>
          </w:tcPr>
          <w:p w14:paraId="3DE8432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-30~-50</w:t>
            </w:r>
          </w:p>
        </w:tc>
        <w:tc>
          <w:tcPr>
            <w:tcW w:w="1337" w:type="dxa"/>
            <w:tcBorders>
              <w:tl2br w:val="nil"/>
              <w:tr2bl w:val="nil"/>
            </w:tcBorders>
            <w:shd w:val="clear" w:color="auto" w:fill="A5644E"/>
            <w:vAlign w:val="center"/>
          </w:tcPr>
          <w:p w14:paraId="3647B1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1"/>
                <w:szCs w:val="32"/>
                <w:lang w:val="en-US" w:eastAsia="zh-CN" w:bidi="ar-SA"/>
              </w:rPr>
              <w:t>-50~-80</w:t>
            </w:r>
          </w:p>
        </w:tc>
        <w:tc>
          <w:tcPr>
            <w:tcW w:w="1305" w:type="dxa"/>
            <w:tcBorders>
              <w:tl2br w:val="nil"/>
              <w:tr2bl w:val="nil"/>
            </w:tcBorders>
            <w:shd w:val="clear" w:color="auto" w:fill="A5644E"/>
            <w:vAlign w:val="center"/>
          </w:tcPr>
          <w:p w14:paraId="3360E50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-80</w:t>
            </w:r>
          </w:p>
        </w:tc>
      </w:tr>
      <w:tr w14:paraId="5491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exact"/>
          <w:jc w:val="center"/>
        </w:trPr>
        <w:tc>
          <w:tcPr>
            <w:tcW w:w="946" w:type="dxa"/>
            <w:vMerge w:val="continue"/>
            <w:tcBorders>
              <w:tl2br w:val="nil"/>
              <w:tr2bl w:val="nil"/>
            </w:tcBorders>
            <w:shd w:val="clear" w:color="auto" w:fill="A5644E"/>
            <w:vAlign w:val="center"/>
          </w:tcPr>
          <w:p w14:paraId="6EEE813E">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default" w:ascii="Times New Roman" w:hAnsi="Times New Roman" w:eastAsia="仿宋_GB2312" w:cs="Times New Roman"/>
                <w:color w:val="FFFFFF"/>
                <w:sz w:val="24"/>
                <w:szCs w:val="32"/>
              </w:rPr>
            </w:pPr>
          </w:p>
        </w:tc>
        <w:tc>
          <w:tcPr>
            <w:tcW w:w="3064" w:type="dxa"/>
            <w:gridSpan w:val="2"/>
            <w:tcBorders>
              <w:tl2br w:val="nil"/>
              <w:tr2bl w:val="nil"/>
            </w:tcBorders>
            <w:shd w:val="clear" w:color="auto" w:fill="A5644E"/>
            <w:vAlign w:val="center"/>
          </w:tcPr>
          <w:p w14:paraId="1552E29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color w:val="FFFFFF"/>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水库蓄水量距平率（</w:t>
            </w:r>
            <w:r>
              <w:rPr>
                <w:rFonts w:hint="default" w:ascii="Calibri" w:hAnsi="Calibri" w:eastAsia="Calibri" w:cs="Times New Roman"/>
                <w:color w:val="FFFFFF"/>
                <w:kern w:val="2"/>
                <w:sz w:val="24"/>
                <w:szCs w:val="32"/>
                <w:lang w:val="en-US" w:eastAsia="zh-CN" w:bidi="ar-SA"/>
              </w:rPr>
              <w:t>%</w:t>
            </w:r>
            <w:r>
              <w:rPr>
                <w:rFonts w:hint="eastAsia" w:ascii="宋体" w:hAnsi="宋体" w:eastAsia="宋体" w:cs="Times New Roman"/>
                <w:b/>
                <w:color w:val="FFFFFF"/>
                <w:kern w:val="2"/>
                <w:sz w:val="24"/>
                <w:szCs w:val="32"/>
                <w:lang w:val="en-US" w:eastAsia="zh-CN" w:bidi="ar-SA"/>
              </w:rPr>
              <w:t>）</w:t>
            </w:r>
          </w:p>
        </w:tc>
        <w:tc>
          <w:tcPr>
            <w:tcW w:w="1550" w:type="dxa"/>
            <w:tcBorders>
              <w:tl2br w:val="nil"/>
              <w:tr2bl w:val="nil"/>
            </w:tcBorders>
            <w:shd w:val="clear" w:color="auto" w:fill="A5644E"/>
            <w:vAlign w:val="center"/>
          </w:tcPr>
          <w:p w14:paraId="4AD658A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-10~-30</w:t>
            </w:r>
          </w:p>
        </w:tc>
        <w:tc>
          <w:tcPr>
            <w:tcW w:w="1594" w:type="dxa"/>
            <w:gridSpan w:val="2"/>
            <w:tcBorders>
              <w:tl2br w:val="nil"/>
              <w:tr2bl w:val="nil"/>
            </w:tcBorders>
            <w:shd w:val="clear" w:color="auto" w:fill="A5644E"/>
            <w:vAlign w:val="center"/>
          </w:tcPr>
          <w:p w14:paraId="614DB0F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4"/>
                <w:szCs w:val="32"/>
                <w:lang w:val="en-US" w:eastAsia="zh-CN" w:bidi="ar-SA"/>
              </w:rPr>
              <w:t>-30~-50</w:t>
            </w:r>
          </w:p>
        </w:tc>
        <w:tc>
          <w:tcPr>
            <w:tcW w:w="1337" w:type="dxa"/>
            <w:tcBorders>
              <w:tl2br w:val="nil"/>
              <w:tr2bl w:val="nil"/>
            </w:tcBorders>
            <w:shd w:val="clear" w:color="auto" w:fill="A5644E"/>
            <w:vAlign w:val="center"/>
          </w:tcPr>
          <w:p w14:paraId="5B0C2CF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Calibri" w:hAnsi="Calibri" w:eastAsia="Calibri" w:cs="Times New Roman"/>
                <w:color w:val="FFFFFF"/>
                <w:kern w:val="2"/>
                <w:sz w:val="21"/>
                <w:szCs w:val="32"/>
                <w:lang w:val="en-US" w:eastAsia="zh-CN" w:bidi="ar-SA"/>
              </w:rPr>
              <w:t>-50~-80</w:t>
            </w:r>
          </w:p>
        </w:tc>
        <w:tc>
          <w:tcPr>
            <w:tcW w:w="1305" w:type="dxa"/>
            <w:tcBorders>
              <w:tl2br w:val="nil"/>
              <w:tr2bl w:val="nil"/>
            </w:tcBorders>
            <w:shd w:val="clear" w:color="auto" w:fill="A5644E"/>
            <w:vAlign w:val="center"/>
          </w:tcPr>
          <w:p w14:paraId="7BBC22C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FFFFFF"/>
                <w:kern w:val="2"/>
                <w:sz w:val="24"/>
                <w:szCs w:val="32"/>
                <w:lang w:val="en-US" w:eastAsia="zh-CN" w:bidi="ar-SA"/>
              </w:rPr>
            </w:pPr>
            <w:r>
              <w:rPr>
                <w:rFonts w:hint="default" w:ascii="Microsoft Sans Serif" w:hAnsi="Microsoft Sans Serif" w:eastAsia="Microsoft Sans Serif" w:cs="Times New Roman"/>
                <w:color w:val="FFFFFF"/>
                <w:kern w:val="2"/>
                <w:sz w:val="24"/>
                <w:szCs w:val="32"/>
                <w:lang w:val="en-US" w:eastAsia="zh-CN" w:bidi="ar-SA"/>
              </w:rPr>
              <w:t>≤</w:t>
            </w:r>
            <w:r>
              <w:rPr>
                <w:rFonts w:hint="default" w:ascii="Calibri" w:hAnsi="Calibri" w:eastAsia="Calibri" w:cs="Times New Roman"/>
                <w:color w:val="FFFFFF"/>
                <w:kern w:val="2"/>
                <w:sz w:val="24"/>
                <w:szCs w:val="32"/>
                <w:lang w:val="en-US" w:eastAsia="zh-CN" w:bidi="ar-SA"/>
              </w:rPr>
              <w:t>-80</w:t>
            </w:r>
          </w:p>
        </w:tc>
      </w:tr>
    </w:tbl>
    <w:p w14:paraId="2B85CADF">
      <w:pPr>
        <w:keepNext w:val="0"/>
        <w:keepLines w:val="0"/>
        <w:pageBreakBefore w:val="0"/>
        <w:widowControl w:val="0"/>
        <w:kinsoku w:val="0"/>
        <w:wordWrap/>
        <w:overflowPunct w:val="0"/>
        <w:topLinePunct w:val="0"/>
        <w:autoSpaceDE/>
        <w:autoSpaceDN/>
        <w:bidi w:val="0"/>
        <w:adjustRightInd/>
        <w:snapToGrid/>
        <w:spacing w:before="0" w:line="560" w:lineRule="exact"/>
        <w:ind w:left="0" w:firstLine="720" w:firstLineChars="300"/>
        <w:jc w:val="both"/>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〔注：①源自《海南省防汛防风抗旱应急预案》（琼府办[2019]19号；）</w:t>
      </w:r>
    </w:p>
    <w:p w14:paraId="13059FDC">
      <w:pPr>
        <w:keepNext w:val="0"/>
        <w:keepLines w:val="0"/>
        <w:pageBreakBefore w:val="0"/>
        <w:widowControl w:val="0"/>
        <w:kinsoku w:val="0"/>
        <w:wordWrap/>
        <w:overflowPunct w:val="0"/>
        <w:topLinePunct w:val="0"/>
        <w:autoSpaceDE/>
        <w:autoSpaceDN/>
        <w:bidi w:val="0"/>
        <w:adjustRightInd/>
        <w:snapToGrid/>
        <w:spacing w:before="0" w:line="560" w:lineRule="exact"/>
        <w:ind w:left="0" w:firstLine="240" w:firstLineChars="100"/>
        <w:jc w:val="both"/>
        <w:textAlignment w:val="auto"/>
        <w:outlineLvl w:val="9"/>
        <w:rPr>
          <w:rFonts w:hint="eastAsia" w:ascii="仿宋_GB2312" w:hAnsi="仿宋_GB2312" w:eastAsia="仿宋_GB2312" w:cs="Times New Roman"/>
          <w:b/>
          <w:kern w:val="2"/>
          <w:sz w:val="32"/>
          <w:szCs w:val="32"/>
          <w:lang w:val="en-US" w:eastAsia="zh-CN" w:bidi="ar-SA"/>
        </w:rPr>
      </w:pPr>
      <w:r>
        <w:rPr>
          <w:rFonts w:hint="eastAsia" w:ascii="宋体" w:hAnsi="宋体" w:eastAsia="宋体" w:cs="Times New Roman"/>
          <w:kern w:val="2"/>
          <w:sz w:val="24"/>
          <w:szCs w:val="32"/>
          <w:lang w:val="en-US" w:eastAsia="zh-CN" w:bidi="ar-SA"/>
        </w:rPr>
        <w:t>②“农作物受旱面积比例”指标应以国家相关指标为准。〕</w:t>
      </w:r>
      <w:bookmarkStart w:id="183" w:name="_Toc2652_WPSOffice_Level2"/>
    </w:p>
    <w:p w14:paraId="6D8F09E4">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32"/>
          <w:szCs w:val="32"/>
          <w:lang w:val="en-US" w:eastAsia="zh-CN" w:bidi="ar-SA"/>
        </w:rPr>
      </w:pPr>
      <w:r>
        <w:rPr>
          <w:rFonts w:hint="eastAsia" w:ascii="仿宋_GB2312" w:hAnsi="仿宋_GB2312" w:eastAsia="仿宋_GB2312" w:cs="Times New Roman"/>
          <w:b/>
          <w:kern w:val="2"/>
          <w:sz w:val="32"/>
          <w:szCs w:val="32"/>
          <w:lang w:val="en-US" w:eastAsia="zh-CN" w:bidi="ar-SA"/>
        </w:rPr>
        <w:t>（五）森林火灾</w:t>
      </w:r>
      <w:bookmarkEnd w:id="183"/>
    </w:p>
    <w:tbl>
      <w:tblPr>
        <w:tblStyle w:val="16"/>
        <w:tblW w:w="94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5"/>
        <w:gridCol w:w="1809"/>
        <w:gridCol w:w="2415"/>
        <w:gridCol w:w="3147"/>
      </w:tblGrid>
      <w:tr w14:paraId="4A2E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trPr>
        <w:tc>
          <w:tcPr>
            <w:tcW w:w="2035" w:type="dxa"/>
            <w:vMerge w:val="restart"/>
            <w:tcBorders>
              <w:tl2br w:val="nil"/>
              <w:tr2bl w:val="nil"/>
            </w:tcBorders>
            <w:shd w:val="clear" w:color="auto" w:fill="AFBFCF"/>
            <w:vAlign w:val="center"/>
          </w:tcPr>
          <w:p w14:paraId="26D43CA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黑体" w:hAnsi="黑体" w:eastAsia="黑体" w:cs="Times New Roman"/>
                <w:b/>
                <w:color w:val="0070C0"/>
                <w:kern w:val="2"/>
                <w:sz w:val="28"/>
                <w:szCs w:val="32"/>
                <w:lang w:val="en-US" w:eastAsia="zh-CN" w:bidi="ar-SA"/>
              </w:rPr>
              <w:t>森林火灾</w:t>
            </w:r>
          </w:p>
        </w:tc>
        <w:tc>
          <w:tcPr>
            <w:tcW w:w="7371" w:type="dxa"/>
            <w:gridSpan w:val="3"/>
            <w:tcBorders>
              <w:tl2br w:val="nil"/>
              <w:tr2bl w:val="nil"/>
            </w:tcBorders>
            <w:shd w:val="clear" w:color="auto" w:fill="AFBFCF"/>
            <w:vAlign w:val="center"/>
          </w:tcPr>
          <w:p w14:paraId="231D533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黑体" w:hAnsi="黑体" w:eastAsia="黑体" w:cs="Times New Roman"/>
                <w:color w:val="002060"/>
                <w:kern w:val="2"/>
                <w:sz w:val="24"/>
                <w:szCs w:val="32"/>
                <w:lang w:val="en-US" w:eastAsia="zh-CN" w:bidi="ar-SA"/>
              </w:rPr>
              <w:t>分级标准</w:t>
            </w:r>
          </w:p>
        </w:tc>
      </w:tr>
      <w:tr w14:paraId="01E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trPr>
        <w:tc>
          <w:tcPr>
            <w:tcW w:w="2035" w:type="dxa"/>
            <w:vMerge w:val="continue"/>
            <w:tcBorders>
              <w:tl2br w:val="nil"/>
              <w:tr2bl w:val="nil"/>
            </w:tcBorders>
            <w:shd w:val="clear" w:color="auto" w:fill="AFBFCF"/>
            <w:vAlign w:val="center"/>
          </w:tcPr>
          <w:p w14:paraId="6C8A79F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p>
        </w:tc>
        <w:tc>
          <w:tcPr>
            <w:tcW w:w="1809" w:type="dxa"/>
            <w:tcBorders>
              <w:tl2br w:val="nil"/>
              <w:tr2bl w:val="nil"/>
            </w:tcBorders>
            <w:shd w:val="clear" w:color="auto" w:fill="AFBFCF"/>
            <w:vAlign w:val="center"/>
          </w:tcPr>
          <w:p w14:paraId="5E6A53B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人员死亡</w:t>
            </w:r>
          </w:p>
        </w:tc>
        <w:tc>
          <w:tcPr>
            <w:tcW w:w="2415" w:type="dxa"/>
            <w:tcBorders>
              <w:tl2br w:val="nil"/>
              <w:tr2bl w:val="nil"/>
            </w:tcBorders>
            <w:shd w:val="clear" w:color="auto" w:fill="AFBFCF"/>
            <w:vAlign w:val="center"/>
          </w:tcPr>
          <w:p w14:paraId="584B6A2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重伤人数</w:t>
            </w:r>
          </w:p>
        </w:tc>
        <w:tc>
          <w:tcPr>
            <w:tcW w:w="3147" w:type="dxa"/>
            <w:tcBorders>
              <w:tl2br w:val="nil"/>
              <w:tr2bl w:val="nil"/>
            </w:tcBorders>
            <w:shd w:val="clear" w:color="auto" w:fill="AFBFCF"/>
            <w:vAlign w:val="center"/>
          </w:tcPr>
          <w:p w14:paraId="2A4D5BA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_GB2312" w:hAnsi="仿宋_GB2312" w:eastAsia="仿宋_GB2312" w:cs="Times New Roman"/>
                <w:color w:val="000000"/>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受害森林面积</w:t>
            </w:r>
          </w:p>
          <w:p w14:paraId="1BBEEA6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（公顷）</w:t>
            </w:r>
          </w:p>
        </w:tc>
      </w:tr>
      <w:tr w14:paraId="5AB0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trPr>
        <w:tc>
          <w:tcPr>
            <w:tcW w:w="2035" w:type="dxa"/>
            <w:tcBorders>
              <w:tl2br w:val="nil"/>
              <w:tr2bl w:val="nil"/>
            </w:tcBorders>
            <w:shd w:val="clear" w:color="auto" w:fill="AFBFCF"/>
            <w:vAlign w:val="center"/>
          </w:tcPr>
          <w:p w14:paraId="3E07611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特别重大</w:t>
            </w:r>
          </w:p>
        </w:tc>
        <w:tc>
          <w:tcPr>
            <w:tcW w:w="1809" w:type="dxa"/>
            <w:tcBorders>
              <w:tl2br w:val="nil"/>
              <w:tr2bl w:val="nil"/>
            </w:tcBorders>
            <w:shd w:val="clear" w:color="auto" w:fill="AFBFCF"/>
            <w:vAlign w:val="center"/>
          </w:tcPr>
          <w:p w14:paraId="6F0278B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30人以上</w:t>
            </w:r>
          </w:p>
        </w:tc>
        <w:tc>
          <w:tcPr>
            <w:tcW w:w="2415" w:type="dxa"/>
            <w:tcBorders>
              <w:tl2br w:val="nil"/>
              <w:tr2bl w:val="nil"/>
            </w:tcBorders>
            <w:shd w:val="clear" w:color="auto" w:fill="AFBFCF"/>
            <w:vAlign w:val="center"/>
          </w:tcPr>
          <w:p w14:paraId="3444B40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100人以上</w:t>
            </w:r>
          </w:p>
        </w:tc>
        <w:tc>
          <w:tcPr>
            <w:tcW w:w="3147" w:type="dxa"/>
            <w:tcBorders>
              <w:tl2br w:val="nil"/>
              <w:tr2bl w:val="nil"/>
            </w:tcBorders>
            <w:shd w:val="clear" w:color="auto" w:fill="AFBFCF"/>
            <w:vAlign w:val="center"/>
          </w:tcPr>
          <w:p w14:paraId="799B8CB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1000公顷以上</w:t>
            </w:r>
          </w:p>
        </w:tc>
      </w:tr>
      <w:tr w14:paraId="4BE0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trPr>
        <w:tc>
          <w:tcPr>
            <w:tcW w:w="2035" w:type="dxa"/>
            <w:tcBorders>
              <w:tl2br w:val="nil"/>
              <w:tr2bl w:val="nil"/>
            </w:tcBorders>
            <w:shd w:val="clear" w:color="auto" w:fill="AFBFCF"/>
            <w:vAlign w:val="center"/>
          </w:tcPr>
          <w:p w14:paraId="0FDFAF70">
            <w:pPr>
              <w:keepNext w:val="0"/>
              <w:keepLines w:val="0"/>
              <w:pageBreakBefore w:val="0"/>
              <w:widowControl w:val="0"/>
              <w:suppressLineNumbers w:val="0"/>
              <w:tabs>
                <w:tab w:val="left" w:pos="1050"/>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重 大</w:t>
            </w:r>
          </w:p>
        </w:tc>
        <w:tc>
          <w:tcPr>
            <w:tcW w:w="1809" w:type="dxa"/>
            <w:tcBorders>
              <w:tl2br w:val="nil"/>
              <w:tr2bl w:val="nil"/>
            </w:tcBorders>
            <w:shd w:val="clear" w:color="auto" w:fill="AFBFCF"/>
            <w:vAlign w:val="center"/>
          </w:tcPr>
          <w:p w14:paraId="5DDFDB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10—29(人)</w:t>
            </w:r>
          </w:p>
        </w:tc>
        <w:tc>
          <w:tcPr>
            <w:tcW w:w="2415" w:type="dxa"/>
            <w:tcBorders>
              <w:tl2br w:val="nil"/>
              <w:tr2bl w:val="nil"/>
            </w:tcBorders>
            <w:shd w:val="clear" w:color="auto" w:fill="AFBFCF"/>
            <w:vAlign w:val="center"/>
          </w:tcPr>
          <w:p w14:paraId="059C45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50-99(人)</w:t>
            </w:r>
          </w:p>
        </w:tc>
        <w:tc>
          <w:tcPr>
            <w:tcW w:w="3147" w:type="dxa"/>
            <w:tcBorders>
              <w:tl2br w:val="nil"/>
              <w:tr2bl w:val="nil"/>
            </w:tcBorders>
            <w:shd w:val="clear" w:color="auto" w:fill="AFBFCF"/>
            <w:vAlign w:val="center"/>
          </w:tcPr>
          <w:p w14:paraId="4F4A4C0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100-1000(公顷)</w:t>
            </w:r>
          </w:p>
        </w:tc>
      </w:tr>
      <w:tr w14:paraId="1287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2035" w:type="dxa"/>
            <w:tcBorders>
              <w:tl2br w:val="nil"/>
              <w:tr2bl w:val="nil"/>
            </w:tcBorders>
            <w:shd w:val="clear" w:color="auto" w:fill="AFBFCF"/>
            <w:vAlign w:val="center"/>
          </w:tcPr>
          <w:p w14:paraId="00B8463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较 大</w:t>
            </w:r>
          </w:p>
        </w:tc>
        <w:tc>
          <w:tcPr>
            <w:tcW w:w="1809" w:type="dxa"/>
            <w:tcBorders>
              <w:tl2br w:val="nil"/>
              <w:tr2bl w:val="nil"/>
            </w:tcBorders>
            <w:shd w:val="clear" w:color="auto" w:fill="AFBFCF"/>
            <w:vAlign w:val="center"/>
          </w:tcPr>
          <w:p w14:paraId="6AD9C64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3-9(人)</w:t>
            </w:r>
          </w:p>
        </w:tc>
        <w:tc>
          <w:tcPr>
            <w:tcW w:w="2415" w:type="dxa"/>
            <w:tcBorders>
              <w:tl2br w:val="nil"/>
              <w:tr2bl w:val="nil"/>
            </w:tcBorders>
            <w:shd w:val="clear" w:color="auto" w:fill="AFBFCF"/>
            <w:vAlign w:val="center"/>
          </w:tcPr>
          <w:p w14:paraId="072E37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10-49(人)</w:t>
            </w:r>
          </w:p>
        </w:tc>
        <w:tc>
          <w:tcPr>
            <w:tcW w:w="3147" w:type="dxa"/>
            <w:tcBorders>
              <w:tl2br w:val="nil"/>
              <w:tr2bl w:val="nil"/>
            </w:tcBorders>
            <w:shd w:val="clear" w:color="auto" w:fill="AFBFCF"/>
            <w:vAlign w:val="center"/>
          </w:tcPr>
          <w:p w14:paraId="1648DA4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1-100(公顷)</w:t>
            </w:r>
          </w:p>
        </w:tc>
      </w:tr>
      <w:tr w14:paraId="6319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trPr>
        <w:tc>
          <w:tcPr>
            <w:tcW w:w="2035" w:type="dxa"/>
            <w:tcBorders>
              <w:tl2br w:val="nil"/>
              <w:tr2bl w:val="nil"/>
            </w:tcBorders>
            <w:shd w:val="clear" w:color="auto" w:fill="AFBFCF"/>
            <w:vAlign w:val="center"/>
          </w:tcPr>
          <w:p w14:paraId="3278E53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一 般</w:t>
            </w:r>
          </w:p>
        </w:tc>
        <w:tc>
          <w:tcPr>
            <w:tcW w:w="1809" w:type="dxa"/>
            <w:tcBorders>
              <w:tl2br w:val="nil"/>
              <w:tr2bl w:val="nil"/>
            </w:tcBorders>
            <w:shd w:val="clear" w:color="auto" w:fill="AFBFCF"/>
            <w:vAlign w:val="center"/>
          </w:tcPr>
          <w:p w14:paraId="6E4B010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1-2(人)</w:t>
            </w:r>
          </w:p>
        </w:tc>
        <w:tc>
          <w:tcPr>
            <w:tcW w:w="2415" w:type="dxa"/>
            <w:tcBorders>
              <w:tl2br w:val="nil"/>
              <w:tr2bl w:val="nil"/>
            </w:tcBorders>
            <w:shd w:val="clear" w:color="auto" w:fill="AFBFCF"/>
            <w:vAlign w:val="center"/>
          </w:tcPr>
          <w:p w14:paraId="6EE3F1F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1-9(人)</w:t>
            </w:r>
          </w:p>
        </w:tc>
        <w:tc>
          <w:tcPr>
            <w:tcW w:w="3147" w:type="dxa"/>
            <w:tcBorders>
              <w:tl2br w:val="nil"/>
              <w:tr2bl w:val="nil"/>
            </w:tcBorders>
            <w:shd w:val="clear" w:color="auto" w:fill="AFBFCF"/>
            <w:vAlign w:val="center"/>
          </w:tcPr>
          <w:p w14:paraId="6DDC4DC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b/>
                <w:kern w:val="2"/>
                <w:sz w:val="24"/>
                <w:szCs w:val="32"/>
                <w:lang w:val="en-US" w:eastAsia="zh-CN" w:bidi="ar-SA"/>
              </w:rPr>
            </w:pPr>
            <w:r>
              <w:rPr>
                <w:rFonts w:hint="eastAsia" w:ascii="仿宋_GB2312" w:hAnsi="仿宋_GB2312" w:eastAsia="仿宋_GB2312" w:cs="Times New Roman"/>
                <w:b/>
                <w:color w:val="475F77"/>
                <w:kern w:val="2"/>
                <w:sz w:val="24"/>
                <w:szCs w:val="32"/>
                <w:lang w:val="en-US" w:eastAsia="zh-CN" w:bidi="ar-SA"/>
              </w:rPr>
              <w:t>1公顷以下</w:t>
            </w:r>
          </w:p>
        </w:tc>
      </w:tr>
    </w:tbl>
    <w:p w14:paraId="1FE9019F">
      <w:pPr>
        <w:widowControl w:val="0"/>
        <w:kinsoku w:val="0"/>
        <w:overflowPunct w:val="0"/>
        <w:spacing w:before="0" w:line="600" w:lineRule="exact"/>
        <w:ind w:left="0" w:leftChars="0" w:firstLine="480" w:firstLineChars="200"/>
        <w:jc w:val="both"/>
        <w:outlineLvl w:val="9"/>
        <w:rPr>
          <w:rFonts w:hint="eastAsia" w:ascii="仿宋_GB2312" w:hAnsi="仿宋_GB2312" w:eastAsia="仿宋_GB2312" w:cs="Times New Roman"/>
          <w:kern w:val="2"/>
          <w:sz w:val="32"/>
          <w:szCs w:val="32"/>
          <w:lang w:val="en-US" w:eastAsia="zh-CN" w:bidi="ar-SA"/>
        </w:rPr>
      </w:pPr>
      <w:r>
        <w:rPr>
          <w:rFonts w:hint="eastAsia" w:ascii="宋体" w:hAnsi="宋体" w:eastAsia="宋体" w:cs="Times New Roman"/>
          <w:kern w:val="2"/>
          <w:sz w:val="24"/>
          <w:szCs w:val="32"/>
          <w:lang w:val="en-US" w:eastAsia="zh-CN" w:bidi="ar-SA"/>
        </w:rPr>
        <w:t>〔注：依据《海南省森林火灾应急预案》（琼府办[2013]155号）制表。〕</w:t>
      </w:r>
    </w:p>
    <w:p w14:paraId="0C7202BD">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32"/>
          <w:szCs w:val="32"/>
          <w:lang w:val="en-US" w:eastAsia="zh-CN" w:bidi="ar-SA"/>
        </w:rPr>
      </w:pPr>
      <w:bookmarkStart w:id="184" w:name="_Toc30707_WPSOffice_Level2"/>
      <w:r>
        <w:rPr>
          <w:rFonts w:hint="eastAsia" w:ascii="仿宋_GB2312" w:hAnsi="仿宋_GB2312" w:eastAsia="仿宋_GB2312" w:cs="Times New Roman"/>
          <w:b/>
          <w:kern w:val="2"/>
          <w:sz w:val="32"/>
          <w:szCs w:val="32"/>
          <w:lang w:val="en-US" w:eastAsia="zh-CN" w:bidi="ar-SA"/>
        </w:rPr>
        <w:t>（六）气象灾害</w:t>
      </w:r>
      <w:bookmarkEnd w:id="184"/>
    </w:p>
    <w:tbl>
      <w:tblPr>
        <w:tblStyle w:val="16"/>
        <w:tblW w:w="9173" w:type="dxa"/>
        <w:tblInd w:w="1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11"/>
        <w:gridCol w:w="3861"/>
        <w:gridCol w:w="3201"/>
      </w:tblGrid>
      <w:tr w14:paraId="1F5B9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exact"/>
        </w:trPr>
        <w:tc>
          <w:tcPr>
            <w:tcW w:w="211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7341D22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24"/>
                <w:lang w:val="en-US" w:eastAsia="zh-CN" w:bidi="ar-SA"/>
              </w:rPr>
            </w:pPr>
          </w:p>
          <w:p w14:paraId="3B29399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24"/>
                <w:lang w:val="en-US" w:eastAsia="zh-CN" w:bidi="ar-SA"/>
              </w:rPr>
            </w:pPr>
            <w:r>
              <w:rPr>
                <w:rFonts w:hint="eastAsia" w:ascii="宋体" w:hAnsi="宋体" w:eastAsia="宋体" w:cs="Times New Roman"/>
                <w:b/>
                <w:kern w:val="2"/>
                <w:sz w:val="24"/>
                <w:szCs w:val="24"/>
                <w:lang w:val="en-US" w:eastAsia="zh-CN" w:bidi="ar-SA"/>
              </w:rPr>
              <w:t>气象灾害标准</w:t>
            </w:r>
          </w:p>
        </w:tc>
        <w:tc>
          <w:tcPr>
            <w:tcW w:w="386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6F23823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Times New Roman" w:hAnsi="Times New Roman" w:eastAsia="宋体" w:cs="Times New Roman"/>
                <w:kern w:val="2"/>
                <w:sz w:val="24"/>
                <w:szCs w:val="24"/>
                <w:lang w:val="en-US" w:eastAsia="zh-CN" w:bidi="ar-SA"/>
              </w:rPr>
            </w:pPr>
            <w:r>
              <w:rPr>
                <w:rFonts w:hint="eastAsia" w:ascii="宋体" w:hAnsi="宋体" w:eastAsia="宋体" w:cs="Times New Roman"/>
                <w:b/>
                <w:kern w:val="2"/>
                <w:sz w:val="24"/>
                <w:szCs w:val="24"/>
                <w:lang w:val="en-US" w:eastAsia="zh-CN" w:bidi="ar-SA"/>
              </w:rPr>
              <w:t>因台风、大风、龙卷风、暴雨、冰雹等造成：</w:t>
            </w:r>
          </w:p>
        </w:tc>
        <w:tc>
          <w:tcPr>
            <w:tcW w:w="320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2CCB9E6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Times New Roman" w:hAnsi="Times New Roman" w:eastAsia="宋体" w:cs="Times New Roman"/>
                <w:kern w:val="2"/>
                <w:sz w:val="24"/>
                <w:szCs w:val="24"/>
                <w:lang w:val="en-US" w:eastAsia="zh-CN" w:bidi="ar-SA"/>
              </w:rPr>
            </w:pPr>
            <w:r>
              <w:rPr>
                <w:rFonts w:hint="eastAsia" w:ascii="宋体" w:hAnsi="宋体" w:eastAsia="宋体" w:cs="Times New Roman"/>
                <w:b/>
                <w:kern w:val="2"/>
                <w:sz w:val="24"/>
                <w:szCs w:val="24"/>
                <w:lang w:val="en-US" w:eastAsia="zh-CN" w:bidi="ar-SA"/>
              </w:rPr>
              <w:t>因各种气象原因造成：</w:t>
            </w:r>
          </w:p>
        </w:tc>
      </w:tr>
      <w:tr w14:paraId="53EF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exact"/>
        </w:trPr>
        <w:tc>
          <w:tcPr>
            <w:tcW w:w="211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498EAA2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24"/>
                <w:lang w:val="en-US" w:eastAsia="zh-CN" w:bidi="ar-SA"/>
              </w:rPr>
            </w:pPr>
            <w:r>
              <w:rPr>
                <w:rFonts w:hint="eastAsia" w:ascii="宋体" w:hAnsi="宋体" w:eastAsia="宋体" w:cs="Times New Roman"/>
                <w:b/>
                <w:kern w:val="2"/>
                <w:sz w:val="24"/>
                <w:szCs w:val="24"/>
                <w:lang w:val="en-US" w:eastAsia="zh-CN" w:bidi="ar-SA"/>
              </w:rPr>
              <w:t>重 大</w:t>
            </w:r>
          </w:p>
        </w:tc>
        <w:tc>
          <w:tcPr>
            <w:tcW w:w="386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49099B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24"/>
                <w:lang w:val="en-US" w:eastAsia="zh-CN" w:bidi="ar-SA"/>
              </w:rPr>
            </w:pPr>
            <w:r>
              <w:rPr>
                <w:rFonts w:hint="eastAsia" w:ascii="仿宋_GB2312" w:hAnsi="仿宋_GB2312" w:eastAsia="仿宋_GB2312" w:cs="Times New Roman"/>
                <w:kern w:val="2"/>
                <w:sz w:val="24"/>
                <w:szCs w:val="24"/>
                <w:lang w:val="en-US" w:eastAsia="zh-CN" w:bidi="ar-SA"/>
              </w:rPr>
              <w:t>10-29人死亡；或1千万-5千万元经济损失。</w:t>
            </w:r>
          </w:p>
        </w:tc>
        <w:tc>
          <w:tcPr>
            <w:tcW w:w="320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10FA67B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24"/>
                <w:lang w:val="en-US" w:eastAsia="zh-CN" w:bidi="ar-SA"/>
              </w:rPr>
            </w:pPr>
            <w:r>
              <w:rPr>
                <w:rFonts w:hint="eastAsia" w:ascii="仿宋_GB2312" w:hAnsi="仿宋_GB2312" w:eastAsia="仿宋_GB2312" w:cs="Times New Roman"/>
                <w:kern w:val="2"/>
                <w:sz w:val="24"/>
                <w:szCs w:val="24"/>
                <w:lang w:val="en-US" w:eastAsia="zh-CN" w:bidi="ar-SA"/>
              </w:rPr>
              <w:t>机场、港口、高速公路线封闭12小时（含）以上。</w:t>
            </w:r>
          </w:p>
        </w:tc>
      </w:tr>
      <w:tr w14:paraId="6CEAF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exact"/>
        </w:trPr>
        <w:tc>
          <w:tcPr>
            <w:tcW w:w="211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5AB15FB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24"/>
                <w:lang w:val="en-US" w:eastAsia="zh-CN" w:bidi="ar-SA"/>
              </w:rPr>
            </w:pPr>
            <w:r>
              <w:rPr>
                <w:rFonts w:hint="eastAsia" w:ascii="宋体" w:hAnsi="宋体" w:eastAsia="宋体" w:cs="Times New Roman"/>
                <w:b/>
                <w:kern w:val="2"/>
                <w:sz w:val="24"/>
                <w:szCs w:val="24"/>
                <w:lang w:val="en-US" w:eastAsia="zh-CN" w:bidi="ar-SA"/>
              </w:rPr>
              <w:t>特别重大</w:t>
            </w:r>
          </w:p>
        </w:tc>
        <w:tc>
          <w:tcPr>
            <w:tcW w:w="386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4AF24E6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24"/>
                <w:lang w:val="en-US" w:eastAsia="zh-CN" w:bidi="ar-SA"/>
              </w:rPr>
            </w:pPr>
            <w:r>
              <w:rPr>
                <w:rFonts w:hint="eastAsia" w:ascii="仿宋_GB2312" w:hAnsi="仿宋_GB2312" w:eastAsia="仿宋_GB2312" w:cs="Times New Roman"/>
                <w:kern w:val="2"/>
                <w:sz w:val="24"/>
                <w:szCs w:val="24"/>
                <w:lang w:val="en-US" w:eastAsia="zh-CN" w:bidi="ar-SA"/>
              </w:rPr>
              <w:t>死亡30人（含）以上；或经济损失5千万以上。</w:t>
            </w:r>
          </w:p>
        </w:tc>
        <w:tc>
          <w:tcPr>
            <w:tcW w:w="3201" w:type="dxa"/>
            <w:tcBorders>
              <w:top w:val="single" w:color="000000" w:sz="4" w:space="0"/>
              <w:left w:val="single" w:color="000000" w:sz="4" w:space="0"/>
              <w:bottom w:val="single" w:color="000000" w:sz="4" w:space="0"/>
              <w:right w:val="single" w:color="000000" w:sz="4" w:space="0"/>
              <w:tl2br w:val="nil"/>
              <w:tr2bl w:val="nil"/>
            </w:tcBorders>
            <w:shd w:val="clear" w:color="auto" w:fill="EEECE1"/>
            <w:vAlign w:val="center"/>
          </w:tcPr>
          <w:p w14:paraId="677D03E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24"/>
                <w:lang w:val="en-US" w:eastAsia="zh-CN" w:bidi="ar-SA"/>
              </w:rPr>
            </w:pPr>
            <w:r>
              <w:rPr>
                <w:rFonts w:hint="eastAsia" w:ascii="仿宋_GB2312" w:hAnsi="仿宋_GB2312" w:eastAsia="仿宋_GB2312" w:cs="Times New Roman"/>
                <w:kern w:val="2"/>
                <w:sz w:val="24"/>
                <w:szCs w:val="24"/>
                <w:lang w:val="en-US" w:eastAsia="zh-CN" w:bidi="ar-SA"/>
              </w:rPr>
              <w:t>——</w:t>
            </w:r>
          </w:p>
        </w:tc>
      </w:tr>
    </w:tbl>
    <w:p w14:paraId="53D8488D">
      <w:pPr>
        <w:keepNext w:val="0"/>
        <w:keepLines w:val="0"/>
        <w:pageBreakBefore w:val="0"/>
        <w:widowControl w:val="0"/>
        <w:kinsoku w:val="0"/>
        <w:wordWrap/>
        <w:overflowPunct w:val="0"/>
        <w:topLinePunct w:val="0"/>
        <w:autoSpaceDE/>
        <w:autoSpaceDN/>
        <w:bidi w:val="0"/>
        <w:adjustRightInd/>
        <w:snapToGrid/>
        <w:spacing w:before="0" w:line="600" w:lineRule="exact"/>
        <w:ind w:left="0" w:firstLine="480" w:firstLineChars="200"/>
        <w:jc w:val="both"/>
        <w:textAlignment w:val="auto"/>
        <w:outlineLvl w:val="9"/>
        <w:rPr>
          <w:rFonts w:hint="eastAsia" w:ascii="仿宋_GB2312" w:hAnsi="仿宋_GB2312"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〔注：依据《国家突发公共事件总体应急预案》（国发〔20</w:t>
      </w:r>
      <w:r>
        <w:rPr>
          <w:rFonts w:hint="default" w:ascii="宋体" w:hAnsi="宋体" w:eastAsia="宋体" w:cs="Times New Roman"/>
          <w:kern w:val="2"/>
          <w:sz w:val="24"/>
          <w:szCs w:val="32"/>
          <w:lang w:val="en-US" w:eastAsia="zh-CN" w:bidi="ar-SA"/>
        </w:rPr>
        <w:t>0</w:t>
      </w:r>
      <w:r>
        <w:rPr>
          <w:rFonts w:hint="eastAsia" w:ascii="宋体" w:hAnsi="宋体" w:eastAsia="宋体" w:cs="Times New Roman"/>
          <w:kern w:val="2"/>
          <w:sz w:val="24"/>
          <w:szCs w:val="32"/>
          <w:lang w:val="en-US" w:eastAsia="zh-CN" w:bidi="ar-SA"/>
        </w:rPr>
        <w:t>5〕11号）制表。〕</w:t>
      </w:r>
    </w:p>
    <w:p w14:paraId="7B7DC5ED">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11"/>
          <w:szCs w:val="32"/>
          <w:lang w:val="en-US" w:eastAsia="zh-CN" w:bidi="ar-SA"/>
        </w:rPr>
      </w:pPr>
      <w:bookmarkStart w:id="185" w:name="_Toc11472_WPSOffice_Level2"/>
      <w:r>
        <w:rPr>
          <w:rFonts w:hint="eastAsia" w:ascii="仿宋_GB2312" w:hAnsi="仿宋_GB2312" w:eastAsia="仿宋_GB2312" w:cs="Times New Roman"/>
          <w:b/>
          <w:kern w:val="2"/>
          <w:sz w:val="32"/>
          <w:szCs w:val="32"/>
          <w:lang w:val="en-US" w:eastAsia="zh-CN" w:bidi="ar-SA"/>
        </w:rPr>
        <w:t>（七）生物灾害</w:t>
      </w:r>
      <w:bookmarkEnd w:id="185"/>
    </w:p>
    <w:tbl>
      <w:tblPr>
        <w:tblStyle w:val="16"/>
        <w:tblW w:w="8860" w:type="dxa"/>
        <w:tblInd w:w="2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44"/>
        <w:gridCol w:w="3636"/>
        <w:gridCol w:w="3380"/>
      </w:tblGrid>
      <w:tr w14:paraId="5ED7A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exact"/>
        </w:trPr>
        <w:tc>
          <w:tcPr>
            <w:tcW w:w="8860" w:type="dxa"/>
            <w:gridSpan w:val="3"/>
            <w:tcBorders>
              <w:top w:val="single" w:color="000000" w:sz="4" w:space="0"/>
              <w:left w:val="single" w:color="000000" w:sz="4" w:space="0"/>
              <w:bottom w:val="single" w:color="auto" w:sz="4" w:space="0"/>
              <w:right w:val="single" w:color="000000" w:sz="4" w:space="0"/>
              <w:tl2br w:val="nil"/>
              <w:tr2bl w:val="nil"/>
            </w:tcBorders>
            <w:shd w:val="clear" w:color="auto" w:fill="C7DAF1"/>
            <w:vAlign w:val="center"/>
          </w:tcPr>
          <w:p w14:paraId="42D5B21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8"/>
                <w:szCs w:val="32"/>
                <w:lang w:val="en-US" w:eastAsia="zh-CN" w:bidi="ar-SA"/>
              </w:rPr>
              <w:t>生物灾害标准</w:t>
            </w:r>
          </w:p>
        </w:tc>
      </w:tr>
      <w:tr w14:paraId="596BC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5" w:hRule="exact"/>
        </w:trPr>
        <w:tc>
          <w:tcPr>
            <w:tcW w:w="1844" w:type="dxa"/>
            <w:tcBorders>
              <w:top w:val="single" w:color="auto" w:sz="4" w:space="0"/>
              <w:left w:val="single" w:color="auto" w:sz="4" w:space="0"/>
              <w:bottom w:val="single" w:color="auto" w:sz="4" w:space="0"/>
              <w:right w:val="single" w:color="auto" w:sz="4" w:space="0"/>
              <w:tl2br w:val="nil"/>
              <w:tr2bl w:val="nil"/>
            </w:tcBorders>
            <w:shd w:val="clear" w:color="auto" w:fill="C7DAF1"/>
            <w:vAlign w:val="center"/>
          </w:tcPr>
          <w:p w14:paraId="1A629A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重 大</w:t>
            </w:r>
          </w:p>
        </w:tc>
        <w:tc>
          <w:tcPr>
            <w:tcW w:w="3636" w:type="dxa"/>
            <w:tcBorders>
              <w:top w:val="single" w:color="auto" w:sz="4" w:space="0"/>
              <w:left w:val="single" w:color="auto" w:sz="4" w:space="0"/>
              <w:bottom w:val="single" w:color="auto" w:sz="4" w:space="0"/>
              <w:right w:val="single" w:color="auto" w:sz="4" w:space="0"/>
              <w:tl2br w:val="nil"/>
              <w:tr2bl w:val="nil"/>
            </w:tcBorders>
            <w:shd w:val="clear" w:color="auto" w:fill="C7DAF1"/>
            <w:vAlign w:val="center"/>
          </w:tcPr>
          <w:p w14:paraId="746FF36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仿宋_GB2312" w:hAnsi="仿宋_GB2312"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因蝗虫、稻飞虱、水稻螟虫、小</w:t>
            </w:r>
          </w:p>
          <w:p w14:paraId="4E2E10F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麦条锈病、草地螟、草原毛虫、</w:t>
            </w:r>
          </w:p>
          <w:p w14:paraId="1922C5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松毛虫、杨树食叶害虫和蛀干类</w:t>
            </w:r>
          </w:p>
          <w:p w14:paraId="7B6E1E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害虫等大面积成灾并造成严重经</w:t>
            </w:r>
          </w:p>
          <w:p w14:paraId="2590E00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济损失的生物灾害；</w:t>
            </w:r>
          </w:p>
        </w:tc>
        <w:tc>
          <w:tcPr>
            <w:tcW w:w="338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C7DAF1"/>
            <w:vAlign w:val="center"/>
          </w:tcPr>
          <w:p w14:paraId="323AF5F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仿宋_GB2312" w:hAnsi="仿宋_GB2312"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新传入我国的有害生物发生、</w:t>
            </w:r>
          </w:p>
          <w:p w14:paraId="1815033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流行，对农业和林业生产等造</w:t>
            </w:r>
          </w:p>
          <w:p w14:paraId="616FD14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成严重威胁的生物灾害。</w:t>
            </w:r>
          </w:p>
        </w:tc>
      </w:tr>
      <w:tr w14:paraId="104F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9" w:hRule="exact"/>
        </w:trPr>
        <w:tc>
          <w:tcPr>
            <w:tcW w:w="1844" w:type="dxa"/>
            <w:tcBorders>
              <w:top w:val="single" w:color="auto" w:sz="4" w:space="0"/>
              <w:left w:val="single" w:color="000000" w:sz="4" w:space="0"/>
              <w:bottom w:val="single" w:color="000000" w:sz="4" w:space="0"/>
              <w:right w:val="single" w:color="000000" w:sz="4" w:space="0"/>
              <w:tl2br w:val="nil"/>
              <w:tr2bl w:val="nil"/>
            </w:tcBorders>
            <w:shd w:val="clear" w:color="auto" w:fill="C7DAF1"/>
            <w:vAlign w:val="center"/>
          </w:tcPr>
          <w:p w14:paraId="6CDB6A7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特别重大</w:t>
            </w:r>
          </w:p>
        </w:tc>
        <w:tc>
          <w:tcPr>
            <w:tcW w:w="7016" w:type="dxa"/>
            <w:gridSpan w:val="2"/>
            <w:tcBorders>
              <w:top w:val="single" w:color="auto" w:sz="4" w:space="0"/>
              <w:left w:val="single" w:color="000000" w:sz="4" w:space="0"/>
              <w:bottom w:val="single" w:color="000000" w:sz="4" w:space="0"/>
              <w:right w:val="single" w:color="000000" w:sz="4" w:space="0"/>
              <w:tl2br w:val="nil"/>
              <w:tr2bl w:val="nil"/>
            </w:tcBorders>
            <w:shd w:val="clear" w:color="auto" w:fill="C7DAF1"/>
            <w:vAlign w:val="center"/>
          </w:tcPr>
          <w:p w14:paraId="1B94280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仿宋_GB2312" w:hAnsi="仿宋_GB2312" w:eastAsia="仿宋_GB2312" w:cs="Times New Roman"/>
                <w:kern w:val="2"/>
                <w:sz w:val="24"/>
                <w:szCs w:val="32"/>
                <w:lang w:val="en-US" w:eastAsia="zh-CN" w:bidi="ar-SA"/>
              </w:rPr>
              <w:t>在2个以上省（区、市）病虫鼠草等有害生物暴发流行，或新传入我国的有害生物在2个以上省（区、市）内发生，或在1个省（区、市）内2个以上市（地）发生，对农业和林业造成巨大危害的生物灾害。</w:t>
            </w:r>
          </w:p>
        </w:tc>
      </w:tr>
    </w:tbl>
    <w:p w14:paraId="3A60B402">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480" w:firstLineChars="200"/>
        <w:jc w:val="both"/>
        <w:textAlignment w:val="auto"/>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〔注：依据《国家突发公共事件总体应急预案》（国发〔20</w:t>
      </w:r>
      <w:r>
        <w:rPr>
          <w:rFonts w:hint="default" w:ascii="宋体" w:hAnsi="宋体" w:eastAsia="宋体" w:cs="Times New Roman"/>
          <w:kern w:val="2"/>
          <w:sz w:val="24"/>
          <w:szCs w:val="32"/>
          <w:lang w:val="en-US" w:eastAsia="zh-CN" w:bidi="ar-SA"/>
        </w:rPr>
        <w:t>0</w:t>
      </w:r>
      <w:r>
        <w:rPr>
          <w:rFonts w:hint="eastAsia" w:ascii="宋体" w:hAnsi="宋体" w:eastAsia="宋体" w:cs="Times New Roman"/>
          <w:kern w:val="2"/>
          <w:sz w:val="24"/>
          <w:szCs w:val="32"/>
          <w:lang w:val="en-US" w:eastAsia="zh-CN" w:bidi="ar-SA"/>
        </w:rPr>
        <w:t>5〕11号）制表。〕</w:t>
      </w:r>
    </w:p>
    <w:p w14:paraId="656FFB81">
      <w:pPr>
        <w:keepNext w:val="0"/>
        <w:keepLines w:val="0"/>
        <w:pageBreakBefore w:val="0"/>
        <w:widowControl w:val="0"/>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lang w:eastAsia="zh-CN"/>
        </w:rPr>
      </w:pPr>
      <w:bookmarkStart w:id="186" w:name="_Toc31504_WPSOffice_Level1"/>
      <w:r>
        <w:rPr>
          <w:rFonts w:hint="eastAsia" w:ascii="黑体" w:hAnsi="黑体" w:eastAsia="黑体" w:cs="Times New Roman"/>
          <w:b w:val="0"/>
          <w:sz w:val="32"/>
          <w:szCs w:val="32"/>
          <w:lang w:eastAsia="zh-CN"/>
        </w:rPr>
        <w:t>二、事故灾难类</w:t>
      </w:r>
      <w:bookmarkEnd w:id="186"/>
    </w:p>
    <w:p w14:paraId="2B71186D">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0" w:firstLineChars="0"/>
        <w:jc w:val="both"/>
        <w:textAlignment w:val="auto"/>
        <w:outlineLvl w:val="9"/>
        <w:rPr>
          <w:rFonts w:hint="eastAsia" w:ascii="仿宋_GB2312" w:hAnsi="仿宋_GB2312" w:eastAsia="仿宋_GB2312" w:cs="Times New Roman"/>
          <w:b/>
          <w:kern w:val="2"/>
          <w:sz w:val="32"/>
          <w:szCs w:val="32"/>
          <w:lang w:val="en-US" w:eastAsia="zh-CN" w:bidi="ar-SA"/>
        </w:rPr>
      </w:pPr>
      <w:bookmarkStart w:id="187" w:name="_Toc26509_WPSOffice_Level2"/>
      <w:r>
        <w:rPr>
          <w:rFonts w:hint="eastAsia" w:ascii="仿宋_GB2312" w:hAnsi="仿宋_GB2312" w:eastAsia="仿宋_GB2312" w:cs="Times New Roman"/>
          <w:b/>
          <w:kern w:val="2"/>
          <w:sz w:val="32"/>
          <w:szCs w:val="32"/>
          <w:lang w:val="en-US" w:eastAsia="zh-CN" w:bidi="ar-SA"/>
        </w:rPr>
        <w:t>（一）生产安全事故</w:t>
      </w:r>
      <w:bookmarkEnd w:id="187"/>
    </w:p>
    <w:tbl>
      <w:tblPr>
        <w:tblStyle w:val="16"/>
        <w:tblW w:w="8820"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718"/>
        <w:gridCol w:w="2289"/>
        <w:gridCol w:w="2987"/>
      </w:tblGrid>
      <w:tr w14:paraId="6429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trPr>
        <w:tc>
          <w:tcPr>
            <w:tcW w:w="1826" w:type="dxa"/>
            <w:vMerge w:val="restart"/>
            <w:tcBorders>
              <w:tl2br w:val="nil"/>
              <w:tr2bl w:val="nil"/>
            </w:tcBorders>
            <w:shd w:val="clear" w:color="auto" w:fill="AFBFCF"/>
            <w:vAlign w:val="center"/>
          </w:tcPr>
          <w:p w14:paraId="018904E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_GB2312" w:hAnsi="仿宋_GB2312" w:eastAsia="仿宋_GB2312" w:cs="Times New Roman"/>
                <w:b/>
                <w:kern w:val="2"/>
                <w:sz w:val="27"/>
                <w:szCs w:val="32"/>
                <w:lang w:val="en-US" w:eastAsia="zh-CN" w:bidi="ar-SA"/>
              </w:rPr>
            </w:pPr>
          </w:p>
          <w:p w14:paraId="615A6A6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黑体" w:hAnsi="黑体" w:eastAsia="黑体" w:cs="Times New Roman"/>
                <w:b/>
                <w:color w:val="0070C0"/>
                <w:kern w:val="2"/>
                <w:sz w:val="24"/>
                <w:szCs w:val="32"/>
                <w:lang w:val="en-US" w:eastAsia="zh-CN" w:bidi="ar-SA"/>
              </w:rPr>
              <w:t>生产安全    事故等级</w:t>
            </w:r>
          </w:p>
        </w:tc>
        <w:tc>
          <w:tcPr>
            <w:tcW w:w="6994" w:type="dxa"/>
            <w:gridSpan w:val="3"/>
            <w:tcBorders>
              <w:tl2br w:val="nil"/>
              <w:tr2bl w:val="nil"/>
            </w:tcBorders>
            <w:shd w:val="clear" w:color="auto" w:fill="AFBFCF"/>
            <w:vAlign w:val="center"/>
          </w:tcPr>
          <w:p w14:paraId="1997193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黑体" w:hAnsi="黑体" w:eastAsia="黑体" w:cs="Times New Roman"/>
                <w:color w:val="002060"/>
                <w:kern w:val="2"/>
                <w:sz w:val="28"/>
                <w:szCs w:val="32"/>
                <w:lang w:val="en-US" w:eastAsia="zh-CN" w:bidi="ar-SA"/>
              </w:rPr>
              <w:t>分级标准</w:t>
            </w:r>
          </w:p>
        </w:tc>
      </w:tr>
      <w:tr w14:paraId="77C4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1826" w:type="dxa"/>
            <w:vMerge w:val="continue"/>
            <w:tcBorders>
              <w:tl2br w:val="nil"/>
              <w:tr2bl w:val="nil"/>
            </w:tcBorders>
            <w:shd w:val="clear" w:color="auto" w:fill="AFBFCF"/>
            <w:vAlign w:val="center"/>
          </w:tcPr>
          <w:p w14:paraId="491D507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p>
        </w:tc>
        <w:tc>
          <w:tcPr>
            <w:tcW w:w="1718" w:type="dxa"/>
            <w:tcBorders>
              <w:tl2br w:val="nil"/>
              <w:tr2bl w:val="nil"/>
            </w:tcBorders>
            <w:shd w:val="clear" w:color="auto" w:fill="AFBFCF"/>
            <w:vAlign w:val="center"/>
          </w:tcPr>
          <w:p w14:paraId="219B8B3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华文楷体" w:hAnsi="华文楷体" w:eastAsia="华文楷体" w:cs="Times New Roman"/>
                <w:color w:val="1C1B10"/>
                <w:kern w:val="2"/>
                <w:sz w:val="24"/>
                <w:szCs w:val="32"/>
                <w:lang w:val="en-US" w:eastAsia="zh-CN" w:bidi="ar-SA"/>
              </w:rPr>
            </w:pPr>
            <w:r>
              <w:rPr>
                <w:rFonts w:hint="eastAsia" w:ascii="华文楷体" w:hAnsi="华文楷体" w:eastAsia="华文楷体" w:cs="Times New Roman"/>
                <w:color w:val="1C1B10"/>
                <w:kern w:val="2"/>
                <w:sz w:val="24"/>
                <w:szCs w:val="32"/>
                <w:lang w:val="en-US" w:eastAsia="zh-CN" w:bidi="ar-SA"/>
              </w:rPr>
              <w:t>人员死亡</w:t>
            </w:r>
          </w:p>
          <w:p w14:paraId="552AF9C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华文楷体" w:hAnsi="华文楷体" w:eastAsia="华文楷体" w:cs="Times New Roman"/>
                <w:color w:val="1C1B10"/>
                <w:kern w:val="2"/>
                <w:sz w:val="24"/>
                <w:szCs w:val="32"/>
                <w:lang w:val="en-US" w:eastAsia="zh-CN" w:bidi="ar-SA"/>
              </w:rPr>
            </w:pPr>
            <w:r>
              <w:rPr>
                <w:rFonts w:hint="eastAsia" w:ascii="华文楷体" w:hAnsi="华文楷体" w:eastAsia="华文楷体" w:cs="Times New Roman"/>
                <w:color w:val="1C1B10"/>
                <w:kern w:val="2"/>
                <w:sz w:val="24"/>
                <w:szCs w:val="32"/>
                <w:lang w:val="en-US" w:eastAsia="zh-CN" w:bidi="ar-SA"/>
              </w:rPr>
              <w:t>（失 踪）</w:t>
            </w:r>
          </w:p>
        </w:tc>
        <w:tc>
          <w:tcPr>
            <w:tcW w:w="2289" w:type="dxa"/>
            <w:tcBorders>
              <w:tl2br w:val="nil"/>
              <w:tr2bl w:val="nil"/>
            </w:tcBorders>
            <w:shd w:val="clear" w:color="auto" w:fill="AFBFCF"/>
            <w:vAlign w:val="center"/>
          </w:tcPr>
          <w:p w14:paraId="67BA324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华文楷体" w:hAnsi="华文楷体" w:eastAsia="华文楷体" w:cs="Times New Roman"/>
                <w:color w:val="1C1B10"/>
                <w:kern w:val="2"/>
                <w:sz w:val="24"/>
                <w:szCs w:val="32"/>
                <w:lang w:val="en-US" w:eastAsia="zh-CN" w:bidi="ar-SA"/>
              </w:rPr>
            </w:pPr>
            <w:r>
              <w:rPr>
                <w:rFonts w:hint="eastAsia" w:ascii="华文楷体" w:hAnsi="华文楷体" w:eastAsia="华文楷体" w:cs="Times New Roman"/>
                <w:color w:val="1C1B10"/>
                <w:kern w:val="2"/>
                <w:sz w:val="24"/>
                <w:szCs w:val="32"/>
                <w:lang w:val="en-US" w:eastAsia="zh-CN" w:bidi="ar-SA"/>
              </w:rPr>
              <w:t>重伤人数</w:t>
            </w:r>
          </w:p>
          <w:p w14:paraId="06226F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华文楷体" w:hAnsi="华文楷体" w:eastAsia="华文楷体" w:cs="Times New Roman"/>
                <w:color w:val="1C1B10"/>
                <w:kern w:val="2"/>
                <w:sz w:val="24"/>
                <w:szCs w:val="32"/>
                <w:lang w:val="en-US" w:eastAsia="zh-CN" w:bidi="ar-SA"/>
              </w:rPr>
            </w:pPr>
            <w:r>
              <w:rPr>
                <w:rFonts w:hint="eastAsia" w:ascii="华文楷体" w:hAnsi="华文楷体" w:eastAsia="华文楷体" w:cs="Times New Roman"/>
                <w:color w:val="1C1B10"/>
                <w:kern w:val="2"/>
                <w:sz w:val="24"/>
                <w:szCs w:val="32"/>
                <w:lang w:val="en-US" w:eastAsia="zh-CN" w:bidi="ar-SA"/>
              </w:rPr>
              <w:t>（急性工业中毒）</w:t>
            </w:r>
          </w:p>
        </w:tc>
        <w:tc>
          <w:tcPr>
            <w:tcW w:w="2987" w:type="dxa"/>
            <w:tcBorders>
              <w:tl2br w:val="nil"/>
              <w:tr2bl w:val="nil"/>
            </w:tcBorders>
            <w:shd w:val="clear" w:color="auto" w:fill="AFBFCF"/>
            <w:vAlign w:val="center"/>
          </w:tcPr>
          <w:p w14:paraId="6E4AF68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华文楷体" w:hAnsi="华文楷体" w:eastAsia="华文楷体" w:cs="Times New Roman"/>
                <w:color w:val="1C1B10"/>
                <w:kern w:val="2"/>
                <w:sz w:val="24"/>
                <w:szCs w:val="32"/>
                <w:lang w:val="en-US" w:eastAsia="zh-CN" w:bidi="ar-SA"/>
              </w:rPr>
              <w:t>直接经济损失（元）</w:t>
            </w:r>
          </w:p>
        </w:tc>
      </w:tr>
      <w:tr w14:paraId="4F50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1826" w:type="dxa"/>
            <w:tcBorders>
              <w:tl2br w:val="nil"/>
              <w:tr2bl w:val="nil"/>
            </w:tcBorders>
            <w:shd w:val="clear" w:color="auto" w:fill="AFBFCF"/>
            <w:vAlign w:val="center"/>
          </w:tcPr>
          <w:p w14:paraId="7503220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color w:val="475F77"/>
                <w:kern w:val="2"/>
                <w:sz w:val="24"/>
                <w:szCs w:val="32"/>
                <w:lang w:val="en-US" w:eastAsia="zh-CN" w:bidi="ar-SA"/>
              </w:rPr>
              <w:t>特别重大</w:t>
            </w:r>
          </w:p>
        </w:tc>
        <w:tc>
          <w:tcPr>
            <w:tcW w:w="1718" w:type="dxa"/>
            <w:tcBorders>
              <w:tl2br w:val="nil"/>
              <w:tr2bl w:val="nil"/>
            </w:tcBorders>
            <w:shd w:val="clear" w:color="auto" w:fill="AFBFCF"/>
            <w:vAlign w:val="center"/>
          </w:tcPr>
          <w:p w14:paraId="01BEBF1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30人以上</w:t>
            </w:r>
          </w:p>
        </w:tc>
        <w:tc>
          <w:tcPr>
            <w:tcW w:w="2289" w:type="dxa"/>
            <w:tcBorders>
              <w:tl2br w:val="nil"/>
              <w:tr2bl w:val="nil"/>
            </w:tcBorders>
            <w:shd w:val="clear" w:color="auto" w:fill="AFBFCF"/>
            <w:vAlign w:val="center"/>
          </w:tcPr>
          <w:p w14:paraId="43C9D12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100人以上</w:t>
            </w:r>
          </w:p>
        </w:tc>
        <w:tc>
          <w:tcPr>
            <w:tcW w:w="2987" w:type="dxa"/>
            <w:tcBorders>
              <w:tl2br w:val="nil"/>
              <w:tr2bl w:val="nil"/>
            </w:tcBorders>
            <w:shd w:val="clear" w:color="auto" w:fill="AFBFCF"/>
            <w:vAlign w:val="center"/>
          </w:tcPr>
          <w:p w14:paraId="4BC4A48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1亿以上</w:t>
            </w:r>
          </w:p>
        </w:tc>
      </w:tr>
      <w:tr w14:paraId="1B22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trPr>
        <w:tc>
          <w:tcPr>
            <w:tcW w:w="1826" w:type="dxa"/>
            <w:tcBorders>
              <w:tl2br w:val="nil"/>
              <w:tr2bl w:val="nil"/>
            </w:tcBorders>
            <w:shd w:val="clear" w:color="auto" w:fill="AFBFCF"/>
            <w:vAlign w:val="center"/>
          </w:tcPr>
          <w:p w14:paraId="67EF0A70">
            <w:pPr>
              <w:keepNext w:val="0"/>
              <w:keepLines w:val="0"/>
              <w:pageBreakBefore w:val="0"/>
              <w:widowControl w:val="0"/>
              <w:suppressLineNumbers w:val="0"/>
              <w:tabs>
                <w:tab w:val="left" w:pos="1009"/>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color w:val="475F77"/>
                <w:kern w:val="2"/>
                <w:sz w:val="24"/>
                <w:szCs w:val="32"/>
                <w:lang w:val="en-US" w:eastAsia="zh-CN" w:bidi="ar-SA"/>
              </w:rPr>
              <w:t>重 大</w:t>
            </w:r>
          </w:p>
        </w:tc>
        <w:tc>
          <w:tcPr>
            <w:tcW w:w="1718" w:type="dxa"/>
            <w:tcBorders>
              <w:tl2br w:val="nil"/>
              <w:tr2bl w:val="nil"/>
            </w:tcBorders>
            <w:shd w:val="clear" w:color="auto" w:fill="AFBFCF"/>
            <w:vAlign w:val="center"/>
          </w:tcPr>
          <w:p w14:paraId="00E850F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10—29（人）</w:t>
            </w:r>
          </w:p>
        </w:tc>
        <w:tc>
          <w:tcPr>
            <w:tcW w:w="2289" w:type="dxa"/>
            <w:tcBorders>
              <w:tl2br w:val="nil"/>
              <w:tr2bl w:val="nil"/>
            </w:tcBorders>
            <w:shd w:val="clear" w:color="auto" w:fill="AFBFCF"/>
            <w:vAlign w:val="center"/>
          </w:tcPr>
          <w:p w14:paraId="18583B0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50-99（人）</w:t>
            </w:r>
          </w:p>
        </w:tc>
        <w:tc>
          <w:tcPr>
            <w:tcW w:w="2987" w:type="dxa"/>
            <w:tcBorders>
              <w:tl2br w:val="nil"/>
              <w:tr2bl w:val="nil"/>
            </w:tcBorders>
            <w:shd w:val="clear" w:color="auto" w:fill="AFBFCF"/>
            <w:vAlign w:val="center"/>
          </w:tcPr>
          <w:p w14:paraId="7EAE09D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5千万-1亿</w:t>
            </w:r>
          </w:p>
        </w:tc>
      </w:tr>
      <w:tr w14:paraId="06B4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1826" w:type="dxa"/>
            <w:tcBorders>
              <w:tl2br w:val="nil"/>
              <w:tr2bl w:val="nil"/>
            </w:tcBorders>
            <w:shd w:val="clear" w:color="auto" w:fill="AFBFCF"/>
            <w:vAlign w:val="center"/>
          </w:tcPr>
          <w:p w14:paraId="79A661C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color w:val="475F77"/>
                <w:kern w:val="2"/>
                <w:sz w:val="24"/>
                <w:szCs w:val="32"/>
                <w:lang w:val="en-US" w:eastAsia="zh-CN" w:bidi="ar-SA"/>
              </w:rPr>
              <w:t>较 大</w:t>
            </w:r>
          </w:p>
        </w:tc>
        <w:tc>
          <w:tcPr>
            <w:tcW w:w="1718" w:type="dxa"/>
            <w:tcBorders>
              <w:tl2br w:val="nil"/>
              <w:tr2bl w:val="nil"/>
            </w:tcBorders>
            <w:shd w:val="clear" w:color="auto" w:fill="AFBFCF"/>
            <w:vAlign w:val="center"/>
          </w:tcPr>
          <w:p w14:paraId="5BFDAE8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3-9（人）</w:t>
            </w:r>
          </w:p>
        </w:tc>
        <w:tc>
          <w:tcPr>
            <w:tcW w:w="2289" w:type="dxa"/>
            <w:tcBorders>
              <w:tl2br w:val="nil"/>
              <w:tr2bl w:val="nil"/>
            </w:tcBorders>
            <w:shd w:val="clear" w:color="auto" w:fill="AFBFCF"/>
            <w:vAlign w:val="center"/>
          </w:tcPr>
          <w:p w14:paraId="0862BB2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10-49（人）</w:t>
            </w:r>
          </w:p>
        </w:tc>
        <w:tc>
          <w:tcPr>
            <w:tcW w:w="2987" w:type="dxa"/>
            <w:tcBorders>
              <w:tl2br w:val="nil"/>
              <w:tr2bl w:val="nil"/>
            </w:tcBorders>
            <w:shd w:val="clear" w:color="auto" w:fill="AFBFCF"/>
            <w:vAlign w:val="center"/>
          </w:tcPr>
          <w:p w14:paraId="3AEB486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1千万-5千万</w:t>
            </w:r>
          </w:p>
        </w:tc>
      </w:tr>
      <w:tr w14:paraId="1A11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trPr>
        <w:tc>
          <w:tcPr>
            <w:tcW w:w="1826" w:type="dxa"/>
            <w:tcBorders>
              <w:tl2br w:val="nil"/>
              <w:tr2bl w:val="nil"/>
            </w:tcBorders>
            <w:shd w:val="clear" w:color="auto" w:fill="AFBFCF"/>
            <w:vAlign w:val="center"/>
          </w:tcPr>
          <w:p w14:paraId="50594F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4"/>
                <w:szCs w:val="32"/>
                <w:lang w:val="en-US" w:eastAsia="zh-CN" w:bidi="ar-SA"/>
              </w:rPr>
            </w:pPr>
            <w:r>
              <w:rPr>
                <w:rFonts w:hint="eastAsia" w:ascii="宋体" w:hAnsi="宋体" w:eastAsia="宋体" w:cs="Times New Roman"/>
                <w:b/>
                <w:color w:val="475F77"/>
                <w:kern w:val="2"/>
                <w:sz w:val="24"/>
                <w:szCs w:val="32"/>
                <w:lang w:val="en-US" w:eastAsia="zh-CN" w:bidi="ar-SA"/>
              </w:rPr>
              <w:t>一 般</w:t>
            </w:r>
          </w:p>
        </w:tc>
        <w:tc>
          <w:tcPr>
            <w:tcW w:w="1718" w:type="dxa"/>
            <w:tcBorders>
              <w:tl2br w:val="nil"/>
              <w:tr2bl w:val="nil"/>
            </w:tcBorders>
            <w:shd w:val="clear" w:color="auto" w:fill="AFBFCF"/>
            <w:vAlign w:val="center"/>
          </w:tcPr>
          <w:p w14:paraId="69F92DF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1-2（人）</w:t>
            </w:r>
          </w:p>
        </w:tc>
        <w:tc>
          <w:tcPr>
            <w:tcW w:w="2289" w:type="dxa"/>
            <w:tcBorders>
              <w:tl2br w:val="nil"/>
              <w:tr2bl w:val="nil"/>
            </w:tcBorders>
            <w:shd w:val="clear" w:color="auto" w:fill="AFBFCF"/>
            <w:vAlign w:val="center"/>
          </w:tcPr>
          <w:p w14:paraId="79D04A6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1-9（人）</w:t>
            </w:r>
          </w:p>
        </w:tc>
        <w:tc>
          <w:tcPr>
            <w:tcW w:w="2987" w:type="dxa"/>
            <w:tcBorders>
              <w:tl2br w:val="nil"/>
              <w:tr2bl w:val="nil"/>
            </w:tcBorders>
            <w:shd w:val="clear" w:color="auto" w:fill="AFBFCF"/>
            <w:vAlign w:val="center"/>
          </w:tcPr>
          <w:p w14:paraId="2560EC6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32"/>
                <w:lang w:val="en-US" w:eastAsia="zh-CN" w:bidi="ar-SA"/>
              </w:rPr>
            </w:pPr>
            <w:r>
              <w:rPr>
                <w:rFonts w:hint="eastAsia" w:ascii="宋体" w:hAnsi="宋体" w:eastAsia="宋体" w:cs="Times New Roman"/>
                <w:color w:val="auto"/>
                <w:kern w:val="2"/>
                <w:sz w:val="24"/>
                <w:szCs w:val="32"/>
                <w:lang w:val="en-US" w:eastAsia="zh-CN" w:bidi="ar-SA"/>
              </w:rPr>
              <w:t>1千万以下</w:t>
            </w:r>
          </w:p>
        </w:tc>
      </w:tr>
    </w:tbl>
    <w:p w14:paraId="27F341D9">
      <w:pPr>
        <w:keepNext w:val="0"/>
        <w:keepLines w:val="0"/>
        <w:pageBreakBefore w:val="0"/>
        <w:widowControl w:val="0"/>
        <w:kinsoku w:val="0"/>
        <w:wordWrap/>
        <w:overflowPunct w:val="0"/>
        <w:topLinePunct w:val="0"/>
        <w:autoSpaceDE/>
        <w:autoSpaceDN/>
        <w:bidi w:val="0"/>
        <w:adjustRightInd/>
        <w:snapToGrid/>
        <w:spacing w:before="0" w:line="560" w:lineRule="exact"/>
        <w:ind w:left="0" w:firstLine="480" w:firstLineChars="200"/>
        <w:jc w:val="both"/>
        <w:textAlignment w:val="auto"/>
        <w:outlineLvl w:val="9"/>
        <w:rPr>
          <w:rFonts w:hint="eastAsia" w:ascii="楷体" w:hAnsi="楷体" w:eastAsia="楷体" w:cs="Times New Roman"/>
          <w:kern w:val="2"/>
          <w:sz w:val="32"/>
          <w:szCs w:val="32"/>
          <w:lang w:val="en-US" w:eastAsia="zh-CN" w:bidi="ar-SA"/>
        </w:rPr>
      </w:pPr>
      <w:r>
        <w:rPr>
          <w:rFonts w:hint="eastAsia" w:ascii="宋体" w:hAnsi="宋体" w:eastAsia="宋体" w:cs="Times New Roman"/>
          <w:kern w:val="2"/>
          <w:sz w:val="24"/>
          <w:szCs w:val="32"/>
          <w:lang w:val="en-US" w:eastAsia="zh-CN" w:bidi="ar-SA"/>
        </w:rPr>
        <w:t>〔注：依据《国家安全生产事故灾难应急预案》（国办函</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2005</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39号）、《海南省生产安全事故灾难应急预案》（琼府办[2016]84号）制表。〕</w:t>
      </w:r>
    </w:p>
    <w:p w14:paraId="582E9F65">
      <w:pPr>
        <w:widowControl w:val="0"/>
        <w:kinsoku w:val="0"/>
        <w:overflowPunct w:val="0"/>
        <w:spacing w:before="205" w:line="600" w:lineRule="exact"/>
        <w:ind w:left="0" w:leftChars="0" w:firstLine="0" w:firstLineChars="0"/>
        <w:jc w:val="both"/>
        <w:outlineLvl w:val="9"/>
        <w:rPr>
          <w:rFonts w:hint="eastAsia" w:ascii="仿宋_GB2312" w:hAnsi="仿宋_GB2312" w:eastAsia="仿宋_GB2312" w:cs="Times New Roman"/>
          <w:b/>
          <w:kern w:val="2"/>
          <w:sz w:val="32"/>
          <w:szCs w:val="32"/>
          <w:lang w:val="en-US" w:eastAsia="zh-CN" w:bidi="ar-SA"/>
        </w:rPr>
      </w:pPr>
      <w:bookmarkStart w:id="188" w:name="_Toc9604_WPSOffice_Level2"/>
      <w:r>
        <w:rPr>
          <w:rFonts w:hint="eastAsia" w:ascii="仿宋_GB2312" w:hAnsi="仿宋_GB2312" w:eastAsia="仿宋_GB2312" w:cs="Times New Roman"/>
          <w:b/>
          <w:kern w:val="2"/>
          <w:sz w:val="32"/>
          <w:szCs w:val="32"/>
          <w:lang w:val="en-US" w:eastAsia="zh-CN" w:bidi="ar-SA"/>
        </w:rPr>
        <w:t>（二）民航飞行事故</w:t>
      </w:r>
      <w:bookmarkEnd w:id="188"/>
    </w:p>
    <w:tbl>
      <w:tblPr>
        <w:tblStyle w:val="16"/>
        <w:tblW w:w="9427"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592"/>
      </w:tblGrid>
      <w:tr w14:paraId="10BF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1835" w:type="dxa"/>
            <w:tcBorders>
              <w:tl2br w:val="nil"/>
              <w:tr2bl w:val="nil"/>
            </w:tcBorders>
            <w:shd w:val="clear" w:color="auto" w:fill="AFBFCF"/>
            <w:vAlign w:val="center"/>
          </w:tcPr>
          <w:p w14:paraId="66292CB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黑体" w:hAnsi="黑体" w:eastAsia="黑体" w:cs="Times New Roman"/>
                <w:color w:val="auto"/>
                <w:kern w:val="2"/>
                <w:sz w:val="24"/>
                <w:szCs w:val="24"/>
                <w:lang w:val="en-US" w:eastAsia="zh-CN" w:bidi="ar-SA"/>
              </w:rPr>
              <w:t>民用航空器飞行事故</w:t>
            </w:r>
          </w:p>
        </w:tc>
        <w:tc>
          <w:tcPr>
            <w:tcW w:w="7592" w:type="dxa"/>
            <w:tcBorders>
              <w:tl2br w:val="nil"/>
              <w:tr2bl w:val="nil"/>
            </w:tcBorders>
            <w:shd w:val="clear" w:color="auto" w:fill="AFBFCF"/>
            <w:vAlign w:val="center"/>
          </w:tcPr>
          <w:p w14:paraId="1A9339E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黑体" w:hAnsi="黑体" w:eastAsia="黑体" w:cs="Times New Roman"/>
                <w:color w:val="auto"/>
                <w:kern w:val="2"/>
                <w:sz w:val="24"/>
                <w:szCs w:val="24"/>
                <w:highlight w:val="none"/>
                <w:lang w:val="en-US" w:eastAsia="zh-CN" w:bidi="ar-SA"/>
              </w:rPr>
              <w:t>适用</w:t>
            </w:r>
            <w:r>
              <w:rPr>
                <w:rFonts w:hint="eastAsia" w:ascii="黑体" w:hAnsi="黑体" w:eastAsia="黑体" w:cs="Times New Roman"/>
                <w:color w:val="auto"/>
                <w:kern w:val="2"/>
                <w:sz w:val="24"/>
                <w:szCs w:val="24"/>
                <w:lang w:val="en-US" w:eastAsia="zh-CN" w:bidi="ar-SA"/>
              </w:rPr>
              <w:t>情况</w:t>
            </w:r>
          </w:p>
        </w:tc>
      </w:tr>
      <w:tr w14:paraId="6439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exact"/>
        </w:trPr>
        <w:tc>
          <w:tcPr>
            <w:tcW w:w="1835" w:type="dxa"/>
            <w:vMerge w:val="restart"/>
            <w:tcBorders>
              <w:tl2br w:val="nil"/>
              <w:tr2bl w:val="nil"/>
            </w:tcBorders>
            <w:shd w:val="clear" w:color="auto" w:fill="AFBFCF"/>
          </w:tcPr>
          <w:p w14:paraId="72EC962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auto"/>
                <w:kern w:val="2"/>
                <w:sz w:val="24"/>
                <w:szCs w:val="24"/>
                <w:lang w:val="en-US" w:eastAsia="zh-CN" w:bidi="ar-SA"/>
              </w:rPr>
            </w:pPr>
          </w:p>
          <w:p w14:paraId="4F877B3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auto"/>
                <w:kern w:val="2"/>
                <w:sz w:val="24"/>
                <w:szCs w:val="24"/>
                <w:lang w:val="en-US" w:eastAsia="zh-CN" w:bidi="ar-SA"/>
              </w:rPr>
            </w:pPr>
          </w:p>
          <w:p w14:paraId="4F649A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auto"/>
                <w:kern w:val="2"/>
                <w:sz w:val="24"/>
                <w:szCs w:val="24"/>
                <w:lang w:val="en-US" w:eastAsia="zh-CN" w:bidi="ar-SA"/>
              </w:rPr>
            </w:pPr>
          </w:p>
          <w:p w14:paraId="36C7C6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特别重大</w:t>
            </w:r>
          </w:p>
          <w:p w14:paraId="159A7EC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（一级响应）</w:t>
            </w:r>
          </w:p>
        </w:tc>
        <w:tc>
          <w:tcPr>
            <w:tcW w:w="7592" w:type="dxa"/>
            <w:tcBorders>
              <w:tl2br w:val="nil"/>
              <w:tr2bl w:val="nil"/>
            </w:tcBorders>
            <w:shd w:val="clear" w:color="auto" w:fill="AFBFCF"/>
          </w:tcPr>
          <w:p w14:paraId="46AC444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民航器发生爆炸、空中解体、坠机等，造成重要地面设施巨大损失，并对设施使用、环境保护、公众安全、社会稳定等造成巨大影响。</w:t>
            </w:r>
          </w:p>
        </w:tc>
      </w:tr>
      <w:tr w14:paraId="5106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exact"/>
        </w:trPr>
        <w:tc>
          <w:tcPr>
            <w:tcW w:w="1835" w:type="dxa"/>
            <w:vMerge w:val="continue"/>
            <w:tcBorders>
              <w:tl2br w:val="nil"/>
              <w:tr2bl w:val="nil"/>
            </w:tcBorders>
            <w:shd w:val="clear" w:color="auto" w:fill="AFBFCF"/>
          </w:tcPr>
          <w:p w14:paraId="7275BB5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p>
        </w:tc>
        <w:tc>
          <w:tcPr>
            <w:tcW w:w="7592" w:type="dxa"/>
            <w:tcBorders>
              <w:tl2br w:val="nil"/>
              <w:tr2bl w:val="nil"/>
            </w:tcBorders>
            <w:shd w:val="clear" w:color="auto" w:fill="AFBFCF"/>
          </w:tcPr>
          <w:p w14:paraId="4CCA875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民用航空器执行专机任务发生飞行事故。</w:t>
            </w:r>
          </w:p>
        </w:tc>
      </w:tr>
      <w:tr w14:paraId="6C32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835" w:type="dxa"/>
            <w:vMerge w:val="continue"/>
            <w:tcBorders>
              <w:tl2br w:val="nil"/>
              <w:tr2bl w:val="nil"/>
            </w:tcBorders>
            <w:shd w:val="clear" w:color="auto" w:fill="AFBFCF"/>
          </w:tcPr>
          <w:p w14:paraId="6D47550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p>
        </w:tc>
        <w:tc>
          <w:tcPr>
            <w:tcW w:w="7592" w:type="dxa"/>
            <w:tcBorders>
              <w:tl2br w:val="nil"/>
              <w:tr2bl w:val="nil"/>
            </w:tcBorders>
            <w:shd w:val="clear" w:color="auto" w:fill="AFBFCF"/>
          </w:tcPr>
          <w:p w14:paraId="728FE0C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飞行事故死亡人员中有国际、国内重要旅客。</w:t>
            </w:r>
          </w:p>
        </w:tc>
      </w:tr>
      <w:tr w14:paraId="2B65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trPr>
        <w:tc>
          <w:tcPr>
            <w:tcW w:w="1835" w:type="dxa"/>
            <w:vMerge w:val="continue"/>
            <w:tcBorders>
              <w:tl2br w:val="nil"/>
              <w:tr2bl w:val="nil"/>
            </w:tcBorders>
            <w:shd w:val="clear" w:color="auto" w:fill="AFBFCF"/>
          </w:tcPr>
          <w:p w14:paraId="58D8DB6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p>
        </w:tc>
        <w:tc>
          <w:tcPr>
            <w:tcW w:w="7592" w:type="dxa"/>
            <w:tcBorders>
              <w:tl2br w:val="nil"/>
              <w:tr2bl w:val="nil"/>
            </w:tcBorders>
            <w:shd w:val="clear" w:color="auto" w:fill="AFBFCF"/>
          </w:tcPr>
          <w:p w14:paraId="19E5BF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军用航空器与民航器发生空中相撞。</w:t>
            </w:r>
          </w:p>
        </w:tc>
      </w:tr>
      <w:tr w14:paraId="57DB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exact"/>
        </w:trPr>
        <w:tc>
          <w:tcPr>
            <w:tcW w:w="1835" w:type="dxa"/>
            <w:vMerge w:val="continue"/>
            <w:tcBorders>
              <w:tl2br w:val="nil"/>
              <w:tr2bl w:val="nil"/>
            </w:tcBorders>
            <w:shd w:val="clear" w:color="auto" w:fill="AFBFCF"/>
          </w:tcPr>
          <w:p w14:paraId="55D1CC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p>
        </w:tc>
        <w:tc>
          <w:tcPr>
            <w:tcW w:w="7592" w:type="dxa"/>
            <w:tcBorders>
              <w:tl2br w:val="nil"/>
              <w:tr2bl w:val="nil"/>
            </w:tcBorders>
            <w:shd w:val="clear" w:color="auto" w:fill="AFBFCF"/>
          </w:tcPr>
          <w:p w14:paraId="5CD5372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外国民航器在我国境内发生飞行事故，并造成人员死亡。</w:t>
            </w:r>
          </w:p>
        </w:tc>
      </w:tr>
      <w:tr w14:paraId="0026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exact"/>
        </w:trPr>
        <w:tc>
          <w:tcPr>
            <w:tcW w:w="1835" w:type="dxa"/>
            <w:vMerge w:val="continue"/>
            <w:tcBorders>
              <w:tl2br w:val="nil"/>
              <w:tr2bl w:val="nil"/>
            </w:tcBorders>
            <w:shd w:val="clear" w:color="auto" w:fill="AFBFCF"/>
          </w:tcPr>
          <w:p w14:paraId="7143ED4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p>
        </w:tc>
        <w:tc>
          <w:tcPr>
            <w:tcW w:w="7592" w:type="dxa"/>
            <w:tcBorders>
              <w:tl2br w:val="nil"/>
              <w:tr2bl w:val="nil"/>
            </w:tcBorders>
            <w:shd w:val="clear" w:color="auto" w:fill="AFBFCF"/>
          </w:tcPr>
          <w:p w14:paraId="7BE5225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我国民航器在境外发生飞行事故，并造成人员死亡。</w:t>
            </w:r>
          </w:p>
        </w:tc>
      </w:tr>
      <w:tr w14:paraId="4A29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exact"/>
        </w:trPr>
        <w:tc>
          <w:tcPr>
            <w:tcW w:w="1835" w:type="dxa"/>
            <w:tcBorders>
              <w:tl2br w:val="nil"/>
              <w:tr2bl w:val="nil"/>
            </w:tcBorders>
            <w:shd w:val="clear" w:color="auto" w:fill="AFBFCF"/>
          </w:tcPr>
          <w:p w14:paraId="43DCB33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重大</w:t>
            </w:r>
          </w:p>
          <w:p w14:paraId="6DA9209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（二级响应）</w:t>
            </w:r>
          </w:p>
        </w:tc>
        <w:tc>
          <w:tcPr>
            <w:tcW w:w="7592" w:type="dxa"/>
            <w:tcBorders>
              <w:tl2br w:val="nil"/>
              <w:tr2bl w:val="nil"/>
            </w:tcBorders>
            <w:shd w:val="clear" w:color="auto" w:fill="AFBFCF"/>
          </w:tcPr>
          <w:p w14:paraId="431C709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发生严重的不正常紧急事件，可能导致重大以上飞行事故，或可能对重要地面设施、环境保护、公众安全、社会稳定等造成重大影响或损失。</w:t>
            </w:r>
          </w:p>
        </w:tc>
      </w:tr>
      <w:tr w14:paraId="04FF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exact"/>
        </w:trPr>
        <w:tc>
          <w:tcPr>
            <w:tcW w:w="1835" w:type="dxa"/>
            <w:tcBorders>
              <w:tl2br w:val="nil"/>
              <w:tr2bl w:val="nil"/>
            </w:tcBorders>
            <w:shd w:val="clear" w:color="auto" w:fill="AFBFCF"/>
          </w:tcPr>
          <w:p w14:paraId="63FD66D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较大</w:t>
            </w:r>
          </w:p>
          <w:p w14:paraId="661EF94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（三级响应）</w:t>
            </w:r>
          </w:p>
        </w:tc>
        <w:tc>
          <w:tcPr>
            <w:tcW w:w="7592" w:type="dxa"/>
            <w:tcBorders>
              <w:tl2br w:val="nil"/>
              <w:tr2bl w:val="nil"/>
            </w:tcBorders>
            <w:shd w:val="clear" w:color="auto" w:fill="AFBFCF"/>
          </w:tcPr>
          <w:p w14:paraId="33FA2A4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发生严重的不正常紧急事件，可能导致较大以上飞行事故，或可能对地面设施、环境保护、公众安全、社会稳定等造成较大影响或损失。</w:t>
            </w:r>
          </w:p>
        </w:tc>
      </w:tr>
      <w:tr w14:paraId="3E90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trPr>
        <w:tc>
          <w:tcPr>
            <w:tcW w:w="1835" w:type="dxa"/>
            <w:tcBorders>
              <w:tl2br w:val="nil"/>
              <w:tr2bl w:val="nil"/>
            </w:tcBorders>
            <w:shd w:val="clear" w:color="auto" w:fill="AFBFCF"/>
          </w:tcPr>
          <w:p w14:paraId="1B3DB5D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一般</w:t>
            </w:r>
          </w:p>
          <w:p w14:paraId="1AA7E6E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（四级响应）</w:t>
            </w:r>
          </w:p>
        </w:tc>
        <w:tc>
          <w:tcPr>
            <w:tcW w:w="7592" w:type="dxa"/>
            <w:tcBorders>
              <w:tl2br w:val="nil"/>
              <w:tr2bl w:val="nil"/>
            </w:tcBorders>
            <w:shd w:val="clear" w:color="auto" w:fill="AFBFCF"/>
          </w:tcPr>
          <w:p w14:paraId="496FE65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发生严重的不正常紧急事件，可能导致一般以上飞行事故，或可能对地面设施、环境保护、公众安全、社会稳定等造成一定影响或损失。</w:t>
            </w:r>
          </w:p>
        </w:tc>
      </w:tr>
    </w:tbl>
    <w:p w14:paraId="47A07C9A">
      <w:pPr>
        <w:widowControl w:val="0"/>
        <w:kinsoku w:val="0"/>
        <w:overflowPunct w:val="0"/>
        <w:spacing w:before="49" w:line="600" w:lineRule="exact"/>
        <w:ind w:left="0" w:leftChars="0" w:firstLine="480" w:firstLineChars="200"/>
        <w:jc w:val="both"/>
        <w:outlineLvl w:val="9"/>
        <w:rPr>
          <w:rFonts w:hint="eastAsia" w:ascii="宋体" w:hAnsi="宋体" w:eastAsia="宋体" w:cs="Times New Roman"/>
          <w:kern w:val="2"/>
          <w:sz w:val="24"/>
          <w:szCs w:val="32"/>
          <w:lang w:val="en-US" w:eastAsia="zh-CN" w:bidi="ar-SA"/>
        </w:rPr>
      </w:pP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注：①依据《国家处置民用航空器飞行事故应急预案》（国办函</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2005</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41号） 制表。②重要地面设施是指重要铁路、公路、水路、民航等交通设施、居民区、油库、电厂/站、化工厂、核设施、水利设施等。〕</w:t>
      </w:r>
    </w:p>
    <w:p w14:paraId="490980F2">
      <w:pPr>
        <w:numPr>
          <w:ilvl w:val="0"/>
          <w:numId w:val="0"/>
        </w:numPr>
        <w:kinsoku w:val="0"/>
        <w:overflowPunct w:val="0"/>
        <w:spacing w:before="1" w:line="600" w:lineRule="exact"/>
        <w:ind w:firstLine="643" w:firstLineChars="200"/>
        <w:outlineLvl w:val="9"/>
        <w:rPr>
          <w:rFonts w:hint="eastAsia" w:ascii="仿宋_GB2312" w:hAnsi="仿宋_GB2312" w:eastAsia="仿宋_GB2312" w:cs="Times New Roman"/>
          <w:b/>
          <w:bCs/>
          <w:sz w:val="32"/>
          <w:szCs w:val="32"/>
          <w:lang w:eastAsia="zh-CN"/>
        </w:rPr>
      </w:pPr>
      <w:bookmarkStart w:id="189" w:name="_Toc16130_WPSOffice_Level2"/>
      <w:r>
        <w:rPr>
          <w:rFonts w:hint="eastAsia" w:ascii="仿宋_GB2312" w:hAnsi="仿宋_GB2312" w:eastAsia="仿宋_GB2312" w:cs="Times New Roman"/>
          <w:b/>
          <w:bCs/>
          <w:sz w:val="32"/>
          <w:szCs w:val="32"/>
          <w:lang w:eastAsia="zh-CN"/>
        </w:rPr>
        <w:t>（三）大面积停电事件</w:t>
      </w:r>
      <w:bookmarkEnd w:id="189"/>
    </w:p>
    <w:tbl>
      <w:tblPr>
        <w:tblStyle w:val="16"/>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9"/>
        <w:gridCol w:w="2325"/>
        <w:gridCol w:w="2126"/>
        <w:gridCol w:w="1890"/>
        <w:gridCol w:w="1920"/>
      </w:tblGrid>
      <w:tr w14:paraId="074E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exact"/>
          <w:jc w:val="center"/>
        </w:trPr>
        <w:tc>
          <w:tcPr>
            <w:tcW w:w="1199" w:type="dxa"/>
            <w:tcBorders>
              <w:top w:val="single" w:color="auto" w:sz="4" w:space="0"/>
              <w:left w:val="single" w:color="auto" w:sz="4" w:space="0"/>
              <w:bottom w:val="single" w:color="auto" w:sz="4" w:space="0"/>
              <w:right w:val="single" w:color="auto" w:sz="4" w:space="0"/>
              <w:tl2br w:val="nil"/>
              <w:tr2bl w:val="nil"/>
            </w:tcBorders>
            <w:shd w:val="clear" w:color="auto" w:fill="CFDEF3"/>
            <w:vAlign w:val="center"/>
          </w:tcPr>
          <w:p w14:paraId="0DCF6A4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大面积 停电事件</w:t>
            </w:r>
          </w:p>
        </w:tc>
        <w:tc>
          <w:tcPr>
            <w:tcW w:w="2325" w:type="dxa"/>
            <w:tcBorders>
              <w:top w:val="single" w:color="auto" w:sz="4" w:space="0"/>
              <w:left w:val="single" w:color="auto" w:sz="4" w:space="0"/>
              <w:bottom w:val="single" w:color="auto" w:sz="4" w:space="0"/>
              <w:right w:val="single" w:color="auto" w:sz="4" w:space="0"/>
              <w:tl2br w:val="nil"/>
              <w:tr2bl w:val="nil"/>
            </w:tcBorders>
            <w:shd w:val="clear" w:color="auto" w:fill="CFDEF3"/>
            <w:vAlign w:val="center"/>
          </w:tcPr>
          <w:p w14:paraId="49964D0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省、自治区电网</w:t>
            </w:r>
          </w:p>
          <w:p w14:paraId="0B5E248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（减供负荷）</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CFDEF3"/>
            <w:vAlign w:val="center"/>
          </w:tcPr>
          <w:p w14:paraId="7369C08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省会城市</w:t>
            </w:r>
          </w:p>
          <w:p w14:paraId="02B85A8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（省</w:t>
            </w:r>
            <w:r>
              <w:rPr>
                <w:rFonts w:hint="default" w:ascii="Calibri" w:hAnsi="Calibri" w:eastAsia="Calibri" w:cs="Times New Roman"/>
                <w:b/>
                <w:color w:val="002060"/>
                <w:kern w:val="2"/>
                <w:sz w:val="24"/>
                <w:szCs w:val="32"/>
                <w:lang w:val="en-US" w:eastAsia="zh-CN" w:bidi="ar-SA"/>
              </w:rPr>
              <w:t>/</w:t>
            </w:r>
            <w:r>
              <w:rPr>
                <w:rFonts w:hint="eastAsia" w:ascii="宋体" w:hAnsi="宋体" w:eastAsia="宋体" w:cs="Times New Roman"/>
                <w:b/>
                <w:color w:val="002060"/>
                <w:kern w:val="2"/>
                <w:sz w:val="24"/>
                <w:szCs w:val="32"/>
                <w:lang w:val="en-US" w:eastAsia="zh-CN" w:bidi="ar-SA"/>
              </w:rPr>
              <w:t>区）电网</w:t>
            </w:r>
          </w:p>
          <w:p w14:paraId="7599BFE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（减供负荷）</w:t>
            </w:r>
          </w:p>
        </w:tc>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CFDEF3"/>
            <w:vAlign w:val="center"/>
          </w:tcPr>
          <w:p w14:paraId="6DA858E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color w:val="002060"/>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地级市</w:t>
            </w:r>
          </w:p>
          <w:p w14:paraId="172A991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w:t>
            </w:r>
            <w:r>
              <w:rPr>
                <w:rFonts w:hint="eastAsia" w:ascii="宋体" w:hAnsi="宋体" w:eastAsia="宋体" w:cs="Times New Roman"/>
                <w:b/>
                <w:color w:val="002060"/>
                <w:kern w:val="2"/>
                <w:sz w:val="24"/>
                <w:szCs w:val="32"/>
                <w:highlight w:val="none"/>
                <w:lang w:val="en-US" w:eastAsia="zh-CN" w:bidi="ar-SA"/>
              </w:rPr>
              <w:t>设区</w:t>
            </w:r>
            <w:r>
              <w:rPr>
                <w:rFonts w:hint="eastAsia" w:ascii="宋体" w:hAnsi="宋体" w:eastAsia="宋体" w:cs="Times New Roman"/>
                <w:b/>
                <w:color w:val="002060"/>
                <w:kern w:val="2"/>
                <w:sz w:val="24"/>
                <w:szCs w:val="32"/>
                <w:lang w:val="en-US" w:eastAsia="zh-CN" w:bidi="ar-SA"/>
              </w:rPr>
              <w:t>）电网（减供负荷）</w:t>
            </w:r>
          </w:p>
        </w:tc>
        <w:tc>
          <w:tcPr>
            <w:tcW w:w="1920" w:type="dxa"/>
            <w:tcBorders>
              <w:top w:val="single" w:color="auto" w:sz="4" w:space="0"/>
              <w:left w:val="single" w:color="auto" w:sz="4" w:space="0"/>
              <w:bottom w:val="single" w:color="auto" w:sz="4" w:space="0"/>
              <w:right w:val="single" w:color="auto" w:sz="4" w:space="0"/>
              <w:tl2br w:val="nil"/>
              <w:tr2bl w:val="nil"/>
            </w:tcBorders>
            <w:shd w:val="clear" w:color="auto" w:fill="CFDEF3"/>
            <w:vAlign w:val="center"/>
          </w:tcPr>
          <w:p w14:paraId="21EDE83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县级市电网</w:t>
            </w:r>
          </w:p>
          <w:p w14:paraId="7376941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002060"/>
                <w:kern w:val="2"/>
                <w:sz w:val="24"/>
                <w:szCs w:val="32"/>
                <w:lang w:val="en-US" w:eastAsia="zh-CN" w:bidi="ar-SA"/>
              </w:rPr>
              <w:t>（减供负荷）</w:t>
            </w:r>
          </w:p>
        </w:tc>
      </w:tr>
      <w:tr w14:paraId="211E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exact"/>
          <w:jc w:val="center"/>
        </w:trPr>
        <w:tc>
          <w:tcPr>
            <w:tcW w:w="1199" w:type="dxa"/>
            <w:tcBorders>
              <w:top w:val="single" w:color="auto" w:sz="4" w:space="0"/>
              <w:left w:val="single" w:color="auto" w:sz="4" w:space="0"/>
              <w:bottom w:val="single" w:color="auto" w:sz="4" w:space="0"/>
              <w:right w:val="single" w:color="auto" w:sz="4" w:space="0"/>
              <w:tl2br w:val="nil"/>
              <w:tr2bl w:val="nil"/>
            </w:tcBorders>
            <w:shd w:val="clear" w:color="auto" w:fill="EDF3FA"/>
            <w:vAlign w:val="center"/>
          </w:tcPr>
          <w:p w14:paraId="291752A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楷体_GB2312" w:hAnsi="楷体_GB2312" w:eastAsia="楷体_GB2312" w:cs="Times New Roman"/>
                <w:b/>
                <w:color w:val="475F77"/>
                <w:kern w:val="2"/>
                <w:sz w:val="24"/>
                <w:szCs w:val="32"/>
                <w:lang w:val="en-US" w:eastAsia="zh-CN" w:bidi="ar-SA"/>
              </w:rPr>
              <w:t>特大</w:t>
            </w:r>
          </w:p>
        </w:tc>
        <w:tc>
          <w:tcPr>
            <w:tcW w:w="2325"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677DE97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负荷≥20000兆瓦：30%以上；负荷5000—20000兆瓦：40%以上。</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74CE2B3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负荷≥2000兆瓦：减负60%以上；或70%以上供电用户停电。</w:t>
            </w:r>
          </w:p>
        </w:tc>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EDF3FA"/>
            <w:vAlign w:val="center"/>
          </w:tcPr>
          <w:p w14:paraId="2243F2C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left"/>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c>
          <w:tcPr>
            <w:tcW w:w="1920" w:type="dxa"/>
            <w:tcBorders>
              <w:top w:val="single" w:color="auto" w:sz="4" w:space="0"/>
              <w:left w:val="single" w:color="auto" w:sz="4" w:space="0"/>
              <w:bottom w:val="single" w:color="auto" w:sz="4" w:space="0"/>
              <w:right w:val="single" w:color="auto" w:sz="4" w:space="0"/>
              <w:tl2br w:val="nil"/>
              <w:tr2bl w:val="nil"/>
            </w:tcBorders>
            <w:shd w:val="clear" w:color="auto" w:fill="EDF3FA"/>
            <w:vAlign w:val="center"/>
          </w:tcPr>
          <w:p w14:paraId="63A9C43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left"/>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r w14:paraId="4F73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1199" w:type="dxa"/>
            <w:tcBorders>
              <w:top w:val="single" w:color="auto" w:sz="4" w:space="0"/>
              <w:left w:val="single" w:color="auto" w:sz="4" w:space="0"/>
              <w:bottom w:val="single" w:color="auto" w:sz="4" w:space="0"/>
              <w:right w:val="single" w:color="auto" w:sz="4" w:space="0"/>
              <w:tl2br w:val="nil"/>
              <w:tr2bl w:val="nil"/>
            </w:tcBorders>
            <w:shd w:val="clear" w:color="auto" w:fill="F6F9FD"/>
            <w:vAlign w:val="center"/>
          </w:tcPr>
          <w:p w14:paraId="361E257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楷体_GB2312" w:hAnsi="楷体_GB2312" w:eastAsia="楷体_GB2312" w:cs="Times New Roman"/>
                <w:b/>
                <w:color w:val="475F77"/>
                <w:kern w:val="2"/>
                <w:sz w:val="24"/>
                <w:szCs w:val="32"/>
                <w:lang w:val="en-US" w:eastAsia="zh-CN" w:bidi="ar-SA"/>
              </w:rPr>
              <w:t>重大</w:t>
            </w:r>
          </w:p>
        </w:tc>
        <w:tc>
          <w:tcPr>
            <w:tcW w:w="2325"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79C8EEF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负荷≥20000兆瓦：13%—30%；</w:t>
            </w:r>
          </w:p>
          <w:p w14:paraId="543B70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负荷5000—20000 兆瓦：16%—40%；负荷1000—5000兆瓦：50%以上。</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288B821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负荷≥2000兆瓦：40—60%，或50—70%供电用户停电；负荷＜2000兆瓦：减负40%以上，或50%以上供电用户停电。</w:t>
            </w:r>
          </w:p>
        </w:tc>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076E9A4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负荷≥600兆瓦：减负60%以上，或70%以上供</w:t>
            </w:r>
          </w:p>
          <w:p w14:paraId="30F082C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电用户停电。</w:t>
            </w:r>
          </w:p>
        </w:tc>
        <w:tc>
          <w:tcPr>
            <w:tcW w:w="1920"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1AA324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542E215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3E28FDC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7BECEF5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r>
      <w:tr w14:paraId="7E694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3" w:hRule="exact"/>
          <w:jc w:val="center"/>
        </w:trPr>
        <w:tc>
          <w:tcPr>
            <w:tcW w:w="1199" w:type="dxa"/>
            <w:tcBorders>
              <w:top w:val="single" w:color="auto" w:sz="4" w:space="0"/>
              <w:left w:val="single" w:color="auto" w:sz="4" w:space="0"/>
              <w:bottom w:val="single" w:color="auto" w:sz="4" w:space="0"/>
              <w:right w:val="single" w:color="auto" w:sz="4" w:space="0"/>
              <w:tl2br w:val="nil"/>
              <w:tr2bl w:val="nil"/>
            </w:tcBorders>
            <w:shd w:val="clear" w:color="auto" w:fill="EDF3FA"/>
            <w:vAlign w:val="center"/>
          </w:tcPr>
          <w:p w14:paraId="66EDF9B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楷体_GB2312" w:hAnsi="楷体_GB2312" w:eastAsia="楷体_GB2312" w:cs="Times New Roman"/>
                <w:b/>
                <w:color w:val="475F77"/>
                <w:kern w:val="2"/>
                <w:sz w:val="24"/>
                <w:szCs w:val="32"/>
                <w:lang w:val="en-US" w:eastAsia="zh-CN" w:bidi="ar-SA"/>
              </w:rPr>
              <w:t>较大</w:t>
            </w:r>
          </w:p>
        </w:tc>
        <w:tc>
          <w:tcPr>
            <w:tcW w:w="2325"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71B7B94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负荷≥20000 兆瓦：10%—13%；</w:t>
            </w:r>
          </w:p>
          <w:p w14:paraId="1724A7A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负荷5000—20000 兆瓦：减负12%—16%；</w:t>
            </w:r>
          </w:p>
          <w:p w14:paraId="07CB0A6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负荷1000—5000 兆瓦：20%—50%；负荷＜1000兆瓦：40% 以上。</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56B3833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减供负荷20—40%，或30—50%供电用户停电。</w:t>
            </w:r>
          </w:p>
        </w:tc>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07A0044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负荷≥600兆瓦：减负40—60%，或50—70%供电用户停电；</w:t>
            </w:r>
          </w:p>
          <w:p w14:paraId="261E5F3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负荷＜600兆瓦：减负40%以上，或50%以上供电用户停电。</w:t>
            </w:r>
          </w:p>
        </w:tc>
        <w:tc>
          <w:tcPr>
            <w:tcW w:w="1920" w:type="dxa"/>
            <w:tcBorders>
              <w:top w:val="single" w:color="auto" w:sz="4" w:space="0"/>
              <w:left w:val="single" w:color="auto" w:sz="4" w:space="0"/>
              <w:bottom w:val="single" w:color="auto" w:sz="4" w:space="0"/>
              <w:right w:val="single" w:color="auto" w:sz="4" w:space="0"/>
              <w:tl2br w:val="nil"/>
              <w:tr2bl w:val="nil"/>
            </w:tcBorders>
            <w:shd w:val="clear" w:color="auto" w:fill="EDF3FA"/>
          </w:tcPr>
          <w:p w14:paraId="44B988A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负荷≥150兆瓦：减供负荷60%以上，或70%以上供电用户停电。</w:t>
            </w:r>
          </w:p>
        </w:tc>
      </w:tr>
      <w:tr w14:paraId="2F38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3" w:hRule="exact"/>
          <w:jc w:val="center"/>
        </w:trPr>
        <w:tc>
          <w:tcPr>
            <w:tcW w:w="1199" w:type="dxa"/>
            <w:tcBorders>
              <w:top w:val="single" w:color="auto" w:sz="4" w:space="0"/>
              <w:left w:val="single" w:color="auto" w:sz="4" w:space="0"/>
              <w:bottom w:val="single" w:color="auto" w:sz="4" w:space="0"/>
              <w:right w:val="single" w:color="auto" w:sz="4" w:space="0"/>
              <w:tl2br w:val="nil"/>
              <w:tr2bl w:val="nil"/>
            </w:tcBorders>
            <w:shd w:val="clear" w:color="auto" w:fill="F6F9FD"/>
            <w:vAlign w:val="center"/>
          </w:tcPr>
          <w:p w14:paraId="1E8294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楷体_GB2312" w:hAnsi="楷体_GB2312" w:eastAsia="楷体_GB2312" w:cs="Times New Roman"/>
                <w:b/>
                <w:color w:val="475F77"/>
                <w:kern w:val="2"/>
                <w:sz w:val="24"/>
                <w:szCs w:val="32"/>
                <w:lang w:val="en-US" w:eastAsia="zh-CN" w:bidi="ar-SA"/>
              </w:rPr>
              <w:t>一般</w:t>
            </w:r>
          </w:p>
        </w:tc>
        <w:tc>
          <w:tcPr>
            <w:tcW w:w="2325"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35CF42F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负荷≥20000兆瓦：5%—10%；</w:t>
            </w:r>
          </w:p>
          <w:p w14:paraId="21E21EB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负荷5000—20000 兆瓦：6%—12%；</w:t>
            </w:r>
          </w:p>
          <w:p w14:paraId="51BB1FC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负荷1000—5000兆瓦：10%—20%；负荷＜1000兆瓦：25%—40%。</w:t>
            </w:r>
          </w:p>
        </w:tc>
        <w:tc>
          <w:tcPr>
            <w:tcW w:w="2126"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531E5E2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减供负荷10—20%，或15—30%供电用户停电。</w:t>
            </w:r>
          </w:p>
        </w:tc>
        <w:tc>
          <w:tcPr>
            <w:tcW w:w="1890"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1A5E8A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减供负荷20—40%，或30—50%供电用户停电。</w:t>
            </w:r>
          </w:p>
        </w:tc>
        <w:tc>
          <w:tcPr>
            <w:tcW w:w="1920" w:type="dxa"/>
            <w:tcBorders>
              <w:top w:val="single" w:color="auto" w:sz="4" w:space="0"/>
              <w:left w:val="single" w:color="auto" w:sz="4" w:space="0"/>
              <w:bottom w:val="single" w:color="auto" w:sz="4" w:space="0"/>
              <w:right w:val="single" w:color="auto" w:sz="4" w:space="0"/>
              <w:tl2br w:val="nil"/>
              <w:tr2bl w:val="nil"/>
            </w:tcBorders>
            <w:shd w:val="clear" w:color="auto" w:fill="F6F9FD"/>
          </w:tcPr>
          <w:p w14:paraId="0C8480D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负荷≥150兆瓦：减负40—60%，或50—70%供电用户停电；</w:t>
            </w:r>
          </w:p>
          <w:p w14:paraId="1CE436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负荷＜150兆瓦：减负40% 以上，或50%以上供电用户停电。</w:t>
            </w:r>
          </w:p>
        </w:tc>
      </w:tr>
    </w:tbl>
    <w:p w14:paraId="3F280209">
      <w:pPr>
        <w:widowControl w:val="0"/>
        <w:kinsoku w:val="0"/>
        <w:overflowPunct w:val="0"/>
        <w:spacing w:before="0" w:line="400" w:lineRule="exact"/>
        <w:ind w:left="0" w:firstLine="480" w:firstLineChars="200"/>
        <w:jc w:val="both"/>
        <w:outlineLvl w:val="9"/>
        <w:rPr>
          <w:rFonts w:hint="eastAsia" w:ascii="宋体" w:hAnsi="宋体" w:eastAsia="宋体" w:cs="Times New Roman"/>
          <w:kern w:val="2"/>
          <w:sz w:val="24"/>
          <w:szCs w:val="32"/>
          <w:lang w:val="en-US" w:eastAsia="zh-CN" w:bidi="ar-SA"/>
        </w:rPr>
      </w:pPr>
    </w:p>
    <w:p w14:paraId="1CEB93E4">
      <w:pPr>
        <w:kinsoku w:val="0"/>
        <w:overflowPunct w:val="0"/>
        <w:spacing w:before="0" w:line="400" w:lineRule="exact"/>
        <w:ind w:left="0" w:firstLine="480" w:firstLineChars="200"/>
        <w:outlineLvl w:val="9"/>
        <w:rPr>
          <w:rFonts w:hint="eastAsia"/>
          <w:sz w:val="24"/>
        </w:rPr>
        <w:sectPr>
          <w:pgSz w:w="11910" w:h="16840"/>
          <w:pgMar w:top="1600" w:right="1440" w:bottom="1640" w:left="1420" w:header="0" w:footer="1459" w:gutter="0"/>
          <w:lnNumType w:countBy="0" w:distance="360"/>
          <w:pgNumType w:fmt="numberInDash"/>
          <w:cols w:space="720" w:num="1"/>
        </w:sectPr>
      </w:pPr>
      <w:r>
        <w:rPr>
          <w:rFonts w:hint="eastAsia" w:ascii="宋体" w:hAnsi="宋体" w:eastAsia="宋体" w:cs="Times New Roman"/>
          <w:kern w:val="2"/>
          <w:sz w:val="24"/>
          <w:szCs w:val="32"/>
          <w:lang w:val="en-US" w:eastAsia="zh-CN" w:bidi="ar-SA"/>
        </w:rPr>
        <w:t>〔注：依据《国家面积停电事件应急预案》（国办函〔2015〕134号）制表。〕</w:t>
      </w:r>
    </w:p>
    <w:p w14:paraId="75B2D9E3">
      <w:pPr>
        <w:numPr>
          <w:ilvl w:val="0"/>
          <w:numId w:val="0"/>
        </w:numPr>
        <w:kinsoku w:val="0"/>
        <w:overflowPunct w:val="0"/>
        <w:spacing w:before="1" w:line="600" w:lineRule="exact"/>
        <w:ind w:firstLine="643" w:firstLineChars="200"/>
        <w:outlineLvl w:val="9"/>
        <w:rPr>
          <w:rFonts w:hint="eastAsia" w:ascii="Times New Roman" w:hAnsi="Times New Roman" w:eastAsia="仿宋_GB2312" w:cs="Times New Roman"/>
          <w:b/>
          <w:bCs/>
          <w:sz w:val="16"/>
          <w:szCs w:val="32"/>
        </w:rPr>
      </w:pPr>
      <w:bookmarkStart w:id="190" w:name="_Toc22844_WPSOffice_Level2"/>
      <w:r>
        <w:rPr>
          <w:rFonts w:hint="eastAsia" w:ascii="仿宋_GB2312" w:hAnsi="仿宋_GB2312" w:eastAsia="仿宋_GB2312" w:cs="Times New Roman"/>
          <w:b/>
          <w:bCs/>
          <w:sz w:val="32"/>
          <w:szCs w:val="32"/>
          <w:lang w:eastAsia="zh-CN"/>
        </w:rPr>
        <w:t>（四）突发环境事件</w:t>
      </w:r>
      <w:bookmarkEnd w:id="190"/>
    </w:p>
    <w:tbl>
      <w:tblPr>
        <w:tblStyle w:val="16"/>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857"/>
        <w:gridCol w:w="975"/>
        <w:gridCol w:w="900"/>
        <w:gridCol w:w="900"/>
        <w:gridCol w:w="1382"/>
        <w:gridCol w:w="2274"/>
        <w:gridCol w:w="1395"/>
      </w:tblGrid>
      <w:tr w14:paraId="1291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exact"/>
          <w:jc w:val="center"/>
        </w:trPr>
        <w:tc>
          <w:tcPr>
            <w:tcW w:w="933" w:type="dxa"/>
            <w:vMerge w:val="restart"/>
            <w:tcBorders>
              <w:tl2br w:val="nil"/>
              <w:tr2bl w:val="nil"/>
            </w:tcBorders>
            <w:shd w:val="clear" w:color="auto" w:fill="75A0DC"/>
            <w:vAlign w:val="center"/>
          </w:tcPr>
          <w:p w14:paraId="557EDDD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突发 环境 事件</w:t>
            </w:r>
          </w:p>
        </w:tc>
        <w:tc>
          <w:tcPr>
            <w:tcW w:w="2732" w:type="dxa"/>
            <w:gridSpan w:val="3"/>
            <w:tcBorders>
              <w:tl2br w:val="nil"/>
              <w:tr2bl w:val="nil"/>
            </w:tcBorders>
            <w:shd w:val="clear" w:color="auto" w:fill="75A0DC"/>
            <w:vAlign w:val="center"/>
          </w:tcPr>
          <w:p w14:paraId="060E38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造成生命财产损失</w:t>
            </w:r>
          </w:p>
        </w:tc>
        <w:tc>
          <w:tcPr>
            <w:tcW w:w="5951" w:type="dxa"/>
            <w:gridSpan w:val="4"/>
            <w:tcBorders>
              <w:tl2br w:val="nil"/>
              <w:tr2bl w:val="nil"/>
            </w:tcBorders>
            <w:shd w:val="clear" w:color="auto" w:fill="75A0DC"/>
            <w:vAlign w:val="center"/>
          </w:tcPr>
          <w:p w14:paraId="373A0FA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4"/>
                <w:szCs w:val="32"/>
                <w:lang w:val="en-US" w:eastAsia="zh-CN" w:bidi="ar-SA"/>
              </w:rPr>
              <w:t>因环境污染事件造成若干后果</w:t>
            </w:r>
          </w:p>
        </w:tc>
      </w:tr>
      <w:tr w14:paraId="248D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exact"/>
          <w:jc w:val="center"/>
        </w:trPr>
        <w:tc>
          <w:tcPr>
            <w:tcW w:w="933" w:type="dxa"/>
            <w:vMerge w:val="continue"/>
            <w:tcBorders>
              <w:tl2br w:val="nil"/>
              <w:tr2bl w:val="nil"/>
            </w:tcBorders>
            <w:shd w:val="clear" w:color="auto" w:fill="75A0DC"/>
            <w:vAlign w:val="center"/>
          </w:tcPr>
          <w:p w14:paraId="5289CFC2">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sz w:val="24"/>
                <w:szCs w:val="32"/>
              </w:rPr>
            </w:pPr>
          </w:p>
        </w:tc>
        <w:tc>
          <w:tcPr>
            <w:tcW w:w="857" w:type="dxa"/>
            <w:tcBorders>
              <w:tl2br w:val="nil"/>
              <w:tr2bl w:val="nil"/>
            </w:tcBorders>
            <w:shd w:val="clear" w:color="auto" w:fill="75A0DC"/>
            <w:vAlign w:val="center"/>
          </w:tcPr>
          <w:p w14:paraId="557C41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死亡 人数</w:t>
            </w:r>
          </w:p>
        </w:tc>
        <w:tc>
          <w:tcPr>
            <w:tcW w:w="975" w:type="dxa"/>
            <w:tcBorders>
              <w:tl2br w:val="nil"/>
              <w:tr2bl w:val="nil"/>
            </w:tcBorders>
            <w:shd w:val="clear" w:color="auto" w:fill="75A0DC"/>
            <w:vAlign w:val="center"/>
          </w:tcPr>
          <w:p w14:paraId="5769BB9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中毒       (重伤)  人数</w:t>
            </w:r>
          </w:p>
        </w:tc>
        <w:tc>
          <w:tcPr>
            <w:tcW w:w="900" w:type="dxa"/>
            <w:tcBorders>
              <w:tl2br w:val="nil"/>
              <w:tr2bl w:val="nil"/>
            </w:tcBorders>
            <w:shd w:val="clear" w:color="auto" w:fill="75A0DC"/>
            <w:vAlign w:val="center"/>
          </w:tcPr>
          <w:p w14:paraId="757B30E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color w:val="000000"/>
                <w:kern w:val="2"/>
                <w:sz w:val="21"/>
                <w:szCs w:val="32"/>
                <w:lang w:val="en-US" w:eastAsia="zh-CN" w:bidi="ar-SA"/>
              </w:rPr>
            </w:pPr>
            <w:r>
              <w:rPr>
                <w:rFonts w:hint="eastAsia" w:ascii="宋体" w:hAnsi="宋体" w:eastAsia="宋体" w:cs="Times New Roman"/>
                <w:b/>
                <w:color w:val="FFFFFF"/>
                <w:kern w:val="2"/>
                <w:sz w:val="21"/>
                <w:szCs w:val="32"/>
                <w:lang w:val="en-US" w:eastAsia="zh-CN" w:bidi="ar-SA"/>
              </w:rPr>
              <w:t>直接经 济损失</w:t>
            </w:r>
          </w:p>
          <w:p w14:paraId="709E09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（元）</w:t>
            </w:r>
          </w:p>
        </w:tc>
        <w:tc>
          <w:tcPr>
            <w:tcW w:w="900" w:type="dxa"/>
            <w:tcBorders>
              <w:tl2br w:val="nil"/>
              <w:tr2bl w:val="nil"/>
            </w:tcBorders>
            <w:shd w:val="clear" w:color="auto" w:fill="75A0DC"/>
            <w:vAlign w:val="center"/>
          </w:tcPr>
          <w:p w14:paraId="6D2CD41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疏散 转移 群众</w:t>
            </w:r>
          </w:p>
        </w:tc>
        <w:tc>
          <w:tcPr>
            <w:tcW w:w="1382" w:type="dxa"/>
            <w:tcBorders>
              <w:tl2br w:val="nil"/>
              <w:tr2bl w:val="nil"/>
            </w:tcBorders>
            <w:shd w:val="clear" w:color="auto" w:fill="75A0DC"/>
            <w:vAlign w:val="center"/>
          </w:tcPr>
          <w:p w14:paraId="7E371A0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造成集中式饮用水水源地取水中断</w:t>
            </w:r>
          </w:p>
        </w:tc>
        <w:tc>
          <w:tcPr>
            <w:tcW w:w="2274" w:type="dxa"/>
            <w:tcBorders>
              <w:tl2br w:val="nil"/>
              <w:tr2bl w:val="nil"/>
            </w:tcBorders>
            <w:shd w:val="clear" w:color="auto" w:fill="75A0DC"/>
            <w:vAlign w:val="center"/>
          </w:tcPr>
          <w:p w14:paraId="7CDDA97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影响区域生态功能，或破坏国家 重点保护物种</w:t>
            </w:r>
          </w:p>
        </w:tc>
        <w:tc>
          <w:tcPr>
            <w:tcW w:w="1395" w:type="dxa"/>
            <w:tcBorders>
              <w:tl2br w:val="nil"/>
              <w:tr2bl w:val="nil"/>
            </w:tcBorders>
            <w:shd w:val="clear" w:color="auto" w:fill="75A0DC"/>
            <w:vAlign w:val="center"/>
          </w:tcPr>
          <w:p w14:paraId="0909ABE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color w:val="FFFFFF"/>
                <w:kern w:val="2"/>
                <w:sz w:val="21"/>
                <w:szCs w:val="32"/>
                <w:lang w:val="en-US" w:eastAsia="zh-CN" w:bidi="ar-SA"/>
              </w:rPr>
              <w:t>社会影响</w:t>
            </w:r>
          </w:p>
        </w:tc>
      </w:tr>
      <w:tr w14:paraId="7AF1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exact"/>
          <w:jc w:val="center"/>
        </w:trPr>
        <w:tc>
          <w:tcPr>
            <w:tcW w:w="933" w:type="dxa"/>
            <w:tcBorders>
              <w:tl2br w:val="nil"/>
              <w:tr2bl w:val="nil"/>
            </w:tcBorders>
            <w:shd w:val="clear" w:color="auto" w:fill="D7DFE7"/>
            <w:vAlign w:val="center"/>
          </w:tcPr>
          <w:p w14:paraId="592CD5F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仿宋_GB2312" w:hAnsi="仿宋_GB2312" w:eastAsia="仿宋_GB2312" w:cs="Times New Roman"/>
                <w:b/>
                <w:kern w:val="2"/>
                <w:sz w:val="25"/>
                <w:szCs w:val="32"/>
                <w:lang w:val="en-US" w:eastAsia="zh-CN" w:bidi="ar-SA"/>
              </w:rPr>
            </w:pPr>
          </w:p>
          <w:p w14:paraId="3B4048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1"/>
                <w:szCs w:val="32"/>
                <w:lang w:val="en-US" w:eastAsia="zh-CN" w:bidi="ar-SA"/>
              </w:rPr>
              <w:t>特别  重大</w:t>
            </w:r>
          </w:p>
        </w:tc>
        <w:tc>
          <w:tcPr>
            <w:tcW w:w="857" w:type="dxa"/>
            <w:tcBorders>
              <w:tl2br w:val="nil"/>
              <w:tr2bl w:val="nil"/>
            </w:tcBorders>
            <w:shd w:val="clear" w:color="auto" w:fill="D7DFE7"/>
            <w:vAlign w:val="center"/>
          </w:tcPr>
          <w:p w14:paraId="304D161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≥30 人</w:t>
            </w:r>
          </w:p>
        </w:tc>
        <w:tc>
          <w:tcPr>
            <w:tcW w:w="975" w:type="dxa"/>
            <w:tcBorders>
              <w:tl2br w:val="nil"/>
              <w:tr2bl w:val="nil"/>
            </w:tcBorders>
            <w:shd w:val="clear" w:color="auto" w:fill="D7DFE7"/>
            <w:vAlign w:val="center"/>
          </w:tcPr>
          <w:p w14:paraId="2203A5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63557E6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≥100人</w:t>
            </w:r>
          </w:p>
        </w:tc>
        <w:tc>
          <w:tcPr>
            <w:tcW w:w="900" w:type="dxa"/>
            <w:tcBorders>
              <w:tl2br w:val="nil"/>
              <w:tr2bl w:val="nil"/>
            </w:tcBorders>
            <w:shd w:val="clear" w:color="auto" w:fill="D7DFE7"/>
            <w:vAlign w:val="center"/>
          </w:tcPr>
          <w:p w14:paraId="4791213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35E3F4E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1亿元 以上</w:t>
            </w:r>
          </w:p>
        </w:tc>
        <w:tc>
          <w:tcPr>
            <w:tcW w:w="900" w:type="dxa"/>
            <w:tcBorders>
              <w:tl2br w:val="nil"/>
              <w:tr2bl w:val="nil"/>
            </w:tcBorders>
            <w:shd w:val="clear" w:color="auto" w:fill="D7DFE7"/>
            <w:vAlign w:val="center"/>
          </w:tcPr>
          <w:p w14:paraId="3BA1161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p>
          <w:p w14:paraId="3BCE7B5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≥5万人</w:t>
            </w:r>
          </w:p>
        </w:tc>
        <w:tc>
          <w:tcPr>
            <w:tcW w:w="1382" w:type="dxa"/>
            <w:tcBorders>
              <w:tl2br w:val="nil"/>
              <w:tr2bl w:val="nil"/>
            </w:tcBorders>
            <w:shd w:val="clear" w:color="auto" w:fill="D7DFE7"/>
            <w:vAlign w:val="center"/>
          </w:tcPr>
          <w:p w14:paraId="6868F0A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设区的市级以上城市</w:t>
            </w:r>
          </w:p>
        </w:tc>
        <w:tc>
          <w:tcPr>
            <w:tcW w:w="2274" w:type="dxa"/>
            <w:tcBorders>
              <w:tl2br w:val="nil"/>
              <w:tr2bl w:val="nil"/>
            </w:tcBorders>
            <w:shd w:val="clear" w:color="auto" w:fill="D7DFE7"/>
            <w:vAlign w:val="center"/>
          </w:tcPr>
          <w:p w14:paraId="21974F9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区域生态功能丧失或该区域国家重点保护物种灭绝</w:t>
            </w:r>
          </w:p>
        </w:tc>
        <w:tc>
          <w:tcPr>
            <w:tcW w:w="1395" w:type="dxa"/>
            <w:tcBorders>
              <w:tl2br w:val="nil"/>
              <w:tr2bl w:val="nil"/>
            </w:tcBorders>
            <w:shd w:val="clear" w:color="auto" w:fill="D7DFE7"/>
            <w:vAlign w:val="center"/>
          </w:tcPr>
          <w:p w14:paraId="390654B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造成重大跨国境影响</w:t>
            </w:r>
          </w:p>
        </w:tc>
      </w:tr>
      <w:tr w14:paraId="0AF4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exact"/>
          <w:jc w:val="center"/>
        </w:trPr>
        <w:tc>
          <w:tcPr>
            <w:tcW w:w="933" w:type="dxa"/>
            <w:tcBorders>
              <w:tl2br w:val="nil"/>
              <w:tr2bl w:val="nil"/>
            </w:tcBorders>
            <w:shd w:val="clear" w:color="auto" w:fill="D7DFE7"/>
            <w:vAlign w:val="center"/>
          </w:tcPr>
          <w:p w14:paraId="20317F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1"/>
                <w:szCs w:val="32"/>
                <w:lang w:val="en-US" w:eastAsia="zh-CN" w:bidi="ar-SA"/>
              </w:rPr>
              <w:t>重大</w:t>
            </w:r>
          </w:p>
        </w:tc>
        <w:tc>
          <w:tcPr>
            <w:tcW w:w="857" w:type="dxa"/>
            <w:tcBorders>
              <w:tl2br w:val="nil"/>
              <w:tr2bl w:val="nil"/>
            </w:tcBorders>
            <w:shd w:val="clear" w:color="auto" w:fill="D7DFE7"/>
            <w:vAlign w:val="center"/>
          </w:tcPr>
          <w:p w14:paraId="260FF97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10-29人</w:t>
            </w:r>
          </w:p>
        </w:tc>
        <w:tc>
          <w:tcPr>
            <w:tcW w:w="975" w:type="dxa"/>
            <w:tcBorders>
              <w:tl2br w:val="nil"/>
              <w:tr2bl w:val="nil"/>
            </w:tcBorders>
            <w:shd w:val="clear" w:color="auto" w:fill="D7DFE7"/>
            <w:vAlign w:val="center"/>
          </w:tcPr>
          <w:p w14:paraId="767E459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50-99人</w:t>
            </w:r>
          </w:p>
        </w:tc>
        <w:tc>
          <w:tcPr>
            <w:tcW w:w="900" w:type="dxa"/>
            <w:tcBorders>
              <w:tl2br w:val="nil"/>
              <w:tr2bl w:val="nil"/>
            </w:tcBorders>
            <w:shd w:val="clear" w:color="auto" w:fill="D7DFE7"/>
            <w:vAlign w:val="center"/>
          </w:tcPr>
          <w:p w14:paraId="1240BF8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2千万</w:t>
            </w:r>
          </w:p>
          <w:p w14:paraId="6AED197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-1亿元</w:t>
            </w:r>
          </w:p>
        </w:tc>
        <w:tc>
          <w:tcPr>
            <w:tcW w:w="900" w:type="dxa"/>
            <w:tcBorders>
              <w:tl2br w:val="nil"/>
              <w:tr2bl w:val="nil"/>
            </w:tcBorders>
            <w:shd w:val="clear" w:color="auto" w:fill="D7DFE7"/>
            <w:vAlign w:val="center"/>
          </w:tcPr>
          <w:p w14:paraId="723ABA5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1-5万人</w:t>
            </w:r>
          </w:p>
        </w:tc>
        <w:tc>
          <w:tcPr>
            <w:tcW w:w="1382" w:type="dxa"/>
            <w:tcBorders>
              <w:tl2br w:val="nil"/>
              <w:tr2bl w:val="nil"/>
            </w:tcBorders>
            <w:shd w:val="clear" w:color="auto" w:fill="D7DFE7"/>
            <w:vAlign w:val="center"/>
          </w:tcPr>
          <w:p w14:paraId="63B1ED2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县级城市</w:t>
            </w:r>
          </w:p>
        </w:tc>
        <w:tc>
          <w:tcPr>
            <w:tcW w:w="2274" w:type="dxa"/>
            <w:tcBorders>
              <w:tl2br w:val="nil"/>
              <w:tr2bl w:val="nil"/>
            </w:tcBorders>
            <w:shd w:val="clear" w:color="auto" w:fill="D7DFE7"/>
            <w:vAlign w:val="center"/>
          </w:tcPr>
          <w:p w14:paraId="4B62B92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区域生态功能部分丧失或该区域国家重点保护野生动植物种群大批死亡</w:t>
            </w:r>
          </w:p>
        </w:tc>
        <w:tc>
          <w:tcPr>
            <w:tcW w:w="1395" w:type="dxa"/>
            <w:tcBorders>
              <w:tl2br w:val="nil"/>
              <w:tr2bl w:val="nil"/>
            </w:tcBorders>
            <w:shd w:val="clear" w:color="auto" w:fill="D7DFE7"/>
            <w:vAlign w:val="center"/>
          </w:tcPr>
          <w:p w14:paraId="51BE22D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造成跨省影响</w:t>
            </w:r>
          </w:p>
        </w:tc>
      </w:tr>
      <w:tr w14:paraId="3E7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933" w:type="dxa"/>
            <w:tcBorders>
              <w:tl2br w:val="nil"/>
              <w:tr2bl w:val="nil"/>
            </w:tcBorders>
            <w:shd w:val="clear" w:color="auto" w:fill="D7DFE7"/>
            <w:vAlign w:val="center"/>
          </w:tcPr>
          <w:p w14:paraId="1AD57DA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1"/>
                <w:szCs w:val="32"/>
                <w:lang w:val="en-US" w:eastAsia="zh-CN" w:bidi="ar-SA"/>
              </w:rPr>
              <w:t>较大</w:t>
            </w:r>
          </w:p>
        </w:tc>
        <w:tc>
          <w:tcPr>
            <w:tcW w:w="857" w:type="dxa"/>
            <w:tcBorders>
              <w:tl2br w:val="nil"/>
              <w:tr2bl w:val="nil"/>
            </w:tcBorders>
            <w:shd w:val="clear" w:color="auto" w:fill="D7DFE7"/>
            <w:vAlign w:val="center"/>
          </w:tcPr>
          <w:p w14:paraId="0718E1C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3-9人</w:t>
            </w:r>
          </w:p>
        </w:tc>
        <w:tc>
          <w:tcPr>
            <w:tcW w:w="975" w:type="dxa"/>
            <w:tcBorders>
              <w:tl2br w:val="nil"/>
              <w:tr2bl w:val="nil"/>
            </w:tcBorders>
            <w:shd w:val="clear" w:color="auto" w:fill="D7DFE7"/>
            <w:vAlign w:val="center"/>
          </w:tcPr>
          <w:p w14:paraId="79A237C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10-49人</w:t>
            </w:r>
          </w:p>
        </w:tc>
        <w:tc>
          <w:tcPr>
            <w:tcW w:w="900" w:type="dxa"/>
            <w:tcBorders>
              <w:tl2br w:val="nil"/>
              <w:tr2bl w:val="nil"/>
            </w:tcBorders>
            <w:shd w:val="clear" w:color="auto" w:fill="D7DFE7"/>
            <w:vAlign w:val="center"/>
          </w:tcPr>
          <w:p w14:paraId="00B218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500万</w:t>
            </w:r>
          </w:p>
          <w:p w14:paraId="2CD0F3D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-2000</w:t>
            </w:r>
          </w:p>
          <w:p w14:paraId="3BC5C3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万</w:t>
            </w:r>
          </w:p>
        </w:tc>
        <w:tc>
          <w:tcPr>
            <w:tcW w:w="900" w:type="dxa"/>
            <w:tcBorders>
              <w:tl2br w:val="nil"/>
              <w:tr2bl w:val="nil"/>
            </w:tcBorders>
            <w:shd w:val="clear" w:color="auto" w:fill="D7DFE7"/>
            <w:vAlign w:val="center"/>
          </w:tcPr>
          <w:p w14:paraId="60544AB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5千</w:t>
            </w:r>
          </w:p>
          <w:p w14:paraId="08B363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-1万人</w:t>
            </w:r>
          </w:p>
        </w:tc>
        <w:tc>
          <w:tcPr>
            <w:tcW w:w="1382" w:type="dxa"/>
            <w:tcBorders>
              <w:tl2br w:val="nil"/>
              <w:tr2bl w:val="nil"/>
            </w:tcBorders>
            <w:shd w:val="clear" w:color="auto" w:fill="D7DFE7"/>
            <w:vAlign w:val="center"/>
          </w:tcPr>
          <w:p w14:paraId="72A6E5C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乡镇</w:t>
            </w:r>
          </w:p>
        </w:tc>
        <w:tc>
          <w:tcPr>
            <w:tcW w:w="2274" w:type="dxa"/>
            <w:tcBorders>
              <w:tl2br w:val="nil"/>
              <w:tr2bl w:val="nil"/>
            </w:tcBorders>
            <w:shd w:val="clear" w:color="auto" w:fill="D7DFE7"/>
            <w:vAlign w:val="center"/>
          </w:tcPr>
          <w:p w14:paraId="5D28150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造成国家重点保护的动植物物种受到破坏</w:t>
            </w:r>
          </w:p>
        </w:tc>
        <w:tc>
          <w:tcPr>
            <w:tcW w:w="1395" w:type="dxa"/>
            <w:tcBorders>
              <w:tl2br w:val="nil"/>
              <w:tr2bl w:val="nil"/>
            </w:tcBorders>
            <w:shd w:val="clear" w:color="auto" w:fill="D7DFE7"/>
            <w:vAlign w:val="center"/>
          </w:tcPr>
          <w:p w14:paraId="47626C1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造成跨市（</w:t>
            </w:r>
            <w:r>
              <w:rPr>
                <w:rFonts w:hint="eastAsia" w:ascii="宋体" w:hAnsi="宋体" w:eastAsia="宋体" w:cs="Times New Roman"/>
                <w:color w:val="auto"/>
                <w:kern w:val="2"/>
                <w:sz w:val="24"/>
                <w:szCs w:val="24"/>
                <w:highlight w:val="none"/>
                <w:lang w:val="en-US" w:eastAsia="zh-CN" w:bidi="ar-SA"/>
              </w:rPr>
              <w:t>设区</w:t>
            </w:r>
            <w:r>
              <w:rPr>
                <w:rFonts w:hint="eastAsia" w:ascii="宋体" w:hAnsi="宋体" w:eastAsia="宋体" w:cs="Times New Roman"/>
                <w:color w:val="auto"/>
                <w:kern w:val="2"/>
                <w:sz w:val="24"/>
                <w:szCs w:val="24"/>
                <w:lang w:val="en-US" w:eastAsia="zh-CN" w:bidi="ar-SA"/>
              </w:rPr>
              <w:t>）影响</w:t>
            </w:r>
          </w:p>
        </w:tc>
      </w:tr>
      <w:tr w14:paraId="4E2E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exact"/>
          <w:jc w:val="center"/>
        </w:trPr>
        <w:tc>
          <w:tcPr>
            <w:tcW w:w="933" w:type="dxa"/>
            <w:tcBorders>
              <w:tl2br w:val="nil"/>
              <w:tr2bl w:val="nil"/>
            </w:tcBorders>
            <w:shd w:val="clear" w:color="auto" w:fill="D7DFE7"/>
            <w:vAlign w:val="center"/>
          </w:tcPr>
          <w:p w14:paraId="04E4897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1"/>
                <w:szCs w:val="32"/>
                <w:lang w:val="en-US" w:eastAsia="zh-CN" w:bidi="ar-SA"/>
              </w:rPr>
              <w:t>一般</w:t>
            </w:r>
          </w:p>
        </w:tc>
        <w:tc>
          <w:tcPr>
            <w:tcW w:w="857" w:type="dxa"/>
            <w:tcBorders>
              <w:tl2br w:val="nil"/>
              <w:tr2bl w:val="nil"/>
            </w:tcBorders>
            <w:shd w:val="clear" w:color="auto" w:fill="D7DFE7"/>
            <w:vAlign w:val="center"/>
          </w:tcPr>
          <w:p w14:paraId="5D32025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1-2人</w:t>
            </w:r>
          </w:p>
        </w:tc>
        <w:tc>
          <w:tcPr>
            <w:tcW w:w="975" w:type="dxa"/>
            <w:tcBorders>
              <w:tl2br w:val="nil"/>
              <w:tr2bl w:val="nil"/>
            </w:tcBorders>
            <w:shd w:val="clear" w:color="auto" w:fill="D7DFE7"/>
            <w:vAlign w:val="center"/>
          </w:tcPr>
          <w:p w14:paraId="771094A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1-9人</w:t>
            </w:r>
          </w:p>
        </w:tc>
        <w:tc>
          <w:tcPr>
            <w:tcW w:w="900" w:type="dxa"/>
            <w:tcBorders>
              <w:tl2br w:val="nil"/>
              <w:tr2bl w:val="nil"/>
            </w:tcBorders>
            <w:shd w:val="clear" w:color="auto" w:fill="D7DFE7"/>
            <w:vAlign w:val="center"/>
          </w:tcPr>
          <w:p w14:paraId="563CDC2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500万</w:t>
            </w:r>
          </w:p>
          <w:p w14:paraId="294F8B5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以下</w:t>
            </w:r>
          </w:p>
        </w:tc>
        <w:tc>
          <w:tcPr>
            <w:tcW w:w="900" w:type="dxa"/>
            <w:tcBorders>
              <w:tl2br w:val="nil"/>
              <w:tr2bl w:val="nil"/>
            </w:tcBorders>
            <w:shd w:val="clear" w:color="auto" w:fill="D7DFE7"/>
            <w:vAlign w:val="center"/>
          </w:tcPr>
          <w:p w14:paraId="7A29DCA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5千人以下</w:t>
            </w:r>
          </w:p>
        </w:tc>
        <w:tc>
          <w:tcPr>
            <w:tcW w:w="1382" w:type="dxa"/>
            <w:tcBorders>
              <w:tl2br w:val="nil"/>
              <w:tr2bl w:val="nil"/>
            </w:tcBorders>
            <w:shd w:val="clear" w:color="auto" w:fill="D7DFE7"/>
            <w:vAlign w:val="center"/>
          </w:tcPr>
          <w:p w14:paraId="625E810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c>
          <w:tcPr>
            <w:tcW w:w="2274" w:type="dxa"/>
            <w:tcBorders>
              <w:tl2br w:val="nil"/>
              <w:tr2bl w:val="nil"/>
            </w:tcBorders>
            <w:shd w:val="clear" w:color="auto" w:fill="D7DFE7"/>
            <w:vAlign w:val="center"/>
          </w:tcPr>
          <w:p w14:paraId="14A9A7D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p>
        </w:tc>
        <w:tc>
          <w:tcPr>
            <w:tcW w:w="1395" w:type="dxa"/>
            <w:tcBorders>
              <w:tl2br w:val="nil"/>
              <w:tr2bl w:val="nil"/>
            </w:tcBorders>
            <w:shd w:val="clear" w:color="auto" w:fill="D7DFE7"/>
            <w:vAlign w:val="center"/>
          </w:tcPr>
          <w:p w14:paraId="69D91E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造成跨县纠纷，引起一般性群体影响</w:t>
            </w:r>
          </w:p>
        </w:tc>
      </w:tr>
    </w:tbl>
    <w:p w14:paraId="0DC7082A">
      <w:pPr>
        <w:widowControl w:val="0"/>
        <w:kinsoku w:val="0"/>
        <w:overflowPunct w:val="0"/>
        <w:spacing w:before="83" w:line="306" w:lineRule="auto"/>
        <w:ind w:left="191" w:firstLine="480" w:firstLineChars="200"/>
        <w:jc w:val="both"/>
        <w:outlineLvl w:val="9"/>
        <w:rPr>
          <w:rFonts w:hint="eastAsia" w:ascii="仿宋_GB2312" w:hAnsi="仿宋_GB2312" w:eastAsia="仿宋_GB2312" w:cs="Times New Roman"/>
          <w:b/>
          <w:bCs/>
          <w:kern w:val="2"/>
          <w:sz w:val="32"/>
          <w:szCs w:val="32"/>
          <w:lang w:val="en-US" w:eastAsia="zh-CN" w:bidi="ar-SA"/>
        </w:rPr>
      </w:pPr>
      <w:r>
        <w:rPr>
          <w:rFonts w:hint="eastAsia" w:ascii="宋体" w:hAnsi="宋体" w:eastAsia="宋体" w:cs="Times New Roman"/>
          <w:kern w:val="2"/>
          <w:sz w:val="24"/>
          <w:szCs w:val="32"/>
          <w:lang w:val="en-US" w:eastAsia="zh-CN" w:bidi="ar-SA"/>
        </w:rPr>
        <w:t>〔注：依据《国家突发环境事件应急预案》（国办函〔2014〕119号）、《海南省突发环境事件应急预案》（琼府办〔2016〕14号）制表。〕</w:t>
      </w:r>
      <w:bookmarkStart w:id="191" w:name="_Toc10528_WPSOffice_Level2"/>
    </w:p>
    <w:p w14:paraId="56DC8F46">
      <w:pPr>
        <w:numPr>
          <w:ilvl w:val="0"/>
          <w:numId w:val="0"/>
        </w:numPr>
        <w:kinsoku w:val="0"/>
        <w:overflowPunct w:val="0"/>
        <w:spacing w:before="1" w:line="600" w:lineRule="exact"/>
        <w:ind w:firstLine="643" w:firstLineChars="200"/>
        <w:outlineLvl w:val="9"/>
        <w:rPr>
          <w:rFonts w:hint="eastAsia" w:ascii="Times New Roman" w:hAnsi="Times New Roman" w:eastAsia="仿宋_GB2312" w:cs="Times New Roman"/>
          <w:b/>
          <w:bCs/>
          <w:sz w:val="16"/>
          <w:szCs w:val="32"/>
        </w:rPr>
      </w:pPr>
      <w:r>
        <w:rPr>
          <w:rFonts w:hint="eastAsia" w:ascii="仿宋_GB2312" w:hAnsi="仿宋_GB2312" w:eastAsia="仿宋_GB2312" w:cs="Times New Roman"/>
          <w:b/>
          <w:bCs/>
          <w:sz w:val="32"/>
          <w:szCs w:val="32"/>
          <w:lang w:eastAsia="zh-CN"/>
        </w:rPr>
        <w:t>（五）辐射事故</w:t>
      </w:r>
      <w:bookmarkEnd w:id="191"/>
    </w:p>
    <w:tbl>
      <w:tblPr>
        <w:tblStyle w:val="16"/>
        <w:tblW w:w="91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5"/>
        <w:gridCol w:w="1732"/>
        <w:gridCol w:w="2259"/>
        <w:gridCol w:w="1868"/>
        <w:gridCol w:w="2476"/>
      </w:tblGrid>
      <w:tr w14:paraId="5A71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exact"/>
          <w:jc w:val="center"/>
        </w:trPr>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75A0DC"/>
            <w:vAlign w:val="center"/>
          </w:tcPr>
          <w:p w14:paraId="60A3C72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b/>
                <w:color w:val="FFFFFF"/>
                <w:kern w:val="2"/>
                <w:sz w:val="21"/>
                <w:szCs w:val="21"/>
                <w:lang w:val="en-US" w:eastAsia="zh-CN" w:bidi="ar-SA"/>
              </w:rPr>
              <w:t>辐射 事故</w:t>
            </w:r>
          </w:p>
        </w:tc>
        <w:tc>
          <w:tcPr>
            <w:tcW w:w="1732" w:type="dxa"/>
            <w:tcBorders>
              <w:top w:val="single" w:color="auto" w:sz="4" w:space="0"/>
              <w:left w:val="single" w:color="auto" w:sz="4" w:space="0"/>
              <w:bottom w:val="single" w:color="auto" w:sz="4" w:space="0"/>
              <w:right w:val="single" w:color="auto" w:sz="4" w:space="0"/>
              <w:tl2br w:val="nil"/>
              <w:tr2bl w:val="nil"/>
            </w:tcBorders>
            <w:shd w:val="clear" w:color="auto" w:fill="75A0DC"/>
            <w:vAlign w:val="center"/>
          </w:tcPr>
          <w:p w14:paraId="0A63BBC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FFFFFF"/>
                <w:kern w:val="2"/>
                <w:sz w:val="21"/>
                <w:szCs w:val="21"/>
                <w:u w:val="single"/>
                <w:lang w:val="en-US" w:eastAsia="zh-CN" w:bidi="ar-SA"/>
              </w:rPr>
            </w:pPr>
            <w:r>
              <w:rPr>
                <w:rFonts w:hint="eastAsia" w:ascii="宋体" w:hAnsi="宋体" w:eastAsia="宋体" w:cs="宋体"/>
                <w:b/>
                <w:color w:val="FFFFFF"/>
                <w:kern w:val="2"/>
                <w:sz w:val="21"/>
                <w:szCs w:val="21"/>
                <w:u w:val="single"/>
                <w:lang w:val="en-US" w:eastAsia="zh-CN" w:bidi="ar-SA"/>
              </w:rPr>
              <w:t>放射源丢失、 被盗、失控</w:t>
            </w:r>
          </w:p>
        </w:tc>
        <w:tc>
          <w:tcPr>
            <w:tcW w:w="2259" w:type="dxa"/>
            <w:tcBorders>
              <w:top w:val="single" w:color="auto" w:sz="4" w:space="0"/>
              <w:left w:val="single" w:color="auto" w:sz="4" w:space="0"/>
              <w:bottom w:val="single" w:color="auto" w:sz="4" w:space="0"/>
              <w:right w:val="single" w:color="auto" w:sz="4" w:space="0"/>
              <w:tl2br w:val="nil"/>
              <w:tr2bl w:val="nil"/>
            </w:tcBorders>
            <w:shd w:val="clear" w:color="auto" w:fill="75A0DC"/>
            <w:vAlign w:val="center"/>
          </w:tcPr>
          <w:p w14:paraId="7A3A2DB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FFFFFF"/>
                <w:kern w:val="2"/>
                <w:sz w:val="21"/>
                <w:szCs w:val="21"/>
                <w:u w:val="single"/>
                <w:lang w:val="en-US" w:eastAsia="zh-CN" w:bidi="ar-SA"/>
              </w:rPr>
            </w:pPr>
            <w:r>
              <w:rPr>
                <w:rFonts w:hint="eastAsia" w:ascii="宋体" w:hAnsi="宋体" w:eastAsia="宋体" w:cs="宋体"/>
                <w:b/>
                <w:color w:val="FFFFFF"/>
                <w:kern w:val="2"/>
                <w:sz w:val="21"/>
                <w:szCs w:val="21"/>
                <w:u w:val="single"/>
                <w:lang w:val="en-US" w:eastAsia="zh-CN" w:bidi="ar-SA"/>
              </w:rPr>
              <w:t>放射性同位素和射线装置失控</w:t>
            </w:r>
          </w:p>
        </w:tc>
        <w:tc>
          <w:tcPr>
            <w:tcW w:w="1868" w:type="dxa"/>
            <w:tcBorders>
              <w:top w:val="single" w:color="auto" w:sz="4" w:space="0"/>
              <w:left w:val="single" w:color="auto" w:sz="4" w:space="0"/>
              <w:bottom w:val="single" w:color="auto" w:sz="4" w:space="0"/>
              <w:right w:val="single" w:color="auto" w:sz="4" w:space="0"/>
              <w:tl2br w:val="nil"/>
              <w:tr2bl w:val="nil"/>
            </w:tcBorders>
            <w:shd w:val="clear" w:color="auto" w:fill="75A0DC"/>
            <w:vAlign w:val="center"/>
          </w:tcPr>
          <w:p w14:paraId="1456C84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FFFFFF"/>
                <w:kern w:val="2"/>
                <w:sz w:val="21"/>
                <w:szCs w:val="21"/>
                <w:u w:val="single"/>
                <w:lang w:val="en-US" w:eastAsia="zh-CN" w:bidi="ar-SA"/>
              </w:rPr>
            </w:pPr>
            <w:r>
              <w:rPr>
                <w:rFonts w:hint="eastAsia" w:ascii="宋体" w:hAnsi="宋体" w:eastAsia="宋体" w:cs="宋体"/>
                <w:b/>
                <w:color w:val="FFFFFF"/>
                <w:kern w:val="2"/>
                <w:sz w:val="21"/>
                <w:szCs w:val="21"/>
                <w:u w:val="single"/>
                <w:lang w:val="en-US" w:eastAsia="zh-CN" w:bidi="ar-SA"/>
              </w:rPr>
              <w:t>放射性物质泄漏</w:t>
            </w:r>
          </w:p>
        </w:tc>
        <w:tc>
          <w:tcPr>
            <w:tcW w:w="2476" w:type="dxa"/>
            <w:tcBorders>
              <w:top w:val="single" w:color="auto" w:sz="4" w:space="0"/>
              <w:left w:val="single" w:color="auto" w:sz="4" w:space="0"/>
              <w:bottom w:val="single" w:color="auto" w:sz="4" w:space="0"/>
              <w:right w:val="single" w:color="auto" w:sz="4" w:space="0"/>
              <w:tl2br w:val="nil"/>
              <w:tr2bl w:val="nil"/>
            </w:tcBorders>
            <w:shd w:val="clear" w:color="auto" w:fill="75A0DC"/>
            <w:vAlign w:val="center"/>
          </w:tcPr>
          <w:p w14:paraId="7BD812D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FFFFFF"/>
                <w:kern w:val="2"/>
                <w:sz w:val="21"/>
                <w:szCs w:val="21"/>
                <w:u w:val="single"/>
                <w:lang w:val="en-US" w:eastAsia="zh-CN" w:bidi="ar-SA"/>
              </w:rPr>
            </w:pPr>
            <w:r>
              <w:rPr>
                <w:rFonts w:hint="eastAsia" w:ascii="宋体" w:hAnsi="宋体" w:eastAsia="宋体" w:cs="宋体"/>
                <w:b/>
                <w:color w:val="FFFFFF"/>
                <w:kern w:val="2"/>
                <w:sz w:val="21"/>
                <w:szCs w:val="21"/>
                <w:u w:val="single"/>
                <w:lang w:val="en-US" w:eastAsia="zh-CN" w:bidi="ar-SA"/>
              </w:rPr>
              <w:t>其它</w:t>
            </w:r>
          </w:p>
        </w:tc>
      </w:tr>
      <w:tr w14:paraId="784C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exact"/>
          <w:jc w:val="center"/>
        </w:trPr>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36AC90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b/>
                <w:color w:val="475F77"/>
                <w:kern w:val="2"/>
                <w:sz w:val="21"/>
                <w:szCs w:val="21"/>
                <w:lang w:val="en-US" w:eastAsia="zh-CN" w:bidi="ar-SA"/>
              </w:rPr>
              <w:t>特别 重大</w:t>
            </w:r>
          </w:p>
        </w:tc>
        <w:tc>
          <w:tcPr>
            <w:tcW w:w="1732"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2080A9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color w:val="475F77"/>
                <w:kern w:val="2"/>
                <w:sz w:val="21"/>
                <w:szCs w:val="21"/>
                <w:lang w:val="en-US" w:eastAsia="zh-CN" w:bidi="ar-SA"/>
              </w:rPr>
              <w:t>Ⅰ、Ⅱ类丢失、 被盗、失控并造 成环境辐射污</w:t>
            </w:r>
          </w:p>
        </w:tc>
        <w:tc>
          <w:tcPr>
            <w:tcW w:w="2259"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196F841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color w:val="475F77"/>
                <w:kern w:val="2"/>
                <w:sz w:val="21"/>
                <w:szCs w:val="21"/>
                <w:lang w:val="en-US" w:eastAsia="zh-CN" w:bidi="ar-SA"/>
              </w:rPr>
              <w:t>导致3人以上（含3人）急性死亡</w:t>
            </w:r>
          </w:p>
        </w:tc>
        <w:tc>
          <w:tcPr>
            <w:tcW w:w="1868"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526F2EF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color w:val="475F77"/>
                <w:kern w:val="2"/>
                <w:sz w:val="21"/>
                <w:szCs w:val="21"/>
                <w:lang w:val="en-US" w:eastAsia="zh-CN" w:bidi="ar-SA"/>
              </w:rPr>
              <w:t>造成大范围严重 环境辐射污染事</w:t>
            </w:r>
          </w:p>
        </w:tc>
        <w:tc>
          <w:tcPr>
            <w:tcW w:w="2476"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0D7C506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color w:val="475F77"/>
                <w:kern w:val="2"/>
                <w:sz w:val="21"/>
                <w:szCs w:val="21"/>
                <w:lang w:val="en-US" w:eastAsia="zh-CN" w:bidi="ar-SA"/>
              </w:rPr>
              <w:t>对我省可能或已经造成 大范围辐射环境影响的 航天器坠落事故或境外</w:t>
            </w:r>
          </w:p>
        </w:tc>
      </w:tr>
      <w:tr w14:paraId="6BE67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exact"/>
          <w:jc w:val="center"/>
        </w:trPr>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C32597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重大</w:t>
            </w:r>
          </w:p>
        </w:tc>
        <w:tc>
          <w:tcPr>
            <w:tcW w:w="1732"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608A545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染后果Ⅰ、Ⅱ类放射源丢失、被盗</w:t>
            </w:r>
          </w:p>
        </w:tc>
        <w:tc>
          <w:tcPr>
            <w:tcW w:w="2259"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0792EF8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导致1-2人急性死</w:t>
            </w:r>
          </w:p>
          <w:p w14:paraId="194205C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亡或10人以上急性 重度放射病、局部器 官残疾</w:t>
            </w:r>
          </w:p>
        </w:tc>
        <w:tc>
          <w:tcPr>
            <w:tcW w:w="1868"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7F6955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故造成较大范围辐射污染后果</w:t>
            </w:r>
          </w:p>
        </w:tc>
        <w:tc>
          <w:tcPr>
            <w:tcW w:w="2476"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528767F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发生的辐射事故</w:t>
            </w:r>
          </w:p>
          <w:p w14:paraId="6BC3AD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w:t>
            </w:r>
          </w:p>
        </w:tc>
      </w:tr>
      <w:tr w14:paraId="7685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exact"/>
          <w:jc w:val="center"/>
        </w:trPr>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63728C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较大</w:t>
            </w:r>
          </w:p>
        </w:tc>
        <w:tc>
          <w:tcPr>
            <w:tcW w:w="1732"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A62379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III类放射源丢失、被盗</w:t>
            </w:r>
          </w:p>
        </w:tc>
        <w:tc>
          <w:tcPr>
            <w:tcW w:w="2259"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0C2FAD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导致1-9人急性重度放射病、局部器官残疾</w:t>
            </w:r>
          </w:p>
        </w:tc>
        <w:tc>
          <w:tcPr>
            <w:tcW w:w="1868"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370F95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造成小范围辐射 污染后果</w:t>
            </w:r>
          </w:p>
        </w:tc>
        <w:tc>
          <w:tcPr>
            <w:tcW w:w="2476"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1E14344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w:t>
            </w:r>
          </w:p>
        </w:tc>
      </w:tr>
      <w:tr w14:paraId="4C8D1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1" w:hRule="exact"/>
          <w:jc w:val="center"/>
        </w:trPr>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3503175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一般</w:t>
            </w:r>
          </w:p>
        </w:tc>
        <w:tc>
          <w:tcPr>
            <w:tcW w:w="1732"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4F3FE8A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IV、V类放射源丢失、被盗</w:t>
            </w:r>
          </w:p>
        </w:tc>
        <w:tc>
          <w:tcPr>
            <w:tcW w:w="2259"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6C841A4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导致人员受到超过年剂量限值的照射</w:t>
            </w:r>
          </w:p>
        </w:tc>
        <w:tc>
          <w:tcPr>
            <w:tcW w:w="1868"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6F8578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造成厂区内或设施内局部辐射污染后果</w:t>
            </w:r>
          </w:p>
        </w:tc>
        <w:tc>
          <w:tcPr>
            <w:tcW w:w="2476" w:type="dxa"/>
            <w:tcBorders>
              <w:top w:val="single" w:color="auto" w:sz="4" w:space="0"/>
              <w:left w:val="single" w:color="auto" w:sz="4" w:space="0"/>
              <w:bottom w:val="single" w:color="auto" w:sz="4" w:space="0"/>
              <w:right w:val="single" w:color="auto" w:sz="4" w:space="0"/>
              <w:tl2br w:val="nil"/>
              <w:tr2bl w:val="nil"/>
            </w:tcBorders>
            <w:shd w:val="clear" w:color="auto" w:fill="D7DFE7"/>
            <w:vAlign w:val="center"/>
          </w:tcPr>
          <w:p w14:paraId="54F25D6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firstLine="0" w:firstLineChars="0"/>
              <w:jc w:val="center"/>
              <w:textAlignment w:val="auto"/>
              <w:outlineLvl w:val="9"/>
              <w:rPr>
                <w:rFonts w:hint="eastAsia" w:ascii="宋体" w:hAnsi="宋体" w:eastAsia="宋体" w:cs="宋体"/>
                <w:color w:val="475F77"/>
                <w:kern w:val="2"/>
                <w:sz w:val="21"/>
                <w:szCs w:val="21"/>
                <w:lang w:val="en-US" w:eastAsia="zh-CN" w:bidi="ar-SA"/>
              </w:rPr>
            </w:pPr>
            <w:r>
              <w:rPr>
                <w:rFonts w:hint="eastAsia" w:ascii="宋体" w:hAnsi="宋体" w:eastAsia="宋体" w:cs="宋体"/>
                <w:color w:val="475F77"/>
                <w:kern w:val="2"/>
                <w:sz w:val="21"/>
                <w:szCs w:val="21"/>
                <w:lang w:val="en-US" w:eastAsia="zh-CN" w:bidi="ar-SA"/>
              </w:rPr>
              <w:t>铀矿冶炼、伴生矿超标排放，造成环境辐射污染后果</w:t>
            </w:r>
          </w:p>
        </w:tc>
      </w:tr>
    </w:tbl>
    <w:p w14:paraId="1ED0D5C3">
      <w:pPr>
        <w:widowControl w:val="0"/>
        <w:kinsoku w:val="0"/>
        <w:overflowPunct w:val="0"/>
        <w:spacing w:before="84" w:line="306" w:lineRule="auto"/>
        <w:ind w:left="0" w:firstLine="480" w:firstLineChars="200"/>
        <w:jc w:val="both"/>
        <w:outlineLvl w:val="9"/>
        <w:rPr>
          <w:rFonts w:hint="eastAsia" w:ascii="仿宋_GB2312" w:hAnsi="仿宋_GB2312" w:eastAsia="仿宋_GB2312" w:cs="Times New Roman"/>
          <w:b/>
          <w:bCs/>
          <w:kern w:val="2"/>
          <w:sz w:val="32"/>
          <w:szCs w:val="32"/>
          <w:lang w:val="en-US" w:eastAsia="zh-CN" w:bidi="ar-SA"/>
        </w:rPr>
      </w:pPr>
      <w:r>
        <w:rPr>
          <w:rFonts w:hint="eastAsia" w:ascii="宋体" w:hAnsi="宋体" w:eastAsia="宋体" w:cs="Times New Roman"/>
          <w:kern w:val="2"/>
          <w:sz w:val="24"/>
          <w:szCs w:val="32"/>
          <w:lang w:val="en-US" w:eastAsia="zh-CN" w:bidi="ar-SA"/>
        </w:rPr>
        <w:t>〔注：依据《国家突发环境事件应急预案》（国办函〔2014〕119号）、《海南省辐射事故应急预案》（琼府办</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2016</w:t>
      </w: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156号）制表。〕</w:t>
      </w:r>
      <w:bookmarkStart w:id="192" w:name="_Toc9647_WPSOffice_Level2"/>
    </w:p>
    <w:p w14:paraId="6AE60302">
      <w:pPr>
        <w:numPr>
          <w:ilvl w:val="0"/>
          <w:numId w:val="0"/>
        </w:numPr>
        <w:kinsoku w:val="0"/>
        <w:overflowPunct w:val="0"/>
        <w:spacing w:before="1" w:line="600" w:lineRule="exact"/>
        <w:ind w:firstLine="643" w:firstLineChars="200"/>
        <w:outlineLvl w:val="9"/>
        <w:rPr>
          <w:rFonts w:hint="eastAsia" w:ascii="仿宋_GB2312" w:hAnsi="仿宋_GB2312" w:eastAsia="仿宋_GB2312" w:cs="Times New Roman"/>
          <w:b/>
          <w:bCs/>
          <w:sz w:val="32"/>
          <w:szCs w:val="32"/>
          <w:lang w:eastAsia="zh-CN"/>
        </w:rPr>
      </w:pPr>
      <w:r>
        <w:rPr>
          <w:rFonts w:hint="eastAsia" w:ascii="仿宋_GB2312" w:hAnsi="仿宋_GB2312" w:eastAsia="仿宋_GB2312" w:cs="Times New Roman"/>
          <w:b/>
          <w:bCs/>
          <w:sz w:val="32"/>
          <w:szCs w:val="32"/>
          <w:lang w:eastAsia="zh-CN"/>
        </w:rPr>
        <w:t>（六）大面积通信中断事件</w:t>
      </w:r>
      <w:bookmarkEnd w:id="192"/>
    </w:p>
    <w:tbl>
      <w:tblPr>
        <w:tblStyle w:val="16"/>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6920"/>
      </w:tblGrid>
      <w:tr w14:paraId="4E72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exact"/>
          <w:jc w:val="center"/>
        </w:trPr>
        <w:tc>
          <w:tcPr>
            <w:tcW w:w="1910" w:type="dxa"/>
            <w:tcBorders>
              <w:tl2br w:val="nil"/>
              <w:tr2bl w:val="nil"/>
            </w:tcBorders>
            <w:shd w:val="clear" w:color="auto" w:fill="AFBFCF"/>
            <w:vAlign w:val="center"/>
          </w:tcPr>
          <w:p w14:paraId="7B2057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0070C0"/>
                <w:kern w:val="2"/>
                <w:sz w:val="24"/>
                <w:szCs w:val="24"/>
                <w:lang w:val="en-US" w:eastAsia="zh-CN" w:bidi="ar-SA"/>
              </w:rPr>
            </w:pPr>
            <w:r>
              <w:rPr>
                <w:rFonts w:hint="eastAsia" w:ascii="宋体" w:hAnsi="宋体" w:eastAsia="宋体" w:cs="宋体"/>
                <w:b/>
                <w:color w:val="0070C0"/>
                <w:kern w:val="2"/>
                <w:sz w:val="24"/>
                <w:szCs w:val="24"/>
                <w:lang w:val="en-US" w:eastAsia="zh-CN" w:bidi="ar-SA"/>
              </w:rPr>
              <w:t>大面积</w:t>
            </w:r>
          </w:p>
          <w:p w14:paraId="5EA48F5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b/>
                <w:color w:val="0070C0"/>
                <w:kern w:val="2"/>
                <w:sz w:val="24"/>
                <w:szCs w:val="24"/>
                <w:lang w:val="en-US" w:eastAsia="zh-CN" w:bidi="ar-SA"/>
              </w:rPr>
              <w:t>通信中断</w:t>
            </w:r>
          </w:p>
        </w:tc>
        <w:tc>
          <w:tcPr>
            <w:tcW w:w="6920" w:type="dxa"/>
            <w:tcBorders>
              <w:tl2br w:val="nil"/>
              <w:tr2bl w:val="nil"/>
            </w:tcBorders>
            <w:shd w:val="clear" w:color="auto" w:fill="AFBFCF"/>
            <w:vAlign w:val="center"/>
          </w:tcPr>
          <w:p w14:paraId="361A729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color w:val="002060"/>
                <w:kern w:val="2"/>
                <w:sz w:val="24"/>
                <w:szCs w:val="24"/>
                <w:lang w:val="en-US" w:eastAsia="zh-CN" w:bidi="ar-SA"/>
              </w:rPr>
            </w:pPr>
            <w:r>
              <w:rPr>
                <w:rFonts w:hint="eastAsia" w:ascii="宋体" w:hAnsi="宋体" w:eastAsia="宋体" w:cs="宋体"/>
                <w:color w:val="002060"/>
                <w:kern w:val="2"/>
                <w:sz w:val="24"/>
                <w:szCs w:val="24"/>
                <w:lang w:val="en-US" w:eastAsia="zh-CN" w:bidi="ar-SA"/>
              </w:rPr>
              <w:t>电信网络出现故障或其他事</w:t>
            </w:r>
            <w:r>
              <w:rPr>
                <w:rFonts w:hint="eastAsia" w:ascii="宋体" w:hAnsi="宋体" w:eastAsia="宋体" w:cs="宋体"/>
                <w:color w:val="002060"/>
                <w:kern w:val="2"/>
                <w:sz w:val="24"/>
                <w:szCs w:val="24"/>
                <w:highlight w:val="none"/>
                <w:lang w:val="en-US" w:eastAsia="zh-CN" w:bidi="ar-SA"/>
              </w:rPr>
              <w:t>件</w:t>
            </w:r>
            <w:r>
              <w:rPr>
                <w:rFonts w:hint="eastAsia" w:ascii="宋体" w:hAnsi="宋体" w:eastAsia="宋体" w:cs="宋体"/>
                <w:color w:val="002060"/>
                <w:kern w:val="2"/>
                <w:sz w:val="24"/>
                <w:szCs w:val="24"/>
                <w:lang w:val="en-US" w:eastAsia="zh-CN" w:bidi="ar-SA"/>
              </w:rPr>
              <w:t>征兆，</w:t>
            </w:r>
          </w:p>
          <w:p w14:paraId="4A5811B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color w:val="002060"/>
                <w:kern w:val="2"/>
                <w:sz w:val="24"/>
                <w:szCs w:val="24"/>
                <w:highlight w:val="none"/>
                <w:lang w:val="en-US" w:eastAsia="zh-CN" w:bidi="ar-SA"/>
              </w:rPr>
              <w:t>引</w:t>
            </w:r>
            <w:r>
              <w:rPr>
                <w:rFonts w:hint="eastAsia" w:ascii="宋体" w:hAnsi="宋体" w:eastAsia="宋体" w:cs="宋体"/>
                <w:color w:val="002060"/>
                <w:kern w:val="2"/>
                <w:sz w:val="24"/>
                <w:szCs w:val="24"/>
                <w:lang w:val="en-US" w:eastAsia="zh-CN" w:bidi="ar-SA"/>
              </w:rPr>
              <w:t>发或可能引发：</w:t>
            </w:r>
          </w:p>
        </w:tc>
      </w:tr>
      <w:tr w14:paraId="5359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1910" w:type="dxa"/>
            <w:tcBorders>
              <w:tl2br w:val="nil"/>
              <w:tr2bl w:val="nil"/>
            </w:tcBorders>
            <w:shd w:val="clear" w:color="auto" w:fill="AFBFCF"/>
            <w:vAlign w:val="center"/>
          </w:tcPr>
          <w:p w14:paraId="3B6AC8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kern w:val="2"/>
                <w:sz w:val="24"/>
                <w:szCs w:val="24"/>
                <w:lang w:val="en-US" w:eastAsia="zh-CN" w:bidi="ar-SA"/>
              </w:rPr>
            </w:pPr>
            <w:r>
              <w:rPr>
                <w:rFonts w:hint="eastAsia" w:ascii="宋体" w:hAnsi="宋体" w:eastAsia="宋体" w:cs="宋体"/>
                <w:b/>
                <w:color w:val="475F77"/>
                <w:kern w:val="2"/>
                <w:sz w:val="24"/>
                <w:szCs w:val="24"/>
                <w:lang w:val="en-US" w:eastAsia="zh-CN" w:bidi="ar-SA"/>
              </w:rPr>
              <w:t>特别重大</w:t>
            </w:r>
          </w:p>
        </w:tc>
        <w:tc>
          <w:tcPr>
            <w:tcW w:w="6920" w:type="dxa"/>
            <w:tcBorders>
              <w:tl2br w:val="nil"/>
              <w:tr2bl w:val="nil"/>
            </w:tcBorders>
            <w:shd w:val="clear" w:color="auto" w:fill="AFBFCF"/>
            <w:vAlign w:val="center"/>
          </w:tcPr>
          <w:p w14:paraId="6031A21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2个以上省（区、市）通信大面积中断</w:t>
            </w:r>
          </w:p>
        </w:tc>
      </w:tr>
      <w:tr w14:paraId="2A41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1910" w:type="dxa"/>
            <w:tcBorders>
              <w:tl2br w:val="nil"/>
              <w:tr2bl w:val="nil"/>
            </w:tcBorders>
            <w:shd w:val="clear" w:color="auto" w:fill="AFBFCF"/>
            <w:vAlign w:val="center"/>
          </w:tcPr>
          <w:p w14:paraId="78E148B7">
            <w:pPr>
              <w:keepNext w:val="0"/>
              <w:keepLines w:val="0"/>
              <w:pageBreakBefore w:val="0"/>
              <w:widowControl w:val="0"/>
              <w:suppressLineNumbers w:val="0"/>
              <w:tabs>
                <w:tab w:val="left" w:pos="1050"/>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kern w:val="2"/>
                <w:sz w:val="24"/>
                <w:szCs w:val="24"/>
                <w:lang w:val="en-US" w:eastAsia="zh-CN" w:bidi="ar-SA"/>
              </w:rPr>
            </w:pPr>
            <w:r>
              <w:rPr>
                <w:rFonts w:hint="eastAsia" w:ascii="宋体" w:hAnsi="宋体" w:eastAsia="宋体" w:cs="宋体"/>
                <w:b/>
                <w:color w:val="475F77"/>
                <w:kern w:val="2"/>
                <w:sz w:val="24"/>
                <w:szCs w:val="24"/>
                <w:lang w:val="en-US" w:eastAsia="zh-CN" w:bidi="ar-SA"/>
              </w:rPr>
              <w:t>重大</w:t>
            </w:r>
          </w:p>
        </w:tc>
        <w:tc>
          <w:tcPr>
            <w:tcW w:w="6920" w:type="dxa"/>
            <w:tcBorders>
              <w:tl2br w:val="nil"/>
              <w:tr2bl w:val="nil"/>
            </w:tcBorders>
            <w:shd w:val="clear" w:color="auto" w:fill="AFBFCF"/>
            <w:vAlign w:val="center"/>
          </w:tcPr>
          <w:p w14:paraId="10766AA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本省10个以上市县通信大面积中断</w:t>
            </w:r>
          </w:p>
        </w:tc>
      </w:tr>
      <w:tr w14:paraId="6031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910" w:type="dxa"/>
            <w:tcBorders>
              <w:tl2br w:val="nil"/>
              <w:tr2bl w:val="nil"/>
            </w:tcBorders>
            <w:shd w:val="clear" w:color="auto" w:fill="AFBFCF"/>
            <w:vAlign w:val="center"/>
          </w:tcPr>
          <w:p w14:paraId="652619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kern w:val="2"/>
                <w:sz w:val="24"/>
                <w:szCs w:val="24"/>
                <w:lang w:val="en-US" w:eastAsia="zh-CN" w:bidi="ar-SA"/>
              </w:rPr>
            </w:pPr>
            <w:r>
              <w:rPr>
                <w:rFonts w:hint="eastAsia" w:ascii="宋体" w:hAnsi="宋体" w:eastAsia="宋体" w:cs="宋体"/>
                <w:b/>
                <w:color w:val="475F77"/>
                <w:kern w:val="2"/>
                <w:sz w:val="24"/>
                <w:szCs w:val="24"/>
                <w:lang w:val="en-US" w:eastAsia="zh-CN" w:bidi="ar-SA"/>
              </w:rPr>
              <w:t>较大</w:t>
            </w:r>
          </w:p>
        </w:tc>
        <w:tc>
          <w:tcPr>
            <w:tcW w:w="6920" w:type="dxa"/>
            <w:tcBorders>
              <w:tl2br w:val="nil"/>
              <w:tr2bl w:val="nil"/>
            </w:tcBorders>
            <w:shd w:val="clear" w:color="auto" w:fill="AFBFCF"/>
            <w:vAlign w:val="center"/>
          </w:tcPr>
          <w:p w14:paraId="1CC4C4A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本省2-9个市县通信大面积中断</w:t>
            </w:r>
          </w:p>
        </w:tc>
      </w:tr>
      <w:tr w14:paraId="6C6D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1910" w:type="dxa"/>
            <w:tcBorders>
              <w:tl2br w:val="nil"/>
              <w:tr2bl w:val="nil"/>
            </w:tcBorders>
            <w:shd w:val="clear" w:color="auto" w:fill="AFBFCF"/>
            <w:vAlign w:val="center"/>
          </w:tcPr>
          <w:p w14:paraId="394B1BC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kern w:val="2"/>
                <w:sz w:val="24"/>
                <w:szCs w:val="24"/>
                <w:lang w:val="en-US" w:eastAsia="zh-CN" w:bidi="ar-SA"/>
              </w:rPr>
            </w:pPr>
            <w:r>
              <w:rPr>
                <w:rFonts w:hint="eastAsia" w:ascii="宋体" w:hAnsi="宋体" w:eastAsia="宋体" w:cs="宋体"/>
                <w:b/>
                <w:color w:val="475F77"/>
                <w:kern w:val="2"/>
                <w:sz w:val="24"/>
                <w:szCs w:val="24"/>
                <w:lang w:val="en-US" w:eastAsia="zh-CN" w:bidi="ar-SA"/>
              </w:rPr>
              <w:t>一般</w:t>
            </w:r>
          </w:p>
        </w:tc>
        <w:tc>
          <w:tcPr>
            <w:tcW w:w="6920" w:type="dxa"/>
            <w:tcBorders>
              <w:tl2br w:val="nil"/>
              <w:tr2bl w:val="nil"/>
            </w:tcBorders>
            <w:shd w:val="clear" w:color="auto" w:fill="AFBFCF"/>
            <w:vAlign w:val="center"/>
          </w:tcPr>
          <w:p w14:paraId="73C95B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本省1个市县通信中断</w:t>
            </w:r>
          </w:p>
        </w:tc>
      </w:tr>
    </w:tbl>
    <w:p w14:paraId="07B3086F">
      <w:pPr>
        <w:widowControl w:val="0"/>
        <w:kinsoku w:val="0"/>
        <w:overflowPunct w:val="0"/>
        <w:spacing w:before="49" w:line="600" w:lineRule="exact"/>
        <w:ind w:left="0" w:leftChars="0" w:firstLine="480" w:firstLineChars="200"/>
        <w:jc w:val="both"/>
        <w:outlineLvl w:val="9"/>
        <w:rPr>
          <w:rFonts w:hint="eastAsia" w:ascii="仿宋_GB2312" w:hAnsi="仿宋_GB2312" w:eastAsia="仿宋_GB2312" w:cs="Times New Roman"/>
          <w:kern w:val="2"/>
          <w:sz w:val="24"/>
          <w:szCs w:val="32"/>
          <w:lang w:val="en-US" w:eastAsia="zh-CN" w:bidi="ar-SA"/>
        </w:rPr>
      </w:pPr>
      <w:r>
        <w:rPr>
          <w:rFonts w:hint="eastAsia" w:ascii="宋体" w:hAnsi="宋体" w:eastAsia="宋体" w:cs="Times New Roman"/>
          <w:kern w:val="2"/>
          <w:sz w:val="24"/>
          <w:szCs w:val="32"/>
          <w:lang w:val="en-US" w:eastAsia="zh-CN" w:bidi="ar-SA"/>
        </w:rPr>
        <w:t>〔注：依据《海南省通信保障应急预案》（琼府办[2015]177号）制表。〕</w:t>
      </w:r>
    </w:p>
    <w:p w14:paraId="4FDE0A97">
      <w:pPr>
        <w:keepNext w:val="0"/>
        <w:keepLines w:val="0"/>
        <w:pageBreakBefore w:val="0"/>
        <w:widowControl w:val="0"/>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lang w:eastAsia="zh-CN"/>
        </w:rPr>
      </w:pPr>
      <w:bookmarkStart w:id="193" w:name="_Toc21373_WPSOffice_Level1"/>
    </w:p>
    <w:p w14:paraId="63D3277E">
      <w:pPr>
        <w:keepNext w:val="0"/>
        <w:keepLines w:val="0"/>
        <w:pageBreakBefore w:val="0"/>
        <w:widowControl w:val="0"/>
        <w:numPr>
          <w:ilvl w:val="0"/>
          <w:numId w:val="1"/>
        </w:numPr>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lang w:eastAsia="zh-CN"/>
        </w:rPr>
      </w:pPr>
      <w:r>
        <w:rPr>
          <w:rFonts w:hint="eastAsia" w:ascii="黑体" w:hAnsi="黑体" w:eastAsia="黑体" w:cs="Times New Roman"/>
          <w:b w:val="0"/>
          <w:sz w:val="32"/>
          <w:szCs w:val="32"/>
          <w:lang w:eastAsia="zh-CN"/>
        </w:rPr>
        <w:t>突发公共卫生事件类</w:t>
      </w:r>
      <w:bookmarkEnd w:id="193"/>
    </w:p>
    <w:p w14:paraId="28353CC4">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leftChars="0" w:firstLine="643" w:firstLineChars="200"/>
        <w:jc w:val="center"/>
        <w:textAlignment w:val="auto"/>
        <w:outlineLvl w:val="9"/>
        <w:rPr>
          <w:rFonts w:hint="eastAsia" w:ascii="Times New Roman" w:hAnsi="Times New Roman" w:eastAsia="仿宋_GB2312" w:cs="Times New Roman"/>
          <w:b/>
          <w:bCs/>
          <w:sz w:val="24"/>
          <w:szCs w:val="32"/>
        </w:rPr>
      </w:pPr>
      <w:r>
        <w:rPr>
          <w:rFonts w:hint="eastAsia" w:ascii="仿宋_GB2312" w:hAnsi="仿宋_GB2312" w:eastAsia="仿宋_GB2312" w:cs="Times New Roman"/>
          <w:b/>
          <w:bCs/>
          <w:sz w:val="32"/>
          <w:szCs w:val="32"/>
          <w:lang w:eastAsia="zh-CN"/>
        </w:rPr>
        <w:t>（一）公共卫生事件</w:t>
      </w:r>
    </w:p>
    <w:p w14:paraId="0C6373AD">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0" w:firstLineChars="0"/>
        <w:jc w:val="both"/>
        <w:textAlignment w:val="auto"/>
        <w:outlineLvl w:val="9"/>
        <w:rPr>
          <w:rFonts w:hint="eastAsia" w:ascii="仿宋_GB2312" w:hAnsi="仿宋_GB2312" w:eastAsia="仿宋_GB2312" w:cs="Times New Roman"/>
          <w:kern w:val="2"/>
          <w:sz w:val="24"/>
          <w:szCs w:val="32"/>
          <w:lang w:val="en-US" w:eastAsia="zh-CN" w:bidi="ar-SA"/>
        </w:rPr>
      </w:pPr>
    </w:p>
    <w:tbl>
      <w:tblPr>
        <w:tblStyle w:val="16"/>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1849"/>
        <w:gridCol w:w="1849"/>
        <w:gridCol w:w="1966"/>
        <w:gridCol w:w="1616"/>
      </w:tblGrid>
      <w:tr w14:paraId="4376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C3BD96"/>
            <w:vAlign w:val="center"/>
          </w:tcPr>
          <w:p w14:paraId="2A88581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bookmarkStart w:id="194" w:name="_Toc32519_WPSOffice_Level2"/>
            <w:r>
              <w:rPr>
                <w:rFonts w:hint="eastAsia" w:ascii="宋体" w:hAnsi="宋体" w:eastAsia="宋体" w:cs="宋体"/>
                <w:b/>
                <w:color w:val="auto"/>
                <w:kern w:val="2"/>
                <w:sz w:val="22"/>
                <w:szCs w:val="22"/>
                <w:lang w:val="en-US" w:eastAsia="zh-CN" w:bidi="ar-SA"/>
              </w:rPr>
              <w:t>突发公共</w:t>
            </w:r>
          </w:p>
          <w:p w14:paraId="38FC8B7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卫生事件</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C3BD96"/>
            <w:vAlign w:val="center"/>
          </w:tcPr>
          <w:p w14:paraId="56DEFBC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特别重大     （Ⅰ级）</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C3BD96"/>
            <w:vAlign w:val="center"/>
          </w:tcPr>
          <w:p w14:paraId="5DF4192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重大（Ⅱ级）</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C3BD96"/>
            <w:vAlign w:val="center"/>
          </w:tcPr>
          <w:p w14:paraId="6587E69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较大（Ⅲ级）</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C3BD96"/>
            <w:vAlign w:val="center"/>
          </w:tcPr>
          <w:p w14:paraId="6F9FE0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一般（Ⅳ级）</w:t>
            </w:r>
          </w:p>
        </w:tc>
      </w:tr>
      <w:tr w14:paraId="0DA3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6240596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肺鼠疫、肺炭疽</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28604A8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在大、中城市发生并有扩散趋势/波及2个以上的省份，并有进一步扩散趋势</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11F5660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1个县（市）行政区域内，一个平均潜伏期内（6天）发生5例以上/相关联的疫情波及2个以上的县（市）</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64FA0AE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一个平均潜伏期内病例数未超过5例，流行范围在1个县（市）</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57DDBAE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kern w:val="2"/>
                <w:sz w:val="22"/>
                <w:szCs w:val="22"/>
                <w:lang w:val="en-US" w:eastAsia="zh-CN" w:bidi="ar-SA"/>
              </w:rPr>
            </w:pPr>
            <w:r>
              <w:rPr>
                <w:rFonts w:hint="eastAsia" w:ascii="宋体" w:hAnsi="宋体" w:eastAsia="宋体" w:cs="宋体"/>
                <w:b/>
                <w:color w:val="475F77"/>
                <w:kern w:val="2"/>
                <w:sz w:val="22"/>
                <w:szCs w:val="22"/>
                <w:lang w:val="en-US" w:eastAsia="zh-CN" w:bidi="ar-SA"/>
              </w:rPr>
              <w:t>——</w:t>
            </w:r>
          </w:p>
        </w:tc>
      </w:tr>
      <w:tr w14:paraId="5575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4E230CA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传染病非典型肺炎、人感染高致病性禽流感</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0022FE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发生病例，并有扩散趋势</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6124A0A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发生传染病非典型肺炎、人感染高致病性禽流感疑似病例</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7CC4F85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1个县（市）内发现发生病例</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0C93402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kern w:val="2"/>
                <w:sz w:val="22"/>
                <w:szCs w:val="22"/>
                <w:lang w:val="en-US" w:eastAsia="zh-CN" w:bidi="ar-SA"/>
              </w:rPr>
            </w:pPr>
            <w:r>
              <w:rPr>
                <w:rFonts w:hint="eastAsia" w:ascii="宋体" w:hAnsi="宋体" w:eastAsia="宋体" w:cs="宋体"/>
                <w:b/>
                <w:color w:val="475F77"/>
                <w:kern w:val="2"/>
                <w:sz w:val="22"/>
                <w:szCs w:val="22"/>
                <w:lang w:val="en-US" w:eastAsia="zh-CN" w:bidi="ar-SA"/>
              </w:rPr>
              <w:t>——</w:t>
            </w:r>
          </w:p>
        </w:tc>
      </w:tr>
      <w:tr w14:paraId="0CA1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081FBD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群体性不明原因疾病</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1F3550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涉及多个省份，并有扩散趋势</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7FBA37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发生群体性不明原因疾病，扩散到县（市）以外的地区</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4556D26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在一个县（市）内发现群体性不明原因疾病</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35BA51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kern w:val="2"/>
                <w:sz w:val="22"/>
                <w:szCs w:val="22"/>
                <w:lang w:val="en-US" w:eastAsia="zh-CN" w:bidi="ar-SA"/>
              </w:rPr>
            </w:pPr>
          </w:p>
        </w:tc>
      </w:tr>
      <w:tr w14:paraId="749D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2211E2C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新发传染病、输入性传染病、已消灭的传染病重新流行</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08B8B9A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发生新传染病/我国尚未发现的传染病发生或传入，并有扩散趋势/发现我国已消灭的传染病重新流行</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62D54DA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我国尚未发现的传染病发生或传入，尚未造成扩散</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6EA04CE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4173AF8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kern w:val="2"/>
                <w:sz w:val="22"/>
                <w:szCs w:val="22"/>
                <w:lang w:val="en-US" w:eastAsia="zh-CN" w:bidi="ar-SA"/>
              </w:rPr>
            </w:pPr>
          </w:p>
        </w:tc>
      </w:tr>
      <w:tr w14:paraId="66DA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4D72248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烈性传染病病原体丢失、传播</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0E34146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发生烈性病菌株、毒株、致病因子等丢失事件</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2B55BDD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境内外隐匿运输、邮寄烈性生物病原体、生物毒素造成我境内人员感染或死亡的</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79BBBDE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44036B0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center"/>
              <w:textAlignment w:val="auto"/>
              <w:outlineLvl w:val="9"/>
              <w:rPr>
                <w:rFonts w:hint="eastAsia" w:ascii="宋体" w:hAnsi="宋体" w:eastAsia="宋体" w:cs="Times New Roman"/>
                <w:b/>
                <w:color w:val="475F77"/>
                <w:spacing w:val="11"/>
                <w:kern w:val="2"/>
                <w:sz w:val="21"/>
                <w:szCs w:val="21"/>
                <w:lang w:val="en-US" w:eastAsia="zh-CN" w:bidi="ar-SA"/>
              </w:rPr>
            </w:pPr>
          </w:p>
          <w:p w14:paraId="3AB6B13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auto"/>
              <w:outlineLvl w:val="9"/>
              <w:rPr>
                <w:rFonts w:hint="eastAsia" w:ascii="宋体" w:hAnsi="宋体" w:eastAsia="宋体" w:cs="Times New Roman"/>
                <w:b/>
                <w:color w:val="475F77"/>
                <w:spacing w:val="11"/>
                <w:kern w:val="2"/>
                <w:sz w:val="21"/>
                <w:szCs w:val="21"/>
                <w:lang w:val="en-US" w:eastAsia="zh-CN" w:bidi="ar-SA"/>
              </w:rPr>
            </w:pPr>
            <w:r>
              <w:rPr>
                <w:rFonts w:hint="default" w:ascii="Arial" w:hAnsi="Arial" w:eastAsia="宋体" w:cs="Times New Roman"/>
                <w:b/>
                <w:color w:val="475F77"/>
                <w:spacing w:val="11"/>
                <w:kern w:val="2"/>
                <w:sz w:val="21"/>
                <w:szCs w:val="21"/>
                <w:lang w:val="en-US" w:eastAsia="zh-CN" w:bidi="ar-SA"/>
              </w:rPr>
              <w:t>——</w:t>
            </w:r>
          </w:p>
        </w:tc>
      </w:tr>
      <w:tr w14:paraId="0D8BB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754" w:type="dxa"/>
            <w:tcBorders>
              <w:top w:val="single" w:color="auto" w:sz="4" w:space="0"/>
              <w:left w:val="single" w:color="auto" w:sz="4" w:space="0"/>
              <w:bottom w:val="single" w:color="auto" w:sz="4" w:space="0"/>
              <w:right w:val="single" w:color="auto" w:sz="4" w:space="0"/>
              <w:tl2br w:val="nil"/>
              <w:tr2bl w:val="nil"/>
            </w:tcBorders>
            <w:shd w:val="clear" w:color="auto" w:fill="D7D7D7"/>
            <w:vAlign w:val="center"/>
          </w:tcPr>
          <w:p w14:paraId="5AF314D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预防接种/群体预防性服药</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538B876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w:t>
            </w:r>
          </w:p>
        </w:tc>
        <w:tc>
          <w:tcPr>
            <w:tcW w:w="1849"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2B9D1F5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出现人员死亡</w:t>
            </w:r>
          </w:p>
        </w:tc>
        <w:tc>
          <w:tcPr>
            <w:tcW w:w="196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60A0257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出现群体心因性反应或不良反应</w:t>
            </w:r>
          </w:p>
        </w:tc>
        <w:tc>
          <w:tcPr>
            <w:tcW w:w="1616" w:type="dxa"/>
            <w:tcBorders>
              <w:top w:val="single" w:color="auto" w:sz="4" w:space="0"/>
              <w:left w:val="single" w:color="auto" w:sz="4" w:space="0"/>
              <w:bottom w:val="single" w:color="auto" w:sz="4" w:space="0"/>
              <w:right w:val="single" w:color="auto" w:sz="4" w:space="0"/>
              <w:tl2br w:val="nil"/>
              <w:tr2bl w:val="nil"/>
            </w:tcBorders>
            <w:shd w:val="clear" w:color="auto" w:fill="F1F1F1"/>
            <w:vAlign w:val="center"/>
          </w:tcPr>
          <w:p w14:paraId="523E93A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宋体"/>
                <w:b/>
                <w:color w:val="475F77"/>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w:t>
            </w:r>
          </w:p>
        </w:tc>
      </w:tr>
      <w:tr w14:paraId="6652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C3BD96"/>
            <w:vAlign w:val="center"/>
          </w:tcPr>
          <w:p w14:paraId="6376F16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突发公共</w:t>
            </w:r>
          </w:p>
          <w:p w14:paraId="3FB0784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卫生事件</w:t>
            </w:r>
          </w:p>
        </w:tc>
        <w:tc>
          <w:tcPr>
            <w:tcW w:w="1849" w:type="dxa"/>
            <w:tcBorders>
              <w:top w:val="single" w:color="auto" w:sz="6" w:space="0"/>
              <w:left w:val="single" w:color="auto" w:sz="6" w:space="0"/>
              <w:bottom w:val="single" w:color="auto" w:sz="6" w:space="0"/>
              <w:right w:val="single" w:color="auto" w:sz="6" w:space="0"/>
              <w:tl2br w:val="nil"/>
              <w:tr2bl w:val="nil"/>
            </w:tcBorders>
            <w:shd w:val="clear" w:color="auto" w:fill="C3BD96"/>
            <w:vAlign w:val="center"/>
          </w:tcPr>
          <w:p w14:paraId="4023458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特别重大     （Ⅰ级）</w:t>
            </w:r>
          </w:p>
        </w:tc>
        <w:tc>
          <w:tcPr>
            <w:tcW w:w="1849" w:type="dxa"/>
            <w:tcBorders>
              <w:top w:val="single" w:color="auto" w:sz="6" w:space="0"/>
              <w:left w:val="single" w:color="auto" w:sz="6" w:space="0"/>
              <w:bottom w:val="single" w:color="auto" w:sz="6" w:space="0"/>
              <w:right w:val="single" w:color="auto" w:sz="6" w:space="0"/>
              <w:tl2br w:val="nil"/>
              <w:tr2bl w:val="nil"/>
            </w:tcBorders>
            <w:shd w:val="clear" w:color="auto" w:fill="C3BD96"/>
            <w:vAlign w:val="center"/>
          </w:tcPr>
          <w:p w14:paraId="74B9C88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重大（Ⅱ级）</w:t>
            </w:r>
          </w:p>
        </w:tc>
        <w:tc>
          <w:tcPr>
            <w:tcW w:w="1966" w:type="dxa"/>
            <w:tcBorders>
              <w:top w:val="single" w:color="auto" w:sz="6" w:space="0"/>
              <w:left w:val="single" w:color="auto" w:sz="6" w:space="0"/>
              <w:bottom w:val="single" w:color="auto" w:sz="6" w:space="0"/>
              <w:right w:val="single" w:color="auto" w:sz="6" w:space="0"/>
              <w:tl2br w:val="nil"/>
              <w:tr2bl w:val="nil"/>
            </w:tcBorders>
            <w:shd w:val="clear" w:color="auto" w:fill="C3BD96"/>
            <w:vAlign w:val="center"/>
          </w:tcPr>
          <w:p w14:paraId="41A6BB8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较大（Ⅲ级）</w:t>
            </w:r>
          </w:p>
        </w:tc>
        <w:tc>
          <w:tcPr>
            <w:tcW w:w="1616" w:type="dxa"/>
            <w:tcBorders>
              <w:top w:val="single" w:color="auto" w:sz="6" w:space="0"/>
              <w:left w:val="single" w:color="auto" w:sz="6" w:space="0"/>
              <w:bottom w:val="single" w:color="auto" w:sz="6" w:space="0"/>
              <w:right w:val="single" w:color="auto" w:sz="6" w:space="0"/>
              <w:tl2br w:val="nil"/>
              <w:tr2bl w:val="nil"/>
            </w:tcBorders>
            <w:shd w:val="clear" w:color="auto" w:fill="C3BD96"/>
            <w:vAlign w:val="center"/>
          </w:tcPr>
          <w:p w14:paraId="6AA61F6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宋体"/>
                <w:b/>
                <w:color w:val="auto"/>
                <w:kern w:val="2"/>
                <w:sz w:val="22"/>
                <w:szCs w:val="22"/>
                <w:lang w:val="en-US" w:eastAsia="zh-CN" w:bidi="ar-SA"/>
              </w:rPr>
            </w:pPr>
            <w:r>
              <w:rPr>
                <w:rFonts w:hint="eastAsia" w:ascii="宋体" w:hAnsi="宋体" w:eastAsia="宋体" w:cs="宋体"/>
                <w:b/>
                <w:color w:val="auto"/>
                <w:kern w:val="2"/>
                <w:sz w:val="22"/>
                <w:szCs w:val="22"/>
                <w:lang w:val="en-US" w:eastAsia="zh-CN" w:bidi="ar-SA"/>
              </w:rPr>
              <w:t>一般（Ⅳ级）</w:t>
            </w:r>
          </w:p>
        </w:tc>
      </w:tr>
      <w:tr w14:paraId="6203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74E3FAF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腺鼠疫</w:t>
            </w:r>
          </w:p>
        </w:tc>
        <w:tc>
          <w:tcPr>
            <w:tcW w:w="1849" w:type="dxa"/>
            <w:tcBorders>
              <w:top w:val="single" w:color="auto" w:sz="6" w:space="0"/>
              <w:left w:val="single" w:color="auto" w:sz="6" w:space="0"/>
              <w:bottom w:val="single" w:color="auto" w:sz="6" w:space="0"/>
              <w:right w:val="single" w:color="000000" w:sz="6" w:space="0"/>
              <w:tl2br w:val="nil"/>
              <w:tr2bl w:val="nil"/>
            </w:tcBorders>
            <w:shd w:val="clear" w:color="auto" w:fill="F1F1F1"/>
            <w:vAlign w:val="center"/>
          </w:tcPr>
          <w:p w14:paraId="1781956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849" w:type="dxa"/>
            <w:tcBorders>
              <w:top w:val="single" w:color="auto" w:sz="6" w:space="0"/>
              <w:left w:val="single" w:color="000000" w:sz="6" w:space="0"/>
              <w:bottom w:val="single" w:color="auto" w:sz="6" w:space="0"/>
              <w:right w:val="single" w:color="auto" w:sz="6" w:space="0"/>
              <w:tl2br w:val="nil"/>
              <w:tr2bl w:val="nil"/>
            </w:tcBorders>
            <w:shd w:val="clear" w:color="auto" w:fill="F1F1F1"/>
            <w:vAlign w:val="center"/>
          </w:tcPr>
          <w:p w14:paraId="773F40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1个市（地），一个平均潜伏期内多点连续20例以上/波及2个以上市（地）</w:t>
            </w:r>
          </w:p>
        </w:tc>
        <w:tc>
          <w:tcPr>
            <w:tcW w:w="196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522D563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一个县（市），一个平均潜伏期内连续发病10例以上/或波及2个以上县（市）</w:t>
            </w:r>
          </w:p>
        </w:tc>
        <w:tc>
          <w:tcPr>
            <w:tcW w:w="161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7608F4E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1个县（市）发生，一个平均潜伏期内病例数未超过10例</w:t>
            </w:r>
          </w:p>
        </w:tc>
      </w:tr>
      <w:tr w14:paraId="0CE94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8"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2D878CE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霍 乱</w:t>
            </w:r>
          </w:p>
        </w:tc>
        <w:tc>
          <w:tcPr>
            <w:tcW w:w="1849" w:type="dxa"/>
            <w:tcBorders>
              <w:top w:val="single" w:color="auto" w:sz="6" w:space="0"/>
              <w:left w:val="single" w:color="auto" w:sz="6" w:space="0"/>
              <w:bottom w:val="single" w:color="auto" w:sz="6" w:space="0"/>
              <w:right w:val="single" w:color="000000" w:sz="6" w:space="0"/>
              <w:tl2br w:val="nil"/>
              <w:tr2bl w:val="nil"/>
            </w:tcBorders>
            <w:shd w:val="clear" w:color="auto" w:fill="F1F1F1"/>
            <w:vAlign w:val="center"/>
          </w:tcPr>
          <w:p w14:paraId="5BA8B72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849" w:type="dxa"/>
            <w:tcBorders>
              <w:top w:val="single" w:color="auto" w:sz="6" w:space="0"/>
              <w:left w:val="single" w:color="000000" w:sz="6" w:space="0"/>
              <w:bottom w:val="single" w:color="auto" w:sz="6" w:space="0"/>
              <w:right w:val="single" w:color="auto" w:sz="6" w:space="0"/>
              <w:tl2br w:val="nil"/>
              <w:tr2bl w:val="nil"/>
            </w:tcBorders>
            <w:shd w:val="clear" w:color="auto" w:fill="F1F1F1"/>
            <w:vAlign w:val="center"/>
          </w:tcPr>
          <w:p w14:paraId="24D0FE4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1个市（地）1周内30例以上/波及2个以上市（地），有扩散趋势</w:t>
            </w:r>
          </w:p>
        </w:tc>
        <w:tc>
          <w:tcPr>
            <w:tcW w:w="196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0D66988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一个县（市）1周内发病10-29 例/ 波及2个以上县（市）/市（地）级以上城市的市区首次发生</w:t>
            </w:r>
          </w:p>
        </w:tc>
        <w:tc>
          <w:tcPr>
            <w:tcW w:w="161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36680EF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1个县（市）发生，1周内发病9例以下</w:t>
            </w:r>
          </w:p>
        </w:tc>
      </w:tr>
      <w:tr w14:paraId="752C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4"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1210414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乙类、丙类传染 病</w:t>
            </w:r>
          </w:p>
        </w:tc>
        <w:tc>
          <w:tcPr>
            <w:tcW w:w="1849"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701D227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849"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75CDB62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波及2个以上县(市)，1周内发病水平超过前5年同期平均发病水平2倍以上</w:t>
            </w:r>
          </w:p>
        </w:tc>
        <w:tc>
          <w:tcPr>
            <w:tcW w:w="196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2B800AE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1周内在一个县(市)内，发病水平超过前5年同期平均发病水平1倍以上</w:t>
            </w:r>
          </w:p>
        </w:tc>
        <w:tc>
          <w:tcPr>
            <w:tcW w:w="1616" w:type="dxa"/>
            <w:tcBorders>
              <w:top w:val="single" w:color="auto" w:sz="6" w:space="0"/>
              <w:left w:val="single" w:color="auto" w:sz="6" w:space="0"/>
              <w:bottom w:val="single" w:color="auto" w:sz="6" w:space="0"/>
              <w:right w:val="single" w:color="auto" w:sz="6" w:space="0"/>
              <w:tl2br w:val="nil"/>
              <w:tr2bl w:val="nil"/>
            </w:tcBorders>
            <w:shd w:val="clear" w:color="auto" w:fill="F1F1F1"/>
            <w:vAlign w:val="center"/>
          </w:tcPr>
          <w:p w14:paraId="74131A1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r>
      <w:tr w14:paraId="41C9A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1A377EE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食物中毒</w:t>
            </w:r>
          </w:p>
        </w:tc>
        <w:tc>
          <w:tcPr>
            <w:tcW w:w="1849" w:type="dxa"/>
            <w:tcBorders>
              <w:top w:val="single" w:color="auto" w:sz="6" w:space="0"/>
              <w:left w:val="single" w:color="auto" w:sz="6" w:space="0"/>
              <w:bottom w:val="single" w:color="auto" w:sz="6" w:space="0"/>
              <w:right w:val="single" w:color="000000" w:sz="6" w:space="0"/>
              <w:tl2br w:val="nil"/>
              <w:tr2bl w:val="nil"/>
            </w:tcBorders>
            <w:shd w:val="clear" w:color="auto" w:fill="F1F1F1"/>
            <w:vAlign w:val="center"/>
          </w:tcPr>
          <w:p w14:paraId="1353F9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849" w:type="dxa"/>
            <w:tcBorders>
              <w:top w:val="single" w:color="000000" w:sz="6" w:space="0"/>
              <w:left w:val="single" w:color="000000" w:sz="6" w:space="0"/>
              <w:bottom w:val="single" w:color="000000" w:sz="6" w:space="0"/>
              <w:right w:val="single" w:color="000000" w:sz="6" w:space="0"/>
              <w:tl2br w:val="nil"/>
              <w:tr2bl w:val="nil"/>
            </w:tcBorders>
            <w:shd w:val="clear" w:color="auto" w:fill="F1F1F1"/>
            <w:vAlign w:val="center"/>
          </w:tcPr>
          <w:p w14:paraId="401256D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一次食物中毒人数超过100人并出现死亡病例；或出现10例以上死亡病例</w:t>
            </w:r>
          </w:p>
        </w:tc>
        <w:tc>
          <w:tcPr>
            <w:tcW w:w="1966" w:type="dxa"/>
            <w:tcBorders>
              <w:top w:val="single" w:color="000000" w:sz="6" w:space="0"/>
              <w:left w:val="single" w:color="000000" w:sz="6" w:space="0"/>
              <w:bottom w:val="single" w:color="000000" w:sz="6" w:space="0"/>
              <w:right w:val="single" w:color="000000" w:sz="6" w:space="0"/>
              <w:tl2br w:val="nil"/>
              <w:tr2bl w:val="nil"/>
            </w:tcBorders>
            <w:shd w:val="clear" w:color="auto" w:fill="F1F1F1"/>
            <w:vAlign w:val="center"/>
          </w:tcPr>
          <w:p w14:paraId="0E41026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一次食物中毒人数超过100人；或出现死亡病例</w:t>
            </w:r>
          </w:p>
        </w:tc>
        <w:tc>
          <w:tcPr>
            <w:tcW w:w="1616" w:type="dxa"/>
            <w:tcBorders>
              <w:top w:val="single" w:color="000000" w:sz="6" w:space="0"/>
              <w:left w:val="single" w:color="000000" w:sz="6" w:space="0"/>
              <w:bottom w:val="single" w:color="000000" w:sz="6" w:space="0"/>
              <w:right w:val="single" w:color="000000" w:sz="6" w:space="0"/>
              <w:tl2br w:val="nil"/>
              <w:tr2bl w:val="nil"/>
            </w:tcBorders>
            <w:shd w:val="clear" w:color="auto" w:fill="F1F1F1"/>
            <w:vAlign w:val="center"/>
          </w:tcPr>
          <w:p w14:paraId="5EAA2D6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一次食物中毒人数30-99人，无死亡病例</w:t>
            </w:r>
          </w:p>
        </w:tc>
      </w:tr>
      <w:tr w14:paraId="0A97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77F63D0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急性职业中毒</w:t>
            </w:r>
          </w:p>
        </w:tc>
        <w:tc>
          <w:tcPr>
            <w:tcW w:w="1849" w:type="dxa"/>
            <w:tcBorders>
              <w:top w:val="single" w:color="auto" w:sz="6" w:space="0"/>
              <w:left w:val="single" w:color="auto" w:sz="6" w:space="0"/>
              <w:bottom w:val="single" w:color="auto" w:sz="6" w:space="0"/>
              <w:right w:val="single" w:color="000000" w:sz="6" w:space="0"/>
              <w:tl2br w:val="nil"/>
              <w:tr2bl w:val="nil"/>
            </w:tcBorders>
            <w:shd w:val="clear" w:color="auto" w:fill="D7DFE7"/>
            <w:vAlign w:val="center"/>
          </w:tcPr>
          <w:p w14:paraId="7E883F0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default" w:ascii="宋体" w:hAnsi="宋体" w:eastAsia="宋体" w:cs="宋体"/>
                <w:b/>
                <w:color w:val="475F77"/>
                <w:spacing w:val="11"/>
                <w:kern w:val="2"/>
                <w:sz w:val="22"/>
                <w:szCs w:val="22"/>
                <w:lang w:val="en-US" w:eastAsia="zh-CN" w:bidi="ar-SA"/>
              </w:rPr>
              <w:t>——</w:t>
            </w:r>
          </w:p>
        </w:tc>
        <w:tc>
          <w:tcPr>
            <w:tcW w:w="1849" w:type="dxa"/>
            <w:tcBorders>
              <w:top w:val="single" w:color="000000" w:sz="6" w:space="0"/>
              <w:left w:val="single" w:color="000000" w:sz="6" w:space="0"/>
              <w:bottom w:val="single" w:color="auto" w:sz="6" w:space="0"/>
              <w:right w:val="single" w:color="auto" w:sz="6" w:space="0"/>
              <w:tl2br w:val="nil"/>
              <w:tr2bl w:val="nil"/>
            </w:tcBorders>
            <w:shd w:val="clear" w:color="auto" w:fill="D7DFE7"/>
            <w:vAlign w:val="center"/>
          </w:tcPr>
          <w:p w14:paraId="44A1058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一次发生急性职业中毒50人以上/死亡5人以上</w:t>
            </w:r>
          </w:p>
          <w:p w14:paraId="388051C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p>
        </w:tc>
        <w:tc>
          <w:tcPr>
            <w:tcW w:w="1966" w:type="dxa"/>
            <w:tcBorders>
              <w:top w:val="single" w:color="000000" w:sz="6" w:space="0"/>
              <w:left w:val="single" w:color="auto" w:sz="6" w:space="0"/>
              <w:bottom w:val="single" w:color="auto" w:sz="6" w:space="0"/>
              <w:right w:val="single" w:color="auto" w:sz="6" w:space="0"/>
              <w:tl2br w:val="nil"/>
              <w:tr2bl w:val="nil"/>
            </w:tcBorders>
            <w:shd w:val="clear" w:color="auto" w:fill="D7DFE7"/>
            <w:vAlign w:val="center"/>
          </w:tcPr>
          <w:p w14:paraId="07AE259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一次发生急性职业中毒</w:t>
            </w:r>
            <w:r>
              <w:rPr>
                <w:rFonts w:hint="default" w:ascii="宋体" w:hAnsi="宋体" w:eastAsia="宋体" w:cs="宋体"/>
                <w:b/>
                <w:color w:val="475F77"/>
                <w:spacing w:val="11"/>
                <w:kern w:val="2"/>
                <w:sz w:val="22"/>
                <w:szCs w:val="22"/>
                <w:lang w:val="en-US" w:eastAsia="zh-CN" w:bidi="ar-SA"/>
              </w:rPr>
              <w:t>10~49</w:t>
            </w:r>
            <w:r>
              <w:rPr>
                <w:rFonts w:hint="eastAsia" w:ascii="宋体" w:hAnsi="宋体" w:eastAsia="宋体" w:cs="宋体"/>
                <w:b/>
                <w:color w:val="475F77"/>
                <w:spacing w:val="11"/>
                <w:kern w:val="2"/>
                <w:sz w:val="22"/>
                <w:szCs w:val="22"/>
                <w:lang w:val="en-US" w:eastAsia="zh-CN" w:bidi="ar-SA"/>
              </w:rPr>
              <w:t>人</w:t>
            </w:r>
            <w:r>
              <w:rPr>
                <w:rFonts w:hint="default" w:ascii="宋体" w:hAnsi="宋体" w:eastAsia="宋体" w:cs="宋体"/>
                <w:b/>
                <w:color w:val="475F77"/>
                <w:spacing w:val="11"/>
                <w:kern w:val="2"/>
                <w:sz w:val="22"/>
                <w:szCs w:val="22"/>
                <w:lang w:val="en-US" w:eastAsia="zh-CN" w:bidi="ar-SA"/>
              </w:rPr>
              <w:t>/</w:t>
            </w:r>
            <w:r>
              <w:rPr>
                <w:rFonts w:hint="eastAsia" w:ascii="宋体" w:hAnsi="宋体" w:eastAsia="宋体" w:cs="宋体"/>
                <w:b/>
                <w:color w:val="475F77"/>
                <w:spacing w:val="11"/>
                <w:kern w:val="2"/>
                <w:sz w:val="22"/>
                <w:szCs w:val="22"/>
                <w:lang w:val="en-US" w:eastAsia="zh-CN" w:bidi="ar-SA"/>
              </w:rPr>
              <w:t>死亡4人以下</w:t>
            </w:r>
          </w:p>
        </w:tc>
        <w:tc>
          <w:tcPr>
            <w:tcW w:w="1616" w:type="dxa"/>
            <w:tcBorders>
              <w:top w:val="single" w:color="000000" w:sz="6" w:space="0"/>
              <w:left w:val="single" w:color="auto" w:sz="6" w:space="0"/>
              <w:bottom w:val="single" w:color="auto" w:sz="6" w:space="0"/>
              <w:right w:val="single" w:color="auto" w:sz="6" w:space="0"/>
              <w:tl2br w:val="nil"/>
              <w:tr2bl w:val="nil"/>
            </w:tcBorders>
            <w:shd w:val="clear" w:color="auto" w:fill="D7DFE7"/>
            <w:vAlign w:val="center"/>
          </w:tcPr>
          <w:p w14:paraId="05C3B10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一次发生急性职业中毒9人以下，无死亡病例</w:t>
            </w:r>
          </w:p>
        </w:tc>
      </w:tr>
      <w:tr w14:paraId="5503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0FFEBAD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其它</w:t>
            </w:r>
          </w:p>
        </w:tc>
        <w:tc>
          <w:tcPr>
            <w:tcW w:w="1849" w:type="dxa"/>
            <w:tcBorders>
              <w:top w:val="single" w:color="auto" w:sz="6" w:space="0"/>
              <w:left w:val="single" w:color="auto" w:sz="6" w:space="0"/>
              <w:bottom w:val="single" w:color="auto" w:sz="6" w:space="0"/>
              <w:right w:val="single" w:color="000000" w:sz="6" w:space="0"/>
              <w:tl2br w:val="nil"/>
              <w:tr2bl w:val="nil"/>
            </w:tcBorders>
            <w:shd w:val="clear" w:color="auto" w:fill="E6E6E6"/>
            <w:vAlign w:val="center"/>
          </w:tcPr>
          <w:p w14:paraId="0030A04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国务院卫生行政部门认定的</w:t>
            </w:r>
          </w:p>
        </w:tc>
        <w:tc>
          <w:tcPr>
            <w:tcW w:w="1849" w:type="dxa"/>
            <w:tcBorders>
              <w:top w:val="single" w:color="auto" w:sz="6" w:space="0"/>
              <w:left w:val="single" w:color="000000" w:sz="6" w:space="0"/>
              <w:bottom w:val="single" w:color="auto" w:sz="6" w:space="0"/>
              <w:right w:val="single" w:color="auto" w:sz="6" w:space="0"/>
              <w:tl2br w:val="nil"/>
              <w:tr2bl w:val="nil"/>
            </w:tcBorders>
            <w:shd w:val="clear" w:color="auto" w:fill="E6E6E6"/>
            <w:vAlign w:val="center"/>
          </w:tcPr>
          <w:p w14:paraId="0813654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发生重大医源性感染事件/省级以上人民政府卫生行政部门认定的</w:t>
            </w:r>
          </w:p>
        </w:tc>
        <w:tc>
          <w:tcPr>
            <w:tcW w:w="1966" w:type="dxa"/>
            <w:tcBorders>
              <w:top w:val="single" w:color="auto" w:sz="6" w:space="0"/>
              <w:left w:val="single" w:color="auto" w:sz="6" w:space="0"/>
              <w:bottom w:val="single" w:color="auto" w:sz="6" w:space="0"/>
              <w:right w:val="single" w:color="auto" w:sz="6" w:space="0"/>
              <w:tl2br w:val="nil"/>
              <w:tr2bl w:val="nil"/>
            </w:tcBorders>
            <w:shd w:val="clear" w:color="auto" w:fill="E6E6E6"/>
            <w:vAlign w:val="center"/>
          </w:tcPr>
          <w:p w14:paraId="69D39BA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市（地）级以上人民政府卫生行政部门认定的</w:t>
            </w:r>
          </w:p>
        </w:tc>
        <w:tc>
          <w:tcPr>
            <w:tcW w:w="1616" w:type="dxa"/>
            <w:tcBorders>
              <w:top w:val="single" w:color="auto" w:sz="6" w:space="0"/>
              <w:left w:val="single" w:color="auto" w:sz="6" w:space="0"/>
              <w:bottom w:val="single" w:color="auto" w:sz="6" w:space="0"/>
              <w:right w:val="single" w:color="auto" w:sz="6" w:space="0"/>
              <w:tl2br w:val="nil"/>
              <w:tr2bl w:val="nil"/>
            </w:tcBorders>
            <w:shd w:val="clear" w:color="auto" w:fill="E6E6E6"/>
            <w:vAlign w:val="center"/>
          </w:tcPr>
          <w:p w14:paraId="4BCAE20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eastAsia"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县级以上人民政府卫生行政部门认定的</w:t>
            </w:r>
          </w:p>
        </w:tc>
      </w:tr>
      <w:tr w14:paraId="7639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3" w:hRule="exact"/>
          <w:jc w:val="center"/>
        </w:trPr>
        <w:tc>
          <w:tcPr>
            <w:tcW w:w="1754" w:type="dxa"/>
            <w:tcBorders>
              <w:top w:val="single" w:color="auto" w:sz="6" w:space="0"/>
              <w:left w:val="single" w:color="auto" w:sz="6" w:space="0"/>
              <w:bottom w:val="single" w:color="auto" w:sz="6" w:space="0"/>
              <w:right w:val="single" w:color="auto" w:sz="6" w:space="0"/>
              <w:tl2br w:val="nil"/>
              <w:tr2bl w:val="nil"/>
            </w:tcBorders>
            <w:shd w:val="clear" w:color="auto" w:fill="D7D7D7"/>
            <w:vAlign w:val="center"/>
          </w:tcPr>
          <w:p w14:paraId="08BE18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宋体" w:hAnsi="宋体" w:eastAsia="宋体" w:cs="宋体"/>
                <w:b/>
                <w:color w:val="002060"/>
                <w:spacing w:val="1"/>
                <w:kern w:val="2"/>
                <w:sz w:val="22"/>
                <w:szCs w:val="22"/>
                <w:lang w:val="en-US" w:eastAsia="zh-CN" w:bidi="ar-SA"/>
              </w:rPr>
            </w:pPr>
            <w:r>
              <w:rPr>
                <w:rFonts w:hint="eastAsia" w:ascii="宋体" w:hAnsi="宋体" w:eastAsia="宋体" w:cs="宋体"/>
                <w:b/>
                <w:color w:val="002060"/>
                <w:spacing w:val="1"/>
                <w:kern w:val="2"/>
                <w:sz w:val="22"/>
                <w:szCs w:val="22"/>
                <w:lang w:val="en-US" w:eastAsia="zh-CN" w:bidi="ar-SA"/>
              </w:rPr>
              <w:t>输入性传染病例等其它特大事件</w:t>
            </w:r>
          </w:p>
        </w:tc>
        <w:tc>
          <w:tcPr>
            <w:tcW w:w="7280" w:type="dxa"/>
            <w:gridSpan w:val="4"/>
            <w:tcBorders>
              <w:top w:val="single" w:color="auto" w:sz="6" w:space="0"/>
              <w:left w:val="single" w:color="auto" w:sz="6" w:space="0"/>
              <w:bottom w:val="single" w:color="auto" w:sz="6" w:space="0"/>
              <w:right w:val="single" w:color="auto" w:sz="6" w:space="0"/>
              <w:tl2br w:val="nil"/>
              <w:tr2bl w:val="nil"/>
            </w:tcBorders>
            <w:shd w:val="clear" w:color="auto" w:fill="D7DFE7"/>
            <w:vAlign w:val="center"/>
          </w:tcPr>
          <w:p w14:paraId="1EE2738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00" w:lineRule="exact"/>
              <w:ind w:left="0" w:right="0" w:firstLine="0" w:firstLineChars="0"/>
              <w:jc w:val="both"/>
              <w:textAlignment w:val="auto"/>
              <w:outlineLvl w:val="9"/>
              <w:rPr>
                <w:rFonts w:hint="default" w:ascii="宋体" w:hAnsi="宋体" w:eastAsia="宋体" w:cs="宋体"/>
                <w:b/>
                <w:color w:val="475F77"/>
                <w:spacing w:val="11"/>
                <w:kern w:val="2"/>
                <w:sz w:val="22"/>
                <w:szCs w:val="22"/>
                <w:lang w:val="en-US" w:eastAsia="zh-CN" w:bidi="ar-SA"/>
              </w:rPr>
            </w:pPr>
            <w:r>
              <w:rPr>
                <w:rFonts w:hint="eastAsia" w:ascii="宋体" w:hAnsi="宋体" w:eastAsia="宋体" w:cs="宋体"/>
                <w:b/>
                <w:color w:val="475F77"/>
                <w:spacing w:val="11"/>
                <w:kern w:val="2"/>
                <w:sz w:val="22"/>
                <w:szCs w:val="22"/>
                <w:lang w:val="en-US" w:eastAsia="zh-CN" w:bidi="ar-SA"/>
              </w:rPr>
              <w:t>◆周边以及与我国通航的国家和地区发生特大传染病疫情，并出现输入性病例。◆发生新传染病或我国尚未发现的传染病发生或传入，并有扩散趋势，或发现我国已消灭传染病重新流行。</w:t>
            </w:r>
          </w:p>
        </w:tc>
      </w:tr>
    </w:tbl>
    <w:p w14:paraId="022B3598">
      <w:pPr>
        <w:keepNext w:val="0"/>
        <w:keepLines w:val="0"/>
        <w:pageBreakBefore w:val="0"/>
        <w:widowControl w:val="0"/>
        <w:kinsoku w:val="0"/>
        <w:wordWrap/>
        <w:overflowPunct w:val="0"/>
        <w:topLinePunct w:val="0"/>
        <w:autoSpaceDE/>
        <w:autoSpaceDN/>
        <w:bidi w:val="0"/>
        <w:adjustRightInd/>
        <w:snapToGrid/>
        <w:spacing w:before="0" w:line="560" w:lineRule="exact"/>
        <w:ind w:left="0" w:firstLine="480" w:firstLineChars="200"/>
        <w:jc w:val="both"/>
        <w:textAlignment w:val="auto"/>
        <w:outlineLvl w:val="9"/>
        <w:rPr>
          <w:rFonts w:hint="eastAsia" w:ascii="仿宋_GB2312" w:hAnsi="仿宋_GB2312" w:eastAsia="仿宋_GB2312" w:cs="Times New Roman"/>
          <w:kern w:val="2"/>
          <w:sz w:val="24"/>
          <w:szCs w:val="32"/>
          <w:lang w:val="en-US" w:eastAsia="zh-CN" w:bidi="ar-SA"/>
        </w:rPr>
      </w:pP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注：①依据《国家突发公共卫生事件应急预案》（国办函[2005]49 号）、《海南省突发公共卫生事件应急预案》（琼府办〔2011〕133 号）制表。②《传染病防治法》规定：甲类传染病（强制管理传染病）包括鼠疫、霍乱；乙类传染病（严格管理传染病）包括传染性非典型肺炎、艾滋病、病毒性肝炎、脊髓灰质炎、人感染高致病性禽流感、麻疹、流行性出血热、狂犬病、流行性乙型脑炎、登革热、炭疽、细菌性和阿米巴性痢疾、肺结核、伤寒和副伤寒、流行性脑脊髓膜炎、百日咳、白喉、新生儿破伤风、猩红热、布鲁氏菌病、淋病、梅毒、钩端螺旋体病、血吸虫病、疟疾；丙类传染病（监测管理传染病）包括流行性感冒、流行性腮腺炎、风疹、急性出血性结膜炎、麻风病、流行性和地方性斑疹伤寒、黑热病、包虫病、丝虫病，除霍乱、细菌性和阿米巴性痢疾、伤寒和副伤寒以外的感染性腹泻病。〕</w:t>
      </w:r>
    </w:p>
    <w:p w14:paraId="289D8A94">
      <w:pPr>
        <w:keepNext w:val="0"/>
        <w:keepLines w:val="0"/>
        <w:pageBreakBefore w:val="0"/>
        <w:widowControl w:val="0"/>
        <w:kinsoku w:val="0"/>
        <w:wordWrap/>
        <w:overflowPunct w:val="0"/>
        <w:topLinePunct w:val="0"/>
        <w:autoSpaceDE/>
        <w:autoSpaceDN/>
        <w:bidi w:val="0"/>
        <w:adjustRightInd/>
        <w:snapToGrid/>
        <w:spacing w:before="0" w:line="560" w:lineRule="exact"/>
        <w:ind w:left="0" w:leftChars="0" w:firstLine="0" w:firstLineChars="0"/>
        <w:textAlignment w:val="auto"/>
        <w:outlineLvl w:val="9"/>
        <w:rPr>
          <w:rFonts w:hint="eastAsia"/>
          <w:sz w:val="24"/>
        </w:rPr>
        <w:sectPr>
          <w:pgSz w:w="11910" w:h="16840"/>
          <w:pgMar w:top="1600" w:right="1340" w:bottom="1640" w:left="1340" w:header="0" w:footer="1459" w:gutter="0"/>
          <w:lnNumType w:countBy="0" w:distance="360"/>
          <w:pgNumType w:fmt="numberInDash"/>
          <w:cols w:space="720" w:num="1"/>
        </w:sectPr>
      </w:pPr>
    </w:p>
    <w:p w14:paraId="54433156">
      <w:pPr>
        <w:keepNext w:val="0"/>
        <w:keepLines w:val="0"/>
        <w:pageBreakBefore w:val="0"/>
        <w:widowControl w:val="0"/>
        <w:numPr>
          <w:ilvl w:val="0"/>
          <w:numId w:val="0"/>
        </w:numPr>
        <w:kinsoku w:val="0"/>
        <w:wordWrap/>
        <w:overflowPunct w:val="0"/>
        <w:topLinePunct w:val="0"/>
        <w:autoSpaceDE/>
        <w:autoSpaceDN/>
        <w:bidi w:val="0"/>
        <w:adjustRightInd/>
        <w:snapToGrid/>
        <w:spacing w:line="560" w:lineRule="exact"/>
        <w:ind w:firstLine="643" w:firstLineChars="200"/>
        <w:textAlignment w:val="auto"/>
        <w:outlineLvl w:val="9"/>
        <w:rPr>
          <w:rFonts w:hint="eastAsia" w:ascii="楷体" w:hAnsi="楷体" w:eastAsia="楷体" w:cs="Times New Roman"/>
          <w:b/>
          <w:bCs/>
          <w:spacing w:val="1"/>
          <w:sz w:val="32"/>
          <w:szCs w:val="32"/>
        </w:rPr>
      </w:pPr>
      <w:r>
        <w:rPr>
          <w:rFonts w:hint="eastAsia" w:ascii="仿宋_GB2312" w:hAnsi="仿宋_GB2312" w:eastAsia="仿宋_GB2312" w:cs="Times New Roman"/>
          <w:b/>
          <w:bCs/>
          <w:sz w:val="32"/>
          <w:szCs w:val="32"/>
          <w:lang w:eastAsia="zh-CN"/>
        </w:rPr>
        <w:t>（二）突发动物疫情</w:t>
      </w:r>
      <w:bookmarkEnd w:id="194"/>
    </w:p>
    <w:tbl>
      <w:tblPr>
        <w:tblStyle w:val="16"/>
        <w:tblW w:w="9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2147"/>
        <w:gridCol w:w="1873"/>
        <w:gridCol w:w="1873"/>
        <w:gridCol w:w="1874"/>
      </w:tblGrid>
      <w:tr w14:paraId="0ACF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B8CCE4"/>
            <w:vAlign w:val="center"/>
          </w:tcPr>
          <w:p w14:paraId="703C42A2">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突发动物</w:t>
            </w:r>
          </w:p>
          <w:p w14:paraId="6245D3B7">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疫情</w:t>
            </w: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B8CCE4"/>
          </w:tcPr>
          <w:p w14:paraId="5D5AD665">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p>
          <w:p w14:paraId="3408734E">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特大</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B8CCE4"/>
          </w:tcPr>
          <w:p w14:paraId="66A0231B">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p>
          <w:p w14:paraId="086782D3">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重大</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B8CCE4"/>
          </w:tcPr>
          <w:p w14:paraId="201021E2">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p>
          <w:p w14:paraId="6DF8971D">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较大</w:t>
            </w: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B8CCE4"/>
          </w:tcPr>
          <w:p w14:paraId="5EAEA6AB">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p>
          <w:p w14:paraId="65104981">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黑体" w:hAnsi="黑体" w:eastAsia="黑体" w:cs="Times New Roman"/>
                <w:b w:val="0"/>
                <w:spacing w:val="1"/>
                <w:sz w:val="21"/>
                <w:szCs w:val="21"/>
                <w:lang w:eastAsia="zh-CN"/>
              </w:rPr>
            </w:pPr>
            <w:r>
              <w:rPr>
                <w:rFonts w:hint="eastAsia" w:ascii="黑体" w:hAnsi="黑体" w:eastAsia="黑体" w:cs="Times New Roman"/>
                <w:b w:val="0"/>
                <w:spacing w:val="1"/>
                <w:sz w:val="21"/>
                <w:szCs w:val="21"/>
                <w:lang w:eastAsia="zh-CN"/>
              </w:rPr>
              <w:t>一般</w:t>
            </w:r>
          </w:p>
        </w:tc>
      </w:tr>
      <w:tr w14:paraId="2BA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DCE6F2"/>
            <w:vAlign w:val="center"/>
          </w:tcPr>
          <w:p w14:paraId="62A0E36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高致病性</w:t>
            </w:r>
          </w:p>
          <w:p w14:paraId="0FD21B5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kern w:val="2"/>
                <w:sz w:val="21"/>
                <w:szCs w:val="21"/>
                <w:lang w:val="en-US" w:eastAsia="zh-CN" w:bidi="ar-SA"/>
              </w:rPr>
            </w:pPr>
            <w:r>
              <w:rPr>
                <w:rFonts w:hint="eastAsia" w:ascii="宋体" w:hAnsi="宋体" w:eastAsia="宋体" w:cs="Times New Roman"/>
                <w:kern w:val="2"/>
                <w:sz w:val="21"/>
                <w:szCs w:val="21"/>
                <w:lang w:val="en-US" w:eastAsia="zh-CN" w:bidi="ar-SA"/>
              </w:rPr>
              <w:t>禽流感</w:t>
            </w: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25DA96E3">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lang w:val="en-US" w:eastAsia="zh-CN"/>
              </w:rPr>
            </w:pPr>
            <w:r>
              <w:rPr>
                <w:rFonts w:hint="eastAsia" w:ascii="宋体" w:hAnsi="宋体" w:eastAsia="宋体" w:cs="Times New Roman"/>
                <w:b w:val="0"/>
                <w:spacing w:val="1"/>
                <w:sz w:val="21"/>
                <w:szCs w:val="21"/>
              </w:rPr>
              <w:t>在21日内，相邻省份有10个以上县（市）发生疫情；或在1个省（区、市）内有20个以上县（市）发生或10个以上县（市）连片发生疫情</w:t>
            </w:r>
            <w:r>
              <w:rPr>
                <w:rFonts w:hint="eastAsia" w:ascii="宋体" w:hAnsi="宋体" w:eastAsia="宋体" w:cs="Times New Roman"/>
                <w:b w:val="0"/>
                <w:spacing w:val="1"/>
                <w:sz w:val="21"/>
                <w:szCs w:val="21"/>
                <w:lang w:eastAsia="zh-CN"/>
              </w:rPr>
              <w:t>。</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53A70363">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r>
              <w:rPr>
                <w:rFonts w:hint="eastAsia" w:ascii="宋体" w:hAnsi="宋体" w:eastAsia="宋体" w:cs="Times New Roman"/>
                <w:b w:val="0"/>
                <w:spacing w:val="1"/>
                <w:sz w:val="21"/>
                <w:szCs w:val="21"/>
              </w:rPr>
              <w:t>在21日内，在1 个省（区、市）内有2个以上市（地）发生疫情，或有 20个以上疫点，或者5—9个县（市）连片发生疫情。</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3D4AAD5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21</w:t>
            </w:r>
            <w:r>
              <w:rPr>
                <w:rFonts w:hint="eastAsia" w:ascii="宋体" w:hAnsi="宋体" w:eastAsia="宋体" w:cs="Times New Roman"/>
                <w:b w:val="0"/>
                <w:spacing w:val="1"/>
                <w:kern w:val="2"/>
                <w:sz w:val="21"/>
                <w:szCs w:val="21"/>
                <w:lang w:val="en-US" w:eastAsia="zh-CN" w:bidi="ar-SA"/>
              </w:rPr>
              <w:t>日内，在1个市（地）内2</w:t>
            </w:r>
            <w:r>
              <w:rPr>
                <w:rFonts w:hint="eastAsia" w:ascii="宋体" w:hAnsi="宋体" w:eastAsia="宋体" w:cs="Times New Roman"/>
                <w:kern w:val="2"/>
                <w:sz w:val="21"/>
                <w:szCs w:val="21"/>
                <w:lang w:val="en-US" w:eastAsia="zh-CN" w:bidi="ar-SA"/>
              </w:rPr>
              <w:t>个以上县（市）发生疫情，或疫点数达到</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3个以上。</w:t>
            </w:r>
          </w:p>
          <w:p w14:paraId="1386A1C1">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09C561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在1个县（市）内发生疫情。</w:t>
            </w:r>
          </w:p>
          <w:p w14:paraId="16F7C63D">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r>
      <w:tr w14:paraId="2BBB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DCE6F2"/>
          </w:tcPr>
          <w:p w14:paraId="1E1E6F20">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lang w:eastAsia="zh-CN"/>
              </w:rPr>
            </w:pPr>
          </w:p>
          <w:p w14:paraId="3B14F8EF">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lang w:eastAsia="zh-CN"/>
              </w:rPr>
            </w:pPr>
          </w:p>
          <w:p w14:paraId="695E9B3F">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lang w:eastAsia="zh-CN"/>
              </w:rPr>
            </w:pPr>
          </w:p>
          <w:p w14:paraId="3D137104">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r>
              <w:rPr>
                <w:rFonts w:hint="eastAsia" w:ascii="宋体" w:hAnsi="宋体" w:eastAsia="宋体" w:cs="Times New Roman"/>
                <w:b w:val="0"/>
                <w:spacing w:val="1"/>
                <w:sz w:val="21"/>
                <w:szCs w:val="21"/>
                <w:lang w:eastAsia="zh-CN"/>
              </w:rPr>
              <w:t>口蹄疫</w:t>
            </w: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00E15D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hint="eastAsia" w:ascii="宋体" w:hAnsi="宋体" w:eastAsia="宋体" w:cs="Times New Roman"/>
                <w:spacing w:val="-55"/>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14</w:t>
            </w:r>
            <w:r>
              <w:rPr>
                <w:rFonts w:hint="eastAsia" w:ascii="宋体" w:hAnsi="宋体" w:eastAsia="宋体" w:cs="Times New Roman"/>
                <w:spacing w:val="-1"/>
                <w:kern w:val="2"/>
                <w:sz w:val="21"/>
                <w:szCs w:val="21"/>
                <w:lang w:val="en-US" w:eastAsia="zh-CN" w:bidi="ar-SA"/>
              </w:rPr>
              <w:t>日内，在</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5个以上省份发生严重疫情，且疫区连片。</w:t>
            </w:r>
          </w:p>
          <w:p w14:paraId="3DF9C958">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0B17549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14</w:t>
            </w:r>
            <w:r>
              <w:rPr>
                <w:rFonts w:hint="eastAsia" w:ascii="宋体" w:hAnsi="宋体" w:eastAsia="宋体" w:cs="Times New Roman"/>
                <w:spacing w:val="-3"/>
                <w:kern w:val="2"/>
                <w:sz w:val="21"/>
                <w:szCs w:val="21"/>
                <w:lang w:val="en-US" w:eastAsia="zh-CN" w:bidi="ar-SA"/>
              </w:rPr>
              <w:t>日内，在1</w:t>
            </w:r>
            <w:r>
              <w:rPr>
                <w:rFonts w:hint="eastAsia" w:ascii="宋体" w:hAnsi="宋体" w:eastAsia="宋体" w:cs="Times New Roman"/>
                <w:kern w:val="2"/>
                <w:sz w:val="21"/>
                <w:szCs w:val="21"/>
                <w:lang w:val="en-US" w:eastAsia="zh-CN" w:bidi="ar-SA"/>
              </w:rPr>
              <w:t>个省（区、市）内有</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2个以上相邻</w:t>
            </w:r>
            <w:r>
              <w:rPr>
                <w:rFonts w:hint="eastAsia" w:ascii="宋体" w:hAnsi="宋体" w:eastAsia="宋体" w:cs="Times New Roman"/>
                <w:spacing w:val="-29"/>
                <w:kern w:val="2"/>
                <w:sz w:val="21"/>
                <w:szCs w:val="21"/>
                <w:lang w:val="en-US" w:eastAsia="zh-CN" w:bidi="ar-SA"/>
              </w:rPr>
              <w:t>市</w:t>
            </w:r>
            <w:r>
              <w:rPr>
                <w:rFonts w:hint="eastAsia" w:ascii="宋体" w:hAnsi="宋体" w:eastAsia="宋体" w:cs="Times New Roman"/>
                <w:kern w:val="2"/>
                <w:sz w:val="21"/>
                <w:szCs w:val="21"/>
                <w:lang w:val="en-US" w:eastAsia="zh-CN" w:bidi="ar-SA"/>
              </w:rPr>
              <w:t>（地</w:t>
            </w:r>
            <w:r>
              <w:rPr>
                <w:rFonts w:hint="eastAsia" w:ascii="宋体" w:hAnsi="宋体" w:eastAsia="宋体" w:cs="Times New Roman"/>
                <w:spacing w:val="-29"/>
                <w:kern w:val="2"/>
                <w:sz w:val="21"/>
                <w:szCs w:val="21"/>
                <w:lang w:val="en-US" w:eastAsia="zh-CN" w:bidi="ar-SA"/>
              </w:rPr>
              <w:t>）</w:t>
            </w:r>
            <w:r>
              <w:rPr>
                <w:rFonts w:hint="eastAsia" w:ascii="宋体" w:hAnsi="宋体" w:eastAsia="宋体" w:cs="Times New Roman"/>
                <w:kern w:val="2"/>
                <w:sz w:val="21"/>
                <w:szCs w:val="21"/>
                <w:lang w:val="en-US" w:eastAsia="zh-CN" w:bidi="ar-SA"/>
              </w:rPr>
              <w:t>或</w:t>
            </w:r>
            <w:r>
              <w:rPr>
                <w:rFonts w:hint="eastAsia" w:ascii="宋体" w:hAnsi="宋体" w:eastAsia="宋体" w:cs="Times New Roman"/>
                <w:spacing w:val="-55"/>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5个以上县（市）发生疫情，或有新的口蹄疫亚型出现并发生疫情。</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67F4EFB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14日内，在1个市（地）内</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2个以上县（市）发生疫情，或疫点数达到</w:t>
            </w:r>
            <w:r>
              <w:rPr>
                <w:rFonts w:hint="eastAsia" w:ascii="宋体" w:hAnsi="宋体" w:eastAsia="宋体" w:cs="Times New Roman"/>
                <w:spacing w:val="-54"/>
                <w:kern w:val="2"/>
                <w:sz w:val="21"/>
                <w:szCs w:val="21"/>
                <w:lang w:val="en-US" w:eastAsia="zh-CN" w:bidi="ar-SA"/>
              </w:rPr>
              <w:t xml:space="preserve"> </w:t>
            </w:r>
            <w:r>
              <w:rPr>
                <w:rFonts w:hint="eastAsia" w:ascii="宋体" w:hAnsi="宋体" w:eastAsia="宋体" w:cs="Times New Roman"/>
                <w:kern w:val="2"/>
                <w:sz w:val="21"/>
                <w:szCs w:val="21"/>
                <w:lang w:val="en-US" w:eastAsia="zh-CN" w:bidi="ar-SA"/>
              </w:rPr>
              <w:t>5个以上。</w:t>
            </w:r>
          </w:p>
          <w:p w14:paraId="4944A587">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35D0410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在1个县（市）内发生疫情。</w:t>
            </w:r>
          </w:p>
          <w:p w14:paraId="30EB028E">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r>
      <w:tr w14:paraId="7E5E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DCE6F2"/>
          </w:tcPr>
          <w:p w14:paraId="60CC2E9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59A2D4B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疯牛病等</w:t>
            </w:r>
          </w:p>
          <w:p w14:paraId="1C5103B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人畜共患病</w:t>
            </w:r>
          </w:p>
          <w:p w14:paraId="71AFD633">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78308077">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eastAsia" w:ascii="宋体" w:hAnsi="宋体" w:eastAsia="宋体" w:cs="Times New Roman"/>
                <w:b w:val="0"/>
                <w:spacing w:val="1"/>
                <w:sz w:val="21"/>
                <w:szCs w:val="21"/>
              </w:rPr>
            </w:pPr>
            <w:r>
              <w:rPr>
                <w:rFonts w:hint="eastAsia" w:ascii="宋体" w:hAnsi="宋体" w:eastAsia="宋体" w:cs="Times New Roman"/>
                <w:b w:val="0"/>
                <w:spacing w:val="1"/>
                <w:sz w:val="21"/>
                <w:szCs w:val="21"/>
              </w:rPr>
              <w:t>动物爆发感染到人，并继续大面积扩散蔓延。</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340CCE95">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p>
          <w:p w14:paraId="0A25933B">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r>
              <w:rPr>
                <w:rFonts w:hint="eastAsia" w:ascii="宋体" w:hAnsi="宋体" w:eastAsia="宋体" w:cs="Times New Roman"/>
                <w:b w:val="0"/>
                <w:spacing w:val="1"/>
                <w:sz w:val="21"/>
                <w:szCs w:val="21"/>
                <w:lang w:eastAsia="zh-CN"/>
              </w:rPr>
              <w:t>——</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3C52A051">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p>
          <w:p w14:paraId="52DEBDEE">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r>
              <w:rPr>
                <w:rFonts w:hint="eastAsia" w:ascii="宋体" w:hAnsi="宋体" w:eastAsia="宋体" w:cs="Times New Roman"/>
                <w:b w:val="0"/>
                <w:spacing w:val="1"/>
                <w:sz w:val="21"/>
                <w:szCs w:val="21"/>
                <w:lang w:eastAsia="zh-CN"/>
              </w:rPr>
              <w:t>——</w:t>
            </w: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5B2EEF9E">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p>
          <w:p w14:paraId="47B8A89A">
            <w:pPr>
              <w:keepNext w:val="0"/>
              <w:keepLines w:val="0"/>
              <w:pageBreakBefore w:val="0"/>
              <w:widowControl w:val="0"/>
              <w:numPr>
                <w:ilvl w:val="0"/>
                <w:numId w:val="0"/>
              </w:numPr>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val="0"/>
                <w:spacing w:val="1"/>
                <w:sz w:val="21"/>
                <w:szCs w:val="21"/>
                <w:lang w:eastAsia="zh-CN"/>
              </w:rPr>
            </w:pPr>
            <w:r>
              <w:rPr>
                <w:rFonts w:hint="eastAsia" w:ascii="宋体" w:hAnsi="宋体" w:eastAsia="宋体" w:cs="Times New Roman"/>
                <w:b w:val="0"/>
                <w:spacing w:val="1"/>
                <w:sz w:val="21"/>
                <w:szCs w:val="21"/>
                <w:lang w:eastAsia="zh-CN"/>
              </w:rPr>
              <w:t>——</w:t>
            </w:r>
          </w:p>
        </w:tc>
      </w:tr>
      <w:tr w14:paraId="5B76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DCE6F2"/>
          </w:tcPr>
          <w:p w14:paraId="221C6F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1454FD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6378346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猪瘟、 新城疫</w:t>
            </w: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1D83979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p>
          <w:p w14:paraId="0346709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p>
          <w:p w14:paraId="68F0A23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1E882F5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left"/>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在一个平均潜伏期内</w:t>
            </w:r>
            <w:r>
              <w:rPr>
                <w:rFonts w:hint="eastAsia" w:ascii="宋体" w:hAnsi="宋体" w:eastAsia="宋体" w:cs="Times New Roman"/>
                <w:spacing w:val="-1"/>
                <w:kern w:val="2"/>
                <w:sz w:val="21"/>
                <w:szCs w:val="21"/>
                <w:lang w:val="en-US" w:eastAsia="zh-CN" w:bidi="ar-SA"/>
              </w:rPr>
              <w:t>，</w:t>
            </w:r>
            <w:r>
              <w:rPr>
                <w:rFonts w:hint="default" w:ascii="宋体" w:hAnsi="宋体" w:eastAsia="宋体" w:cs="Times New Roman"/>
                <w:spacing w:val="-1"/>
                <w:kern w:val="2"/>
                <w:sz w:val="21"/>
                <w:szCs w:val="21"/>
                <w:lang w:val="en-US" w:eastAsia="zh-CN" w:bidi="ar-SA"/>
              </w:rPr>
              <w:t>20</w:t>
            </w:r>
            <w:r>
              <w:rPr>
                <w:rFonts w:hint="eastAsia" w:ascii="宋体" w:hAnsi="宋体" w:eastAsia="宋体" w:cs="Times New Roman"/>
                <w:spacing w:val="-1"/>
                <w:kern w:val="2"/>
                <w:sz w:val="21"/>
                <w:szCs w:val="21"/>
                <w:lang w:val="en-US" w:eastAsia="zh-CN" w:bidi="ar-SA"/>
              </w:rPr>
              <w:t>个以</w:t>
            </w:r>
            <w:r>
              <w:rPr>
                <w:rFonts w:hint="eastAsia" w:ascii="宋体" w:hAnsi="宋体" w:eastAsia="宋体" w:cs="Times New Roman"/>
                <w:kern w:val="2"/>
                <w:sz w:val="21"/>
                <w:szCs w:val="21"/>
                <w:lang w:val="en-US" w:eastAsia="zh-CN" w:bidi="ar-SA"/>
              </w:rPr>
              <w:t>上</w:t>
            </w:r>
            <w:r>
              <w:rPr>
                <w:rFonts w:hint="eastAsia" w:ascii="宋体" w:hAnsi="宋体" w:eastAsia="宋体" w:cs="Times New Roman"/>
                <w:spacing w:val="-30"/>
                <w:kern w:val="2"/>
                <w:sz w:val="21"/>
                <w:szCs w:val="21"/>
                <w:lang w:val="en-US" w:eastAsia="zh-CN" w:bidi="ar-SA"/>
              </w:rPr>
              <w:t>县</w:t>
            </w:r>
            <w:r>
              <w:rPr>
                <w:rFonts w:hint="eastAsia" w:ascii="宋体" w:hAnsi="宋体" w:eastAsia="宋体" w:cs="Times New Roman"/>
                <w:kern w:val="2"/>
                <w:sz w:val="21"/>
                <w:szCs w:val="21"/>
                <w:lang w:val="en-US" w:eastAsia="zh-CN" w:bidi="ar-SA"/>
              </w:rPr>
              <w:t>（市）发生猪瘟、新城疫疫</w:t>
            </w:r>
            <w:r>
              <w:rPr>
                <w:rFonts w:hint="eastAsia" w:ascii="宋体" w:hAnsi="宋体" w:eastAsia="宋体" w:cs="Times New Roman"/>
                <w:spacing w:val="-1"/>
                <w:kern w:val="2"/>
                <w:sz w:val="21"/>
                <w:szCs w:val="21"/>
                <w:lang w:val="en-US" w:eastAsia="zh-CN" w:bidi="ar-SA"/>
              </w:rPr>
              <w:t>情，或疫点数达到</w:t>
            </w:r>
            <w:r>
              <w:rPr>
                <w:rFonts w:hint="default" w:ascii="宋体" w:hAnsi="宋体" w:eastAsia="宋体" w:cs="Times New Roman"/>
                <w:spacing w:val="-1"/>
                <w:kern w:val="2"/>
                <w:sz w:val="21"/>
                <w:szCs w:val="21"/>
                <w:lang w:val="en-US" w:eastAsia="zh-CN" w:bidi="ar-SA"/>
              </w:rPr>
              <w:t>30</w:t>
            </w:r>
            <w:r>
              <w:rPr>
                <w:rFonts w:hint="eastAsia" w:ascii="宋体" w:hAnsi="宋体" w:eastAsia="宋体" w:cs="Times New Roman"/>
                <w:kern w:val="2"/>
                <w:sz w:val="21"/>
                <w:szCs w:val="21"/>
                <w:lang w:val="en-US" w:eastAsia="zh-CN" w:bidi="ar-SA"/>
              </w:rPr>
              <w:t>个以上。</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385304F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在一个平均潜伏期内，</w:t>
            </w:r>
            <w:r>
              <w:rPr>
                <w:rFonts w:hint="eastAsia" w:ascii="宋体" w:hAnsi="宋体" w:eastAsia="宋体" w:cs="Times New Roman"/>
                <w:spacing w:val="-1"/>
                <w:kern w:val="2"/>
                <w:sz w:val="21"/>
                <w:szCs w:val="21"/>
                <w:lang w:val="en-US" w:eastAsia="zh-CN" w:bidi="ar-SA"/>
              </w:rPr>
              <w:t xml:space="preserve">在 </w:t>
            </w:r>
            <w:r>
              <w:rPr>
                <w:rFonts w:hint="default" w:ascii="宋体" w:hAnsi="宋体" w:eastAsia="宋体" w:cs="Times New Roman"/>
                <w:spacing w:val="-1"/>
                <w:kern w:val="2"/>
                <w:sz w:val="21"/>
                <w:szCs w:val="21"/>
                <w:lang w:val="en-US" w:eastAsia="zh-CN" w:bidi="ar-SA"/>
              </w:rPr>
              <w:t>1</w:t>
            </w:r>
            <w:r>
              <w:rPr>
                <w:rFonts w:hint="eastAsia" w:ascii="宋体" w:hAnsi="宋体" w:eastAsia="宋体" w:cs="Times New Roman"/>
                <w:spacing w:val="-1"/>
                <w:kern w:val="2"/>
                <w:sz w:val="21"/>
                <w:szCs w:val="21"/>
                <w:lang w:val="en-US" w:eastAsia="zh-CN" w:bidi="ar-SA"/>
              </w:rPr>
              <w:t xml:space="preserve">个市（地）内 </w:t>
            </w:r>
            <w:r>
              <w:rPr>
                <w:rFonts w:hint="default" w:ascii="宋体" w:hAnsi="宋体" w:eastAsia="宋体" w:cs="Times New Roman"/>
                <w:spacing w:val="-1"/>
                <w:kern w:val="2"/>
                <w:sz w:val="21"/>
                <w:szCs w:val="21"/>
                <w:lang w:val="en-US" w:eastAsia="zh-CN" w:bidi="ar-SA"/>
              </w:rPr>
              <w:t>5</w:t>
            </w:r>
            <w:r>
              <w:rPr>
                <w:rFonts w:hint="eastAsia" w:ascii="宋体" w:hAnsi="宋体" w:eastAsia="宋体" w:cs="Times New Roman"/>
                <w:spacing w:val="-1"/>
                <w:kern w:val="2"/>
                <w:sz w:val="21"/>
                <w:szCs w:val="21"/>
                <w:lang w:val="en-US" w:eastAsia="zh-CN" w:bidi="ar-SA"/>
              </w:rPr>
              <w:t>个以上县（区）</w:t>
            </w:r>
            <w:r>
              <w:rPr>
                <w:rFonts w:hint="eastAsia" w:ascii="宋体" w:hAnsi="宋体" w:eastAsia="宋体" w:cs="Times New Roman"/>
                <w:kern w:val="2"/>
                <w:sz w:val="21"/>
                <w:szCs w:val="21"/>
                <w:lang w:val="en-US" w:eastAsia="zh-CN" w:bidi="ar-SA"/>
              </w:rPr>
              <w:t xml:space="preserve">发生疫情，或疫点数达到 </w:t>
            </w:r>
            <w:r>
              <w:rPr>
                <w:rFonts w:hint="default" w:ascii="宋体" w:hAnsi="宋体" w:eastAsia="宋体" w:cs="Times New Roman"/>
                <w:kern w:val="2"/>
                <w:sz w:val="21"/>
                <w:szCs w:val="21"/>
                <w:lang w:val="en-US" w:eastAsia="zh-CN" w:bidi="ar-SA"/>
              </w:rPr>
              <w:t xml:space="preserve">10 </w:t>
            </w:r>
            <w:r>
              <w:rPr>
                <w:rFonts w:hint="eastAsia" w:ascii="宋体" w:hAnsi="宋体" w:eastAsia="宋体" w:cs="Times New Roman"/>
                <w:spacing w:val="-1"/>
                <w:kern w:val="2"/>
                <w:sz w:val="21"/>
                <w:szCs w:val="21"/>
                <w:lang w:val="en-US" w:eastAsia="zh-CN" w:bidi="ar-SA"/>
              </w:rPr>
              <w:t>个以上。</w:t>
            </w: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42DDFB5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spacing w:val="12"/>
                <w:kern w:val="2"/>
                <w:sz w:val="21"/>
                <w:szCs w:val="32"/>
                <w:lang w:val="en-US" w:eastAsia="zh-CN" w:bidi="ar-SA"/>
              </w:rPr>
              <w:t>在</w:t>
            </w:r>
            <w:r>
              <w:rPr>
                <w:rFonts w:hint="default" w:ascii="宋体" w:hAnsi="宋体" w:eastAsia="宋体" w:cs="Times New Roman"/>
                <w:spacing w:val="12"/>
                <w:kern w:val="2"/>
                <w:sz w:val="21"/>
                <w:szCs w:val="32"/>
                <w:lang w:val="en-US" w:eastAsia="zh-CN" w:bidi="ar-SA"/>
              </w:rPr>
              <w:t>1</w:t>
            </w:r>
            <w:r>
              <w:rPr>
                <w:rFonts w:hint="eastAsia" w:ascii="宋体" w:hAnsi="宋体" w:eastAsia="宋体" w:cs="Times New Roman"/>
                <w:spacing w:val="12"/>
                <w:kern w:val="2"/>
                <w:sz w:val="21"/>
                <w:szCs w:val="32"/>
                <w:lang w:val="en-US" w:eastAsia="zh-CN" w:bidi="ar-SA"/>
              </w:rPr>
              <w:t>个</w:t>
            </w:r>
            <w:r>
              <w:rPr>
                <w:rFonts w:hint="eastAsia" w:ascii="宋体" w:hAnsi="宋体" w:eastAsia="宋体" w:cs="Times New Roman"/>
                <w:kern w:val="2"/>
                <w:sz w:val="21"/>
                <w:szCs w:val="21"/>
                <w:lang w:val="en-US" w:eastAsia="zh-CN" w:bidi="ar-SA"/>
              </w:rPr>
              <w:t>县（市）内发生疫情。</w:t>
            </w:r>
          </w:p>
        </w:tc>
      </w:tr>
      <w:tr w14:paraId="4AB2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599" w:type="dxa"/>
            <w:tcBorders>
              <w:top w:val="single" w:color="auto" w:sz="4" w:space="0"/>
              <w:left w:val="single" w:color="auto" w:sz="4" w:space="0"/>
              <w:bottom w:val="single" w:color="auto" w:sz="4" w:space="0"/>
              <w:right w:val="single" w:color="auto" w:sz="4" w:space="0"/>
              <w:tl2br w:val="nil"/>
              <w:tr2bl w:val="nil"/>
            </w:tcBorders>
            <w:shd w:val="clear" w:color="auto" w:fill="DCE6F2"/>
          </w:tcPr>
          <w:p w14:paraId="4002709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7B2EB24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5AAB1D4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牛瘟、</w:t>
            </w:r>
          </w:p>
          <w:p w14:paraId="72448CB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牛肺疫等</w:t>
            </w:r>
          </w:p>
        </w:tc>
        <w:tc>
          <w:tcPr>
            <w:tcW w:w="2147"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06B4D8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p>
          <w:p w14:paraId="74F1307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p>
          <w:p w14:paraId="51766E6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21"/>
                <w:lang w:val="en-US" w:eastAsia="zh-CN" w:bidi="ar-SA"/>
              </w:rPr>
            </w:pPr>
          </w:p>
          <w:p w14:paraId="47C9FA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720D7CD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spacing w:val="12"/>
                <w:kern w:val="2"/>
                <w:sz w:val="21"/>
                <w:szCs w:val="21"/>
                <w:lang w:val="en-US" w:eastAsia="zh-CN" w:bidi="ar-SA"/>
              </w:rPr>
              <w:t>我国已消灭的牛瘟、牛肺疫等又有发生，或我国尚未发生的疯牛病、非洲猪瘟、非洲马瘟等疫病传入或</w:t>
            </w:r>
            <w:r>
              <w:rPr>
                <w:rFonts w:hint="eastAsia" w:ascii="宋体" w:hAnsi="宋体" w:eastAsia="宋体" w:cs="Times New Roman"/>
                <w:kern w:val="2"/>
                <w:sz w:val="21"/>
                <w:szCs w:val="21"/>
                <w:lang w:val="en-US" w:eastAsia="zh-CN" w:bidi="ar-SA"/>
              </w:rPr>
              <w:t>发生。</w:t>
            </w:r>
          </w:p>
        </w:tc>
        <w:tc>
          <w:tcPr>
            <w:tcW w:w="1873"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22C688A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7DBCCB9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4EE4541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0E5E671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w:t>
            </w:r>
          </w:p>
        </w:tc>
        <w:tc>
          <w:tcPr>
            <w:tcW w:w="1874" w:type="dxa"/>
            <w:tcBorders>
              <w:top w:val="single" w:color="auto" w:sz="4" w:space="0"/>
              <w:left w:val="single" w:color="auto" w:sz="4" w:space="0"/>
              <w:bottom w:val="single" w:color="auto" w:sz="4" w:space="0"/>
              <w:right w:val="single" w:color="auto" w:sz="4" w:space="0"/>
              <w:tl2br w:val="nil"/>
              <w:tr2bl w:val="nil"/>
            </w:tcBorders>
            <w:shd w:val="clear" w:color="auto" w:fill="F1F1F1"/>
          </w:tcPr>
          <w:p w14:paraId="581CE96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328E8D5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0AC293E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21"/>
                <w:lang w:val="en-US" w:eastAsia="zh-CN" w:bidi="ar-SA"/>
              </w:rPr>
            </w:pPr>
          </w:p>
          <w:p w14:paraId="119BA72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spacing w:val="1"/>
                <w:kern w:val="2"/>
                <w:sz w:val="21"/>
                <w:szCs w:val="21"/>
                <w:lang w:val="en-US" w:eastAsia="zh-CN" w:bidi="ar-SA"/>
              </w:rPr>
            </w:pPr>
            <w:r>
              <w:rPr>
                <w:rFonts w:hint="eastAsia" w:ascii="宋体" w:hAnsi="宋体" w:eastAsia="宋体" w:cs="Times New Roman"/>
                <w:kern w:val="2"/>
                <w:sz w:val="21"/>
                <w:szCs w:val="21"/>
                <w:lang w:val="en-US" w:eastAsia="zh-CN" w:bidi="ar-SA"/>
              </w:rPr>
              <w:t>——</w:t>
            </w:r>
          </w:p>
        </w:tc>
      </w:tr>
    </w:tbl>
    <w:p w14:paraId="266008F3">
      <w:pPr>
        <w:outlineLvl w:val="9"/>
        <w:rPr>
          <w:rFonts w:hint="eastAsia"/>
        </w:rPr>
        <w:sectPr>
          <w:pgSz w:w="11910" w:h="16840"/>
          <w:pgMar w:top="1600" w:right="1420" w:bottom="1640" w:left="1400" w:header="720" w:footer="720" w:gutter="0"/>
          <w:lnNumType w:countBy="0" w:distance="360"/>
          <w:pgNumType w:fmt="numberInDash"/>
          <w:cols w:space="425" w:num="1"/>
        </w:sectPr>
      </w:pPr>
    </w:p>
    <w:p w14:paraId="17B25963">
      <w:pPr>
        <w:spacing w:line="600" w:lineRule="exact"/>
        <w:ind w:left="0" w:leftChars="0" w:firstLine="0" w:firstLineChars="0"/>
        <w:outlineLvl w:val="9"/>
        <w:rPr>
          <w:rFonts w:hint="default" w:ascii="Times New Roman" w:hAnsi="Times New Roman" w:eastAsia="仿宋_GB2312" w:cs="Times New Roman"/>
          <w:sz w:val="24"/>
          <w:szCs w:val="32"/>
        </w:rPr>
      </w:pPr>
    </w:p>
    <w:tbl>
      <w:tblPr>
        <w:tblStyle w:val="16"/>
        <w:tblW w:w="93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60"/>
        <w:gridCol w:w="1860"/>
        <w:gridCol w:w="1890"/>
        <w:gridCol w:w="1845"/>
        <w:gridCol w:w="1875"/>
      </w:tblGrid>
      <w:tr w14:paraId="1144C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9" w:hRule="exact"/>
          <w:jc w:val="center"/>
        </w:trPr>
        <w:tc>
          <w:tcPr>
            <w:tcW w:w="1860" w:type="dxa"/>
            <w:tcBorders>
              <w:top w:val="single" w:color="000000" w:sz="4" w:space="0"/>
              <w:left w:val="single" w:color="000000" w:sz="4" w:space="0"/>
              <w:bottom w:val="single" w:color="000000" w:sz="4" w:space="0"/>
              <w:right w:val="single" w:color="000000" w:sz="4" w:space="0"/>
              <w:tl2br w:val="nil"/>
              <w:tr2bl w:val="nil"/>
            </w:tcBorders>
            <w:shd w:val="clear" w:color="auto" w:fill="DCE6F2"/>
            <w:vAlign w:val="center"/>
          </w:tcPr>
          <w:p w14:paraId="7171D3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spacing w:val="45"/>
                <w:kern w:val="2"/>
                <w:sz w:val="21"/>
                <w:szCs w:val="32"/>
                <w:lang w:val="en-US" w:eastAsia="zh-CN" w:bidi="ar-SA"/>
              </w:rPr>
              <w:t>布鲁</w:t>
            </w:r>
            <w:r>
              <w:rPr>
                <w:rFonts w:hint="eastAsia" w:ascii="宋体" w:hAnsi="宋体" w:eastAsia="宋体" w:cs="Times New Roman"/>
                <w:kern w:val="2"/>
                <w:sz w:val="21"/>
                <w:szCs w:val="32"/>
                <w:lang w:val="en-US" w:eastAsia="zh-CN" w:bidi="ar-SA"/>
              </w:rPr>
              <w:t>氏</w:t>
            </w:r>
            <w:r>
              <w:rPr>
                <w:rFonts w:hint="eastAsia" w:ascii="宋体" w:hAnsi="宋体" w:eastAsia="宋体" w:cs="Times New Roman"/>
                <w:spacing w:val="-60"/>
                <w:kern w:val="2"/>
                <w:sz w:val="21"/>
                <w:szCs w:val="32"/>
                <w:lang w:val="en-US" w:eastAsia="zh-CN" w:bidi="ar-SA"/>
              </w:rPr>
              <w:t xml:space="preserve"> </w:t>
            </w:r>
            <w:r>
              <w:rPr>
                <w:rFonts w:hint="eastAsia" w:ascii="宋体" w:hAnsi="宋体" w:eastAsia="宋体" w:cs="Times New Roman"/>
                <w:spacing w:val="45"/>
                <w:kern w:val="2"/>
                <w:sz w:val="21"/>
                <w:szCs w:val="32"/>
                <w:lang w:val="en-US" w:eastAsia="zh-CN" w:bidi="ar-SA"/>
              </w:rPr>
              <w:t>菌病、</w:t>
            </w:r>
            <w:r>
              <w:rPr>
                <w:rFonts w:hint="eastAsia" w:ascii="宋体" w:hAnsi="宋体" w:eastAsia="宋体" w:cs="Times New Roman"/>
                <w:kern w:val="2"/>
                <w:sz w:val="21"/>
                <w:szCs w:val="32"/>
                <w:lang w:val="en-US" w:eastAsia="zh-CN" w:bidi="ar-SA"/>
              </w:rPr>
              <w:t>结核</w:t>
            </w:r>
            <w:r>
              <w:rPr>
                <w:rFonts w:hint="eastAsia" w:ascii="宋体" w:hAnsi="宋体" w:eastAsia="宋体" w:cs="Times New Roman"/>
                <w:spacing w:val="45"/>
                <w:kern w:val="2"/>
                <w:sz w:val="21"/>
                <w:szCs w:val="32"/>
                <w:lang w:val="en-US" w:eastAsia="zh-CN" w:bidi="ar-SA"/>
              </w:rPr>
              <w:t>病、</w:t>
            </w:r>
            <w:r>
              <w:rPr>
                <w:rFonts w:hint="eastAsia" w:ascii="宋体" w:hAnsi="宋体" w:eastAsia="宋体" w:cs="Times New Roman"/>
                <w:kern w:val="2"/>
                <w:sz w:val="21"/>
                <w:szCs w:val="32"/>
                <w:lang w:val="en-US" w:eastAsia="zh-CN" w:bidi="ar-SA"/>
              </w:rPr>
              <w:t>狂</w:t>
            </w:r>
            <w:r>
              <w:rPr>
                <w:rFonts w:hint="eastAsia" w:ascii="宋体" w:hAnsi="宋体" w:eastAsia="宋体" w:cs="Times New Roman"/>
                <w:spacing w:val="120"/>
                <w:kern w:val="2"/>
                <w:sz w:val="21"/>
                <w:szCs w:val="32"/>
                <w:lang w:val="en-US" w:eastAsia="zh-CN" w:bidi="ar-SA"/>
              </w:rPr>
              <w:t xml:space="preserve"> </w:t>
            </w:r>
            <w:r>
              <w:rPr>
                <w:rFonts w:hint="eastAsia" w:ascii="宋体" w:hAnsi="宋体" w:eastAsia="宋体" w:cs="Times New Roman"/>
                <w:spacing w:val="45"/>
                <w:kern w:val="2"/>
                <w:sz w:val="21"/>
                <w:szCs w:val="32"/>
                <w:lang w:val="en-US" w:eastAsia="zh-CN" w:bidi="ar-SA"/>
              </w:rPr>
              <w:t>犬病</w:t>
            </w:r>
            <w:r>
              <w:rPr>
                <w:rFonts w:hint="eastAsia" w:ascii="宋体" w:hAnsi="宋体" w:eastAsia="宋体" w:cs="Times New Roman"/>
                <w:kern w:val="2"/>
                <w:sz w:val="21"/>
                <w:szCs w:val="32"/>
                <w:lang w:val="en-US" w:eastAsia="zh-CN" w:bidi="ar-SA"/>
              </w:rPr>
              <w:t>、</w:t>
            </w:r>
            <w:r>
              <w:rPr>
                <w:rFonts w:hint="eastAsia" w:ascii="宋体" w:hAnsi="宋体" w:eastAsia="宋体" w:cs="Times New Roman"/>
                <w:spacing w:val="45"/>
                <w:kern w:val="2"/>
                <w:sz w:val="21"/>
                <w:szCs w:val="32"/>
                <w:lang w:val="en-US" w:eastAsia="zh-CN" w:bidi="ar-SA"/>
              </w:rPr>
              <w:t>炭疽</w:t>
            </w:r>
            <w:r>
              <w:rPr>
                <w:rFonts w:hint="eastAsia" w:ascii="宋体" w:hAnsi="宋体" w:eastAsia="宋体" w:cs="Times New Roman"/>
                <w:kern w:val="2"/>
                <w:sz w:val="21"/>
                <w:szCs w:val="32"/>
                <w:lang w:val="en-US" w:eastAsia="zh-CN" w:bidi="ar-SA"/>
              </w:rPr>
              <w:t>等</w:t>
            </w:r>
            <w:r>
              <w:rPr>
                <w:rFonts w:hint="eastAsia" w:ascii="宋体" w:hAnsi="宋体" w:eastAsia="宋体" w:cs="Times New Roman"/>
                <w:spacing w:val="-60"/>
                <w:kern w:val="2"/>
                <w:sz w:val="21"/>
                <w:szCs w:val="32"/>
                <w:lang w:val="en-US" w:eastAsia="zh-CN" w:bidi="ar-SA"/>
              </w:rPr>
              <w:t xml:space="preserve"> </w:t>
            </w:r>
            <w:r>
              <w:rPr>
                <w:rFonts w:hint="eastAsia" w:ascii="宋体" w:hAnsi="宋体" w:eastAsia="宋体" w:cs="Times New Roman"/>
                <w:spacing w:val="45"/>
                <w:kern w:val="2"/>
                <w:sz w:val="21"/>
                <w:szCs w:val="32"/>
                <w:lang w:val="en-US" w:eastAsia="zh-CN" w:bidi="ar-SA"/>
              </w:rPr>
              <w:t>二类</w:t>
            </w:r>
            <w:r>
              <w:rPr>
                <w:rFonts w:hint="eastAsia" w:ascii="宋体" w:hAnsi="宋体" w:eastAsia="宋体" w:cs="Times New Roman"/>
                <w:kern w:val="2"/>
                <w:sz w:val="21"/>
                <w:szCs w:val="32"/>
                <w:lang w:val="en-US" w:eastAsia="zh-CN" w:bidi="ar-SA"/>
              </w:rPr>
              <w:t>动</w:t>
            </w:r>
            <w:r>
              <w:rPr>
                <w:rFonts w:hint="eastAsia" w:ascii="宋体" w:hAnsi="宋体" w:eastAsia="宋体" w:cs="Times New Roman"/>
                <w:spacing w:val="-60"/>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物疫病</w:t>
            </w:r>
          </w:p>
        </w:tc>
        <w:tc>
          <w:tcPr>
            <w:tcW w:w="1860"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6BEAB6A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0B5D92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20144A2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7BFBF66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384DB14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c>
          <w:tcPr>
            <w:tcW w:w="1890"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3807906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在</w:t>
            </w:r>
            <w:r>
              <w:rPr>
                <w:rFonts w:hint="default" w:ascii="宋体" w:hAnsi="宋体" w:eastAsia="宋体" w:cs="Times New Roman"/>
                <w:spacing w:val="12"/>
                <w:kern w:val="2"/>
                <w:sz w:val="21"/>
                <w:szCs w:val="32"/>
                <w:lang w:val="en-US" w:eastAsia="zh-CN" w:bidi="ar-SA"/>
              </w:rPr>
              <w:t>1</w:t>
            </w:r>
            <w:r>
              <w:rPr>
                <w:rFonts w:hint="eastAsia" w:ascii="宋体" w:hAnsi="宋体" w:eastAsia="宋体" w:cs="Times New Roman"/>
                <w:spacing w:val="12"/>
                <w:kern w:val="2"/>
                <w:sz w:val="21"/>
                <w:szCs w:val="32"/>
                <w:lang w:val="en-US" w:eastAsia="zh-CN" w:bidi="ar-SA"/>
              </w:rPr>
              <w:t>个</w:t>
            </w:r>
            <w:r>
              <w:rPr>
                <w:rFonts w:hint="eastAsia" w:ascii="宋体" w:hAnsi="宋体" w:eastAsia="宋体" w:cs="Times New Roman"/>
                <w:kern w:val="2"/>
                <w:sz w:val="21"/>
                <w:szCs w:val="32"/>
                <w:lang w:val="en-US" w:eastAsia="zh-CN" w:bidi="ar-SA"/>
              </w:rPr>
              <w:t>平均潜伏期内，</w:t>
            </w:r>
            <w:r>
              <w:rPr>
                <w:rFonts w:hint="eastAsia" w:ascii="宋体" w:hAnsi="宋体" w:eastAsia="宋体" w:cs="Times New Roman"/>
                <w:spacing w:val="12"/>
                <w:kern w:val="2"/>
                <w:sz w:val="21"/>
                <w:szCs w:val="32"/>
                <w:lang w:val="en-US" w:eastAsia="zh-CN" w:bidi="ar-SA"/>
              </w:rPr>
              <w:t>二类动物疫病呈爆发</w:t>
            </w:r>
            <w:r>
              <w:rPr>
                <w:rFonts w:hint="eastAsia" w:ascii="宋体" w:hAnsi="宋体" w:eastAsia="宋体" w:cs="Times New Roman"/>
                <w:kern w:val="2"/>
                <w:sz w:val="21"/>
                <w:szCs w:val="32"/>
                <w:lang w:val="en-US" w:eastAsia="zh-CN" w:bidi="ar-SA"/>
              </w:rPr>
              <w:t>流行，波及</w:t>
            </w:r>
            <w:r>
              <w:rPr>
                <w:rFonts w:hint="default" w:ascii="宋体" w:hAnsi="宋体" w:eastAsia="宋体" w:cs="Times New Roman"/>
                <w:spacing w:val="-1"/>
                <w:kern w:val="2"/>
                <w:sz w:val="21"/>
                <w:szCs w:val="21"/>
                <w:lang w:val="en-US" w:eastAsia="zh-CN" w:bidi="ar-SA"/>
              </w:rPr>
              <w:t>3</w:t>
            </w:r>
            <w:r>
              <w:rPr>
                <w:rFonts w:hint="eastAsia" w:ascii="宋体" w:hAnsi="宋体" w:eastAsia="宋体" w:cs="Times New Roman"/>
                <w:spacing w:val="-1"/>
                <w:kern w:val="2"/>
                <w:sz w:val="21"/>
                <w:szCs w:val="21"/>
                <w:lang w:val="en-US" w:eastAsia="zh-CN" w:bidi="ar-SA"/>
              </w:rPr>
              <w:t>个</w:t>
            </w:r>
            <w:r>
              <w:rPr>
                <w:rFonts w:hint="eastAsia" w:ascii="宋体" w:hAnsi="宋体" w:eastAsia="宋体" w:cs="Times New Roman"/>
                <w:kern w:val="2"/>
                <w:sz w:val="21"/>
                <w:szCs w:val="32"/>
                <w:lang w:val="en-US" w:eastAsia="zh-CN" w:bidi="ar-SA"/>
              </w:rPr>
              <w:t>以上</w:t>
            </w:r>
            <w:r>
              <w:rPr>
                <w:rFonts w:hint="eastAsia" w:ascii="宋体" w:hAnsi="宋体" w:eastAsia="宋体" w:cs="Times New Roman"/>
                <w:spacing w:val="12"/>
                <w:kern w:val="2"/>
                <w:sz w:val="21"/>
                <w:szCs w:val="32"/>
                <w:lang w:val="en-US" w:eastAsia="zh-CN" w:bidi="ar-SA"/>
              </w:rPr>
              <w:t>市（地），或其中的人畜共患病发生感染人的病例，并有扩散</w:t>
            </w:r>
            <w:r>
              <w:rPr>
                <w:rFonts w:hint="eastAsia" w:ascii="宋体" w:hAnsi="宋体" w:eastAsia="宋体" w:cs="Times New Roman"/>
                <w:kern w:val="2"/>
                <w:sz w:val="21"/>
                <w:szCs w:val="32"/>
                <w:lang w:val="en-US" w:eastAsia="zh-CN" w:bidi="ar-SA"/>
              </w:rPr>
              <w:t>趋势。</w:t>
            </w:r>
          </w:p>
        </w:tc>
        <w:tc>
          <w:tcPr>
            <w:tcW w:w="184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7B77B9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在</w:t>
            </w:r>
            <w:r>
              <w:rPr>
                <w:rFonts w:hint="eastAsia" w:ascii="宋体" w:hAnsi="宋体" w:eastAsia="宋体" w:cs="Times New Roman"/>
                <w:spacing w:val="-54"/>
                <w:kern w:val="2"/>
                <w:sz w:val="21"/>
                <w:szCs w:val="32"/>
                <w:lang w:val="en-US" w:eastAsia="zh-CN" w:bidi="ar-SA"/>
              </w:rPr>
              <w:t xml:space="preserve"> </w:t>
            </w:r>
            <w:r>
              <w:rPr>
                <w:rFonts w:hint="default" w:ascii="宋体" w:hAnsi="宋体" w:eastAsia="宋体" w:cs="Times New Roman"/>
                <w:spacing w:val="-1"/>
                <w:kern w:val="2"/>
                <w:sz w:val="21"/>
                <w:szCs w:val="21"/>
                <w:lang w:val="en-US" w:eastAsia="zh-CN" w:bidi="ar-SA"/>
              </w:rPr>
              <w:t>1</w:t>
            </w:r>
            <w:r>
              <w:rPr>
                <w:rFonts w:hint="eastAsia" w:ascii="宋体" w:hAnsi="宋体" w:eastAsia="宋体" w:cs="Times New Roman"/>
                <w:spacing w:val="-1"/>
                <w:kern w:val="2"/>
                <w:sz w:val="21"/>
                <w:szCs w:val="21"/>
                <w:lang w:val="en-US" w:eastAsia="zh-CN" w:bidi="ar-SA"/>
              </w:rPr>
              <w:t>个平均潜伏期内，二</w:t>
            </w:r>
            <w:r>
              <w:rPr>
                <w:rFonts w:hint="eastAsia" w:ascii="宋体" w:hAnsi="宋体" w:eastAsia="宋体" w:cs="Times New Roman"/>
                <w:kern w:val="2"/>
                <w:sz w:val="21"/>
                <w:szCs w:val="32"/>
                <w:lang w:val="en-US" w:eastAsia="zh-CN" w:bidi="ar-SA"/>
              </w:rPr>
              <w:t>类动物疫病爆发流行。</w:t>
            </w:r>
          </w:p>
        </w:tc>
        <w:tc>
          <w:tcPr>
            <w:tcW w:w="187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0C58560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2C88F1A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spacing w:val="-1"/>
                <w:kern w:val="2"/>
                <w:sz w:val="21"/>
                <w:szCs w:val="32"/>
                <w:lang w:val="en-US" w:eastAsia="zh-CN" w:bidi="ar-SA"/>
              </w:rPr>
              <w:t>二、三类动</w:t>
            </w:r>
            <w:r>
              <w:rPr>
                <w:rFonts w:hint="eastAsia" w:ascii="宋体" w:hAnsi="宋体" w:eastAsia="宋体" w:cs="Times New Roman"/>
                <w:kern w:val="2"/>
                <w:sz w:val="21"/>
                <w:szCs w:val="32"/>
                <w:lang w:val="en-US" w:eastAsia="zh-CN" w:bidi="ar-SA"/>
              </w:rPr>
              <w:t>物疫病在 在</w:t>
            </w:r>
            <w:r>
              <w:rPr>
                <w:rFonts w:hint="eastAsia" w:ascii="宋体" w:hAnsi="宋体" w:eastAsia="宋体" w:cs="Times New Roman"/>
                <w:spacing w:val="-1"/>
                <w:kern w:val="2"/>
                <w:sz w:val="21"/>
                <w:szCs w:val="21"/>
                <w:lang w:val="en-US" w:eastAsia="zh-CN" w:bidi="ar-SA"/>
              </w:rPr>
              <w:t xml:space="preserve"> </w:t>
            </w:r>
            <w:r>
              <w:rPr>
                <w:rFonts w:hint="default" w:ascii="宋体" w:hAnsi="宋体" w:eastAsia="宋体" w:cs="Times New Roman"/>
                <w:spacing w:val="-1"/>
                <w:kern w:val="2"/>
                <w:sz w:val="21"/>
                <w:szCs w:val="21"/>
                <w:lang w:val="en-US" w:eastAsia="zh-CN" w:bidi="ar-SA"/>
              </w:rPr>
              <w:t>1</w:t>
            </w:r>
            <w:r>
              <w:rPr>
                <w:rFonts w:hint="eastAsia" w:ascii="宋体" w:hAnsi="宋体" w:eastAsia="宋体" w:cs="Times New Roman"/>
                <w:spacing w:val="-1"/>
                <w:kern w:val="2"/>
                <w:sz w:val="21"/>
                <w:szCs w:val="21"/>
                <w:lang w:val="en-US" w:eastAsia="zh-CN" w:bidi="ar-SA"/>
              </w:rPr>
              <w:t>个</w:t>
            </w:r>
            <w:r>
              <w:rPr>
                <w:rFonts w:hint="eastAsia" w:ascii="宋体" w:hAnsi="宋体" w:eastAsia="宋体" w:cs="Times New Roman"/>
                <w:kern w:val="2"/>
                <w:sz w:val="21"/>
                <w:szCs w:val="32"/>
                <w:lang w:val="en-US" w:eastAsia="zh-CN" w:bidi="ar-SA"/>
              </w:rPr>
              <w:t>县（市</w:t>
            </w:r>
            <w:r>
              <w:rPr>
                <w:rFonts w:hint="eastAsia" w:ascii="宋体" w:hAnsi="宋体" w:eastAsia="宋体" w:cs="Times New Roman"/>
                <w:spacing w:val="-105"/>
                <w:kern w:val="2"/>
                <w:sz w:val="21"/>
                <w:szCs w:val="32"/>
                <w:lang w:val="en-US" w:eastAsia="zh-CN" w:bidi="ar-SA"/>
              </w:rPr>
              <w:t>）</w:t>
            </w:r>
            <w:r>
              <w:rPr>
                <w:rFonts w:hint="eastAsia" w:ascii="宋体" w:hAnsi="宋体" w:eastAsia="宋体" w:cs="Times New Roman"/>
                <w:kern w:val="2"/>
                <w:sz w:val="21"/>
                <w:szCs w:val="32"/>
                <w:lang w:val="en-US" w:eastAsia="zh-CN" w:bidi="ar-SA"/>
              </w:rPr>
              <w:t>内呈</w:t>
            </w:r>
            <w:r>
              <w:rPr>
                <w:rFonts w:hint="eastAsia" w:ascii="宋体" w:hAnsi="宋体" w:eastAsia="宋体" w:cs="Times New Roman"/>
                <w:kern w:val="2"/>
                <w:sz w:val="21"/>
                <w:szCs w:val="32"/>
                <w:highlight w:val="none"/>
                <w:lang w:val="en-US" w:eastAsia="zh-CN" w:bidi="ar-SA"/>
              </w:rPr>
              <w:t>爆发</w:t>
            </w:r>
            <w:r>
              <w:rPr>
                <w:rFonts w:hint="eastAsia" w:ascii="宋体" w:hAnsi="宋体" w:eastAsia="宋体" w:cs="Times New Roman"/>
                <w:kern w:val="2"/>
                <w:sz w:val="21"/>
                <w:szCs w:val="32"/>
                <w:lang w:val="en-US" w:eastAsia="zh-CN" w:bidi="ar-SA"/>
              </w:rPr>
              <w:t>流行。</w:t>
            </w:r>
          </w:p>
        </w:tc>
      </w:tr>
      <w:tr w14:paraId="31778F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exact"/>
          <w:jc w:val="center"/>
        </w:trPr>
        <w:tc>
          <w:tcPr>
            <w:tcW w:w="1860"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DCE6F2"/>
            <w:vAlign w:val="center"/>
          </w:tcPr>
          <w:p w14:paraId="214FB1C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其他</w:t>
            </w:r>
          </w:p>
        </w:tc>
        <w:tc>
          <w:tcPr>
            <w:tcW w:w="1860"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273BE2A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169450F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2"/>
                <w:szCs w:val="32"/>
                <w:lang w:val="en-US" w:eastAsia="zh-CN" w:bidi="ar-SA"/>
              </w:rPr>
            </w:pPr>
          </w:p>
          <w:p w14:paraId="462940B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5693A33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56DA0F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2"/>
                <w:szCs w:val="32"/>
                <w:lang w:val="en-US" w:eastAsia="zh-CN" w:bidi="ar-SA"/>
              </w:rPr>
            </w:pPr>
          </w:p>
          <w:p w14:paraId="0424AB9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c>
          <w:tcPr>
            <w:tcW w:w="184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7FD630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高致病性禽流感、口蹄疫、炭疽等高致病性病原微生物菌种、毒种发生丢失。</w:t>
            </w:r>
          </w:p>
        </w:tc>
        <w:tc>
          <w:tcPr>
            <w:tcW w:w="187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47F9629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2A5172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2"/>
                <w:szCs w:val="32"/>
                <w:lang w:val="en-US" w:eastAsia="zh-CN" w:bidi="ar-SA"/>
              </w:rPr>
            </w:pPr>
          </w:p>
          <w:p w14:paraId="054B098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w:t>
            </w:r>
          </w:p>
        </w:tc>
      </w:tr>
      <w:tr w14:paraId="64BE3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3" w:hRule="exact"/>
          <w:jc w:val="center"/>
        </w:trPr>
        <w:tc>
          <w:tcPr>
            <w:tcW w:w="1860"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DCE6F2"/>
          </w:tcPr>
          <w:p w14:paraId="49F449DE">
            <w:pPr>
              <w:keepNext w:val="0"/>
              <w:keepLines w:val="0"/>
              <w:pageBreakBefore w:val="0"/>
              <w:widowControl w:val="0"/>
              <w:suppressLineNumbers w:val="0"/>
              <w:wordWrap/>
              <w:topLinePunct w:val="0"/>
              <w:autoSpaceDE/>
              <w:autoSpaceDN/>
              <w:bidi w:val="0"/>
              <w:adjustRightInd/>
              <w:snapToGrid/>
              <w:spacing w:before="0" w:beforeAutospacing="0" w:after="0" w:afterAutospacing="0" w:line="320" w:lineRule="exact"/>
              <w:ind w:left="0" w:right="0" w:firstLine="0" w:firstLineChars="0"/>
              <w:textAlignment w:val="auto"/>
              <w:outlineLvl w:val="9"/>
              <w:rPr>
                <w:rFonts w:hint="default" w:ascii="Times New Roman" w:hAnsi="Times New Roman" w:eastAsia="仿宋_GB2312" w:cs="Times New Roman"/>
                <w:sz w:val="24"/>
                <w:szCs w:val="32"/>
              </w:rPr>
            </w:pPr>
          </w:p>
        </w:tc>
        <w:tc>
          <w:tcPr>
            <w:tcW w:w="1860"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0EFCFA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0"/>
                <w:szCs w:val="32"/>
                <w:lang w:val="en-US" w:eastAsia="zh-CN" w:bidi="ar-SA"/>
              </w:rPr>
            </w:pPr>
          </w:p>
          <w:p w14:paraId="1D33666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农业农村部认定。</w:t>
            </w:r>
          </w:p>
        </w:tc>
        <w:tc>
          <w:tcPr>
            <w:tcW w:w="1890"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6032A74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spacing w:val="12"/>
                <w:kern w:val="2"/>
                <w:sz w:val="21"/>
                <w:szCs w:val="32"/>
                <w:lang w:val="en-US" w:eastAsia="zh-CN" w:bidi="ar-SA"/>
              </w:rPr>
              <w:t>农业农村部或省级政府农业农村</w:t>
            </w:r>
            <w:r>
              <w:rPr>
                <w:rFonts w:hint="eastAsia" w:ascii="宋体" w:hAnsi="宋体" w:eastAsia="宋体" w:cs="Times New Roman"/>
                <w:kern w:val="2"/>
                <w:sz w:val="21"/>
                <w:szCs w:val="32"/>
                <w:lang w:val="en-US" w:eastAsia="zh-CN" w:bidi="ar-SA"/>
              </w:rPr>
              <w:t>行政部门认定。</w:t>
            </w:r>
          </w:p>
        </w:tc>
        <w:tc>
          <w:tcPr>
            <w:tcW w:w="184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4F132B6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市（地）以上</w:t>
            </w:r>
            <w:r>
              <w:rPr>
                <w:rFonts w:hint="eastAsia" w:ascii="宋体" w:hAnsi="宋体" w:eastAsia="宋体" w:cs="Times New Roman"/>
                <w:spacing w:val="12"/>
                <w:kern w:val="2"/>
                <w:sz w:val="21"/>
                <w:szCs w:val="32"/>
                <w:lang w:val="en-US" w:eastAsia="zh-CN" w:bidi="ar-SA"/>
              </w:rPr>
              <w:t>农业农村</w:t>
            </w:r>
            <w:r>
              <w:rPr>
                <w:rFonts w:hint="eastAsia" w:ascii="宋体" w:hAnsi="宋体" w:eastAsia="宋体" w:cs="Times New Roman"/>
                <w:kern w:val="2"/>
                <w:sz w:val="21"/>
                <w:szCs w:val="32"/>
                <w:lang w:val="en-US" w:eastAsia="zh-CN" w:bidi="ar-SA"/>
              </w:rPr>
              <w:t>行政部门认定。</w:t>
            </w:r>
          </w:p>
        </w:tc>
        <w:tc>
          <w:tcPr>
            <w:tcW w:w="1875" w:type="dxa"/>
            <w:tcBorders>
              <w:top w:val="single" w:color="000000" w:sz="4" w:space="0"/>
              <w:left w:val="single" w:color="000000" w:sz="4" w:space="0"/>
              <w:bottom w:val="single" w:color="000000" w:sz="4" w:space="0"/>
              <w:right w:val="single" w:color="000000" w:sz="4" w:space="0"/>
              <w:tl2br w:val="nil"/>
              <w:tr2bl w:val="nil"/>
            </w:tcBorders>
            <w:shd w:val="clear" w:color="auto" w:fill="F1F1F1"/>
          </w:tcPr>
          <w:p w14:paraId="435FB1D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kern w:val="2"/>
                <w:sz w:val="21"/>
                <w:szCs w:val="32"/>
                <w:lang w:val="en-US" w:eastAsia="zh-CN" w:bidi="ar-SA"/>
              </w:rPr>
              <w:t>县以上</w:t>
            </w:r>
            <w:r>
              <w:rPr>
                <w:rFonts w:hint="eastAsia" w:ascii="宋体" w:hAnsi="宋体" w:eastAsia="宋体" w:cs="Times New Roman"/>
                <w:spacing w:val="12"/>
                <w:kern w:val="2"/>
                <w:sz w:val="21"/>
                <w:szCs w:val="32"/>
                <w:lang w:val="en-US" w:eastAsia="zh-CN" w:bidi="ar-SA"/>
              </w:rPr>
              <w:t>农业农村</w:t>
            </w:r>
            <w:r>
              <w:rPr>
                <w:rFonts w:hint="eastAsia" w:ascii="宋体" w:hAnsi="宋体" w:eastAsia="宋体" w:cs="Times New Roman"/>
                <w:kern w:val="2"/>
                <w:sz w:val="21"/>
                <w:szCs w:val="32"/>
                <w:lang w:val="en-US" w:eastAsia="zh-CN" w:bidi="ar-SA"/>
              </w:rPr>
              <w:t>行政部门认定。</w:t>
            </w:r>
          </w:p>
        </w:tc>
      </w:tr>
    </w:tbl>
    <w:p w14:paraId="452D9294">
      <w:pPr>
        <w:widowControl w:val="0"/>
        <w:kinsoku w:val="0"/>
        <w:overflowPunct w:val="0"/>
        <w:spacing w:before="49" w:line="600" w:lineRule="exact"/>
        <w:ind w:left="0" w:leftChars="0" w:firstLine="480" w:firstLineChars="200"/>
        <w:jc w:val="both"/>
        <w:outlineLvl w:val="9"/>
        <w:rPr>
          <w:rFonts w:hint="eastAsia" w:ascii="仿宋_GB2312" w:hAnsi="仿宋_GB2312" w:eastAsia="仿宋_GB2312" w:cs="Times New Roman"/>
          <w:kern w:val="2"/>
          <w:sz w:val="24"/>
          <w:szCs w:val="32"/>
          <w:lang w:val="en-US" w:eastAsia="zh-CN" w:bidi="ar-SA"/>
        </w:rPr>
      </w:pPr>
      <w:r>
        <w:rPr>
          <w:rFonts w:hint="eastAsia" w:ascii="宋体" w:hAnsi="宋体" w:eastAsia="宋体" w:cs="Times New Roman"/>
          <w:kern w:val="2"/>
          <w:sz w:val="24"/>
          <w:szCs w:val="32"/>
          <w:highlight w:val="none"/>
          <w:lang w:val="en-US" w:eastAsia="zh-CN" w:bidi="ar-SA"/>
        </w:rPr>
        <w:t>〔</w:t>
      </w:r>
      <w:r>
        <w:rPr>
          <w:rFonts w:hint="eastAsia" w:ascii="宋体" w:hAnsi="宋体" w:eastAsia="宋体" w:cs="Times New Roman"/>
          <w:kern w:val="2"/>
          <w:sz w:val="24"/>
          <w:szCs w:val="32"/>
          <w:lang w:val="en-US" w:eastAsia="zh-CN" w:bidi="ar-SA"/>
        </w:rPr>
        <w:t>注：依据《国家突发重大动物疫情应急预案》（国办函[2005]51</w:t>
      </w:r>
      <w:r>
        <w:rPr>
          <w:rFonts w:hint="eastAsia" w:ascii="宋体" w:hAnsi="宋体" w:eastAsia="宋体" w:cs="Times New Roman"/>
          <w:spacing w:val="-60"/>
          <w:kern w:val="2"/>
          <w:sz w:val="24"/>
          <w:szCs w:val="32"/>
          <w:lang w:val="en-US" w:eastAsia="zh-CN" w:bidi="ar-SA"/>
        </w:rPr>
        <w:t xml:space="preserve"> </w:t>
      </w:r>
      <w:r>
        <w:rPr>
          <w:rFonts w:hint="eastAsia" w:ascii="宋体" w:hAnsi="宋体" w:eastAsia="宋体" w:cs="Times New Roman"/>
          <w:kern w:val="2"/>
          <w:sz w:val="24"/>
          <w:szCs w:val="32"/>
          <w:lang w:val="en-US" w:eastAsia="zh-CN" w:bidi="ar-SA"/>
        </w:rPr>
        <w:t>号）制表。〕</w:t>
      </w:r>
    </w:p>
    <w:p w14:paraId="36A64E31">
      <w:pPr>
        <w:kinsoku w:val="0"/>
        <w:overflowPunct w:val="0"/>
        <w:spacing w:before="85"/>
        <w:ind w:left="571"/>
        <w:outlineLvl w:val="9"/>
        <w:rPr>
          <w:rFonts w:hint="eastAsia" w:ascii="宋体" w:hAnsi="宋体" w:eastAsia="宋体"/>
          <w:sz w:val="24"/>
        </w:rPr>
        <w:sectPr>
          <w:pgSz w:w="11910" w:h="16840"/>
          <w:pgMar w:top="1600" w:right="1320" w:bottom="1620" w:left="1440" w:header="0" w:footer="1439" w:gutter="0"/>
          <w:lnNumType w:countBy="0" w:distance="360"/>
          <w:pgNumType w:fmt="numberInDash"/>
          <w:cols w:space="720" w:num="1"/>
        </w:sectPr>
      </w:pPr>
    </w:p>
    <w:p w14:paraId="24AB4772">
      <w:pPr>
        <w:keepNext w:val="0"/>
        <w:keepLines w:val="0"/>
        <w:pageBreakBefore w:val="0"/>
        <w:widowControl w:val="0"/>
        <w:kinsoku w:val="0"/>
        <w:wordWrap/>
        <w:overflowPunct w:val="0"/>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Times New Roman"/>
          <w:b w:val="0"/>
          <w:sz w:val="32"/>
          <w:szCs w:val="32"/>
          <w:lang w:eastAsia="zh-CN"/>
        </w:rPr>
      </w:pPr>
      <w:bookmarkStart w:id="195" w:name="_Toc506_WPSOffice_Level1"/>
      <w:r>
        <w:rPr>
          <w:rFonts w:hint="eastAsia" w:ascii="黑体" w:hAnsi="黑体" w:eastAsia="黑体" w:cs="Times New Roman"/>
          <w:b w:val="0"/>
          <w:sz w:val="32"/>
          <w:szCs w:val="32"/>
          <w:lang w:eastAsia="zh-CN"/>
        </w:rPr>
        <w:t>四、社会安全类</w:t>
      </w:r>
      <w:bookmarkEnd w:id="195"/>
    </w:p>
    <w:tbl>
      <w:tblPr>
        <w:tblStyle w:val="16"/>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531"/>
        <w:gridCol w:w="4593"/>
        <w:gridCol w:w="3957"/>
      </w:tblGrid>
      <w:tr w14:paraId="43AD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jc w:val="center"/>
        </w:trPr>
        <w:tc>
          <w:tcPr>
            <w:tcW w:w="1108" w:type="dxa"/>
            <w:gridSpan w:val="2"/>
            <w:tcBorders>
              <w:top w:val="single" w:color="auto" w:sz="4" w:space="0"/>
              <w:left w:val="single" w:color="auto" w:sz="4" w:space="0"/>
              <w:bottom w:val="single" w:color="auto" w:sz="4" w:space="0"/>
              <w:right w:val="single" w:color="auto" w:sz="4" w:space="0"/>
              <w:tl2br w:val="nil"/>
              <w:tr2bl w:val="nil"/>
            </w:tcBorders>
            <w:shd w:val="clear" w:color="auto" w:fill="C2D69B"/>
            <w:vAlign w:val="center"/>
          </w:tcPr>
          <w:p w14:paraId="347EFD8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类</w:t>
            </w:r>
            <w:r>
              <w:rPr>
                <w:rFonts w:hint="eastAsia" w:ascii="宋体" w:hAnsi="宋体" w:eastAsia="宋体" w:cs="Times New Roman"/>
                <w:b/>
                <w:spacing w:val="-5"/>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型</w:t>
            </w: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C2D69B"/>
            <w:vAlign w:val="center"/>
          </w:tcPr>
          <w:p w14:paraId="5FC278F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特</w:t>
            </w:r>
            <w:r>
              <w:rPr>
                <w:rFonts w:hint="eastAsia" w:ascii="宋体" w:hAnsi="宋体" w:eastAsia="宋体" w:cs="Times New Roman"/>
                <w:b/>
                <w:spacing w:val="-4"/>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别</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C2D69B"/>
            <w:vAlign w:val="center"/>
          </w:tcPr>
          <w:p w14:paraId="3D0D19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重</w:t>
            </w:r>
            <w:r>
              <w:rPr>
                <w:rFonts w:hint="eastAsia" w:ascii="宋体" w:hAnsi="宋体" w:eastAsia="宋体" w:cs="Times New Roman"/>
                <w:b/>
                <w:spacing w:val="-4"/>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别</w:t>
            </w:r>
          </w:p>
        </w:tc>
      </w:tr>
      <w:tr w14:paraId="5D23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7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V"/>
          </w:tcPr>
          <w:p w14:paraId="094A577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社 会 安 全 事 件</w:t>
            </w:r>
          </w:p>
        </w:tc>
        <w:tc>
          <w:tcPr>
            <w:tcW w:w="531" w:type="dxa"/>
            <w:vMerge w:val="restart"/>
            <w:tcBorders>
              <w:top w:val="single" w:color="auto" w:sz="4" w:space="0"/>
              <w:left w:val="single" w:color="auto" w:sz="4" w:space="0"/>
              <w:bottom w:val="single" w:color="auto" w:sz="4" w:space="0"/>
              <w:right w:val="single" w:color="auto" w:sz="4" w:space="0"/>
              <w:tl2br w:val="nil"/>
              <w:tr2bl w:val="nil"/>
            </w:tcBorders>
            <w:shd w:val="clear" w:color="auto" w:fill="EEECE1"/>
          </w:tcPr>
          <w:p w14:paraId="728AA15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1476B5E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21797D0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25DD8F9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7F3477E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2729165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36C3586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1846CEB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2C80079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10821C3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07B970A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5CA6AE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7E06CB6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1</w:t>
            </w:r>
          </w:p>
          <w:p w14:paraId="55361FF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群</w:t>
            </w:r>
          </w:p>
          <w:p w14:paraId="77802B7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体</w:t>
            </w:r>
          </w:p>
          <w:p w14:paraId="4981541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事件</w:t>
            </w: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2ED3D0A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（1）一次参与人数5000人以上，严重影响社会稳定的事件；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3A89B05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（1）参与人数在1000-5000人，非法集会游行示威、上访请愿、聚众闹事、罢工（市、课）等，或人数不多但涉及面广和有可能进京的非法集会和集体上访事件；</w:t>
            </w:r>
          </w:p>
        </w:tc>
      </w:tr>
      <w:tr w14:paraId="376D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5E3EF28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1D9178E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3C27064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（2）冲击、围攻县级以上党政军机关和要害部门，打、砸、抢、烧乡镇以上党政军机关事件；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112D9FE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r w14:paraId="0F7A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197010D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517142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55A7E15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（3）参与人员对抗性特征突出，已发生大规模的打砸、抢、烧等违法犯罪行为；</w:t>
            </w:r>
          </w:p>
        </w:tc>
        <w:tc>
          <w:tcPr>
            <w:tcW w:w="395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2E40895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（2）涉及境内外宗教组织背景的大型非法宗教活动，或因民族宗教问题引发的严重影响民族团结的群体性事件；</w:t>
            </w:r>
          </w:p>
        </w:tc>
      </w:tr>
      <w:tr w14:paraId="27B8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3B26E1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6AE106A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0D18DFF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（4）阻断铁路、国道、高速公路和重要交通枢纽、城市交通8小时停运，或阻挠、妨碍国家重点建设工程施工，造成24小时以上停工事件；</w:t>
            </w:r>
          </w:p>
        </w:tc>
        <w:tc>
          <w:tcPr>
            <w:tcW w:w="395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62AD550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（3）因土地、矿产、水资源、森林、草原、水域等权属争议和环境污染、生态破坏引发的，造成严重后果的群体性事件；</w:t>
            </w:r>
          </w:p>
        </w:tc>
      </w:tr>
      <w:tr w14:paraId="2687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030FE8B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6F4C60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67F2D9F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（5）造成10人以上死亡或30人以上受伤，严重危害社会稳定的事件；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5BFC80E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（4）造成3-10人死亡，或10-30人受伤群体性事件；</w:t>
            </w:r>
          </w:p>
        </w:tc>
      </w:tr>
      <w:tr w14:paraId="7533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0C9204D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281BCC2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48C2C58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b/>
                <w:kern w:val="2"/>
                <w:sz w:val="21"/>
                <w:szCs w:val="32"/>
                <w:lang w:val="en-US" w:eastAsia="zh-CN" w:bidi="ar-SA"/>
              </w:rPr>
            </w:pPr>
          </w:p>
          <w:p w14:paraId="1A62A59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（6）高校内聚集事件失控，并未经批准走出校门进行大规模游行、集会、绝食、静坐、请愿等行为，引发不同地区连锁反应，严重影响社会稳定；</w:t>
            </w:r>
          </w:p>
        </w:tc>
        <w:tc>
          <w:tcPr>
            <w:tcW w:w="3957" w:type="dxa"/>
            <w:vMerge w:val="restart"/>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7AA237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（5）高校校园网上出现大范围串联、煽动和蛊惑信息，校内聚集规模迅速扩大并出现多校串联聚集趋势，学校正常教育教学秩序受到严重影响甚至瘫痪，或因高校统一招生试题泄密引发的群体性事件；</w:t>
            </w:r>
          </w:p>
        </w:tc>
      </w:tr>
      <w:tr w14:paraId="0E31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671735C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21E2276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770535B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（7）参与人数500人以上，或造成重大人员伤亡的群体性械斗、冲突事件；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6408AEC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（6）参与人数200-500人，或造成较大人员伤亡的群体性械斗、冲突事件；</w:t>
            </w:r>
          </w:p>
        </w:tc>
      </w:tr>
      <w:tr w14:paraId="3321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exac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2C211BE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617A5CC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2CC6A92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（8）参与人数在10人以上的</w:t>
            </w:r>
            <w:r>
              <w:rPr>
                <w:rFonts w:hint="eastAsia" w:ascii="宋体" w:hAnsi="宋体" w:eastAsia="宋体" w:cs="Times New Roman"/>
                <w:kern w:val="2"/>
                <w:sz w:val="21"/>
                <w:szCs w:val="32"/>
                <w:highlight w:val="none"/>
                <w:lang w:val="en-US" w:eastAsia="zh-CN" w:bidi="ar-SA"/>
              </w:rPr>
              <w:t>暴狱</w:t>
            </w:r>
            <w:r>
              <w:rPr>
                <w:rFonts w:hint="eastAsia" w:ascii="宋体" w:hAnsi="宋体" w:eastAsia="宋体" w:cs="Times New Roman"/>
                <w:kern w:val="2"/>
                <w:sz w:val="21"/>
                <w:szCs w:val="32"/>
                <w:lang w:val="en-US" w:eastAsia="zh-CN" w:bidi="ar-SA"/>
              </w:rPr>
              <w:t>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45981B1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r w14:paraId="1A10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117B5B8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219DDE6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0F6A617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（9）出现全国范围或跨省（区、市），或跨区域的严重影响社会稳定的互动性连锁反应；</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45050BB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（7）已出现跨省（区、市）或行业影响社会 稳定的连锁反应，或造成了较严重的危害和损失，事态仍可能进一步扩大和升级；</w:t>
            </w:r>
          </w:p>
        </w:tc>
      </w:tr>
      <w:tr w14:paraId="739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7F0A2C5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tcPr>
          <w:p w14:paraId="14E0DC7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36F6341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（10）其它</w:t>
            </w:r>
            <w:r>
              <w:rPr>
                <w:rFonts w:hint="eastAsia" w:ascii="宋体" w:hAnsi="宋体" w:eastAsia="宋体" w:cs="Times New Roman"/>
                <w:kern w:val="2"/>
                <w:sz w:val="21"/>
                <w:szCs w:val="32"/>
                <w:highlight w:val="none"/>
                <w:lang w:val="en-US" w:eastAsia="zh-CN" w:bidi="ar-SA"/>
              </w:rPr>
              <w:t>视情</w:t>
            </w:r>
            <w:r>
              <w:rPr>
                <w:rFonts w:hint="eastAsia" w:ascii="宋体" w:hAnsi="宋体" w:eastAsia="宋体" w:cs="Times New Roman"/>
                <w:kern w:val="2"/>
                <w:sz w:val="21"/>
                <w:szCs w:val="32"/>
                <w:lang w:val="en-US" w:eastAsia="zh-CN" w:bidi="ar-SA"/>
              </w:rPr>
              <w:t>需要作为特别重大群体性事件对待的事件。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5B03A71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（8）其它视情况需要作为重大群体性事件对待的事件。</w:t>
            </w:r>
          </w:p>
        </w:tc>
      </w:tr>
      <w:tr w14:paraId="559A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exac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4CE5F47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restart"/>
            <w:tcBorders>
              <w:top w:val="single" w:color="auto" w:sz="4" w:space="0"/>
              <w:left w:val="single" w:color="auto" w:sz="4" w:space="0"/>
              <w:bottom w:val="single" w:color="auto" w:sz="4" w:space="0"/>
              <w:right w:val="single" w:color="auto" w:sz="4" w:space="0"/>
              <w:tl2br w:val="nil"/>
              <w:tr2bl w:val="nil"/>
            </w:tcBorders>
            <w:shd w:val="clear" w:color="auto" w:fill="EEECE1"/>
            <w:vAlign w:val="center"/>
          </w:tcPr>
          <w:p w14:paraId="55FF889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2</w:t>
            </w:r>
          </w:p>
          <w:p w14:paraId="41623B6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金</w:t>
            </w:r>
          </w:p>
          <w:p w14:paraId="508525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融</w:t>
            </w:r>
          </w:p>
          <w:p w14:paraId="1BC158C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突</w:t>
            </w:r>
          </w:p>
          <w:p w14:paraId="01B4368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发</w:t>
            </w:r>
          </w:p>
          <w:p w14:paraId="55C55BE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事件</w:t>
            </w: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51D3CCA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（1）具有全国性影响且涉及本地区银行业金融机构的突发事件；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69A3F54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（1）对金融行业造成影响，但未造成全国性影响的金融突发事件；</w:t>
            </w:r>
          </w:p>
        </w:tc>
      </w:tr>
      <w:tr w14:paraId="7A24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5872678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vAlign w:val="center"/>
          </w:tcPr>
          <w:p w14:paraId="51CBCB9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5D531B9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（2）金融行业已出现或将要出现连锁反应，需要各有关部门协同配合共同处置的金融突发事件；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45D4E99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（2）所涉及省（区、市）监管部门不能单独应对，需进行跨省（区、市）或跨部门协调的金融突发事件；</w:t>
            </w:r>
          </w:p>
        </w:tc>
      </w:tr>
      <w:tr w14:paraId="3DDB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exact"/>
          <w:jc w:val="center"/>
        </w:trPr>
        <w:tc>
          <w:tcPr>
            <w:tcW w:w="577"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D6E3BC"/>
            <w:textDirection w:val="tbRl"/>
          </w:tcPr>
          <w:p w14:paraId="3A45FF4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31"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EEECE1"/>
            <w:vAlign w:val="center"/>
          </w:tcPr>
          <w:p w14:paraId="6B16B18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3"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764A83B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（3）国际上出现的，已经影响或极有可能影响国内宏观金融稳定的金融突发事件。</w:t>
            </w:r>
          </w:p>
        </w:tc>
        <w:tc>
          <w:tcPr>
            <w:tcW w:w="3957" w:type="dxa"/>
            <w:tcBorders>
              <w:top w:val="single" w:color="auto" w:sz="4" w:space="0"/>
              <w:left w:val="single" w:color="auto" w:sz="4" w:space="0"/>
              <w:bottom w:val="single" w:color="auto" w:sz="4" w:space="0"/>
              <w:right w:val="single" w:color="auto" w:sz="4" w:space="0"/>
              <w:tl2br w:val="nil"/>
              <w:tr2bl w:val="nil"/>
            </w:tcBorders>
            <w:shd w:val="clear" w:color="auto" w:fill="EBF1DE"/>
            <w:vAlign w:val="center"/>
          </w:tcPr>
          <w:p w14:paraId="7B429F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b/>
                <w:kern w:val="2"/>
                <w:sz w:val="21"/>
                <w:szCs w:val="32"/>
                <w:lang w:val="en-US" w:eastAsia="zh-CN" w:bidi="ar-SA"/>
              </w:rPr>
            </w:pPr>
          </w:p>
          <w:p w14:paraId="32811B4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bl>
    <w:tbl>
      <w:tblPr>
        <w:tblStyle w:val="16"/>
        <w:tblpPr w:leftFromText="180" w:rightFromText="180" w:vertAnchor="text" w:horzAnchor="page" w:tblpXSpec="center" w:tblpY="74"/>
        <w:tblOverlap w:val="never"/>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547"/>
        <w:gridCol w:w="4599"/>
        <w:gridCol w:w="3970"/>
      </w:tblGrid>
      <w:tr w14:paraId="11FD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exact"/>
          <w:jc w:val="center"/>
        </w:trPr>
        <w:tc>
          <w:tcPr>
            <w:tcW w:w="1158" w:type="dxa"/>
            <w:gridSpan w:val="2"/>
            <w:tcBorders>
              <w:tl2br w:val="nil"/>
              <w:tr2bl w:val="nil"/>
            </w:tcBorders>
            <w:shd w:val="clear" w:color="auto" w:fill="C2D69B"/>
            <w:vAlign w:val="center"/>
          </w:tcPr>
          <w:p w14:paraId="5A6A5D3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类</w:t>
            </w:r>
            <w:r>
              <w:rPr>
                <w:rFonts w:hint="eastAsia" w:ascii="宋体" w:hAnsi="宋体" w:eastAsia="宋体" w:cs="Times New Roman"/>
                <w:b/>
                <w:spacing w:val="-5"/>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型</w:t>
            </w:r>
          </w:p>
        </w:tc>
        <w:tc>
          <w:tcPr>
            <w:tcW w:w="4599" w:type="dxa"/>
            <w:tcBorders>
              <w:tl2br w:val="nil"/>
              <w:tr2bl w:val="nil"/>
            </w:tcBorders>
            <w:shd w:val="clear" w:color="auto" w:fill="C2D69B"/>
            <w:vAlign w:val="center"/>
          </w:tcPr>
          <w:p w14:paraId="0F396C2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特</w:t>
            </w:r>
            <w:r>
              <w:rPr>
                <w:rFonts w:hint="eastAsia" w:ascii="宋体" w:hAnsi="宋体" w:eastAsia="宋体" w:cs="Times New Roman"/>
                <w:b/>
                <w:spacing w:val="-4"/>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别</w:t>
            </w:r>
          </w:p>
        </w:tc>
        <w:tc>
          <w:tcPr>
            <w:tcW w:w="3970" w:type="dxa"/>
            <w:tcBorders>
              <w:tl2br w:val="nil"/>
              <w:tr2bl w:val="nil"/>
            </w:tcBorders>
            <w:shd w:val="clear" w:color="auto" w:fill="C2D69B"/>
            <w:vAlign w:val="center"/>
          </w:tcPr>
          <w:p w14:paraId="3E6AEED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default" w:ascii="Times New Roman" w:hAnsi="Times New Roman" w:eastAsia="仿宋_GB2312" w:cs="Times New Roman"/>
                <w:kern w:val="2"/>
                <w:sz w:val="24"/>
                <w:szCs w:val="32"/>
                <w:lang w:val="en-US" w:eastAsia="zh-CN" w:bidi="ar-SA"/>
              </w:rPr>
            </w:pPr>
            <w:r>
              <w:rPr>
                <w:rFonts w:hint="eastAsia" w:ascii="宋体" w:hAnsi="宋体" w:eastAsia="宋体" w:cs="Times New Roman"/>
                <w:b/>
                <w:kern w:val="2"/>
                <w:sz w:val="24"/>
                <w:szCs w:val="32"/>
                <w:lang w:val="en-US" w:eastAsia="zh-CN" w:bidi="ar-SA"/>
              </w:rPr>
              <w:t>重</w:t>
            </w:r>
            <w:r>
              <w:rPr>
                <w:rFonts w:hint="eastAsia" w:ascii="宋体" w:hAnsi="宋体" w:eastAsia="宋体" w:cs="Times New Roman"/>
                <w:b/>
                <w:spacing w:val="-4"/>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级</w:t>
            </w:r>
            <w:r>
              <w:rPr>
                <w:rFonts w:hint="eastAsia" w:ascii="宋体" w:hAnsi="宋体" w:eastAsia="宋体" w:cs="Times New Roman"/>
                <w:b/>
                <w:spacing w:val="-3"/>
                <w:kern w:val="2"/>
                <w:sz w:val="24"/>
                <w:szCs w:val="32"/>
                <w:lang w:val="en-US" w:eastAsia="zh-CN" w:bidi="ar-SA"/>
              </w:rPr>
              <w:t xml:space="preserve"> </w:t>
            </w:r>
            <w:r>
              <w:rPr>
                <w:rFonts w:hint="eastAsia" w:ascii="宋体" w:hAnsi="宋体" w:eastAsia="宋体" w:cs="Times New Roman"/>
                <w:b/>
                <w:kern w:val="2"/>
                <w:sz w:val="24"/>
                <w:szCs w:val="32"/>
                <w:lang w:val="en-US" w:eastAsia="zh-CN" w:bidi="ar-SA"/>
              </w:rPr>
              <w:t>别</w:t>
            </w:r>
          </w:p>
        </w:tc>
      </w:tr>
      <w:tr w14:paraId="13F3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exact"/>
          <w:jc w:val="center"/>
        </w:trPr>
        <w:tc>
          <w:tcPr>
            <w:tcW w:w="611" w:type="dxa"/>
            <w:vMerge w:val="restart"/>
            <w:tcBorders>
              <w:tl2br w:val="nil"/>
              <w:tr2bl w:val="nil"/>
            </w:tcBorders>
            <w:shd w:val="clear" w:color="auto" w:fill="D6E3BC"/>
            <w:textDirection w:val="tbRlV"/>
          </w:tcPr>
          <w:p w14:paraId="5C6CD4A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社 会 安 全 事 件</w:t>
            </w:r>
          </w:p>
        </w:tc>
        <w:tc>
          <w:tcPr>
            <w:tcW w:w="547" w:type="dxa"/>
            <w:vMerge w:val="restart"/>
            <w:tcBorders>
              <w:tl2br w:val="nil"/>
              <w:tr2bl w:val="nil"/>
            </w:tcBorders>
            <w:shd w:val="clear" w:color="auto" w:fill="EEECE1"/>
          </w:tcPr>
          <w:p w14:paraId="2E90E3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3</w:t>
            </w:r>
          </w:p>
          <w:p w14:paraId="36B19F1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28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影响市场稳定事件</w:t>
            </w:r>
          </w:p>
          <w:p w14:paraId="42684A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173FC78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1C4C7B5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3F25F58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p>
          <w:p w14:paraId="259A1B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11E0F77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spacing w:val="-1"/>
                <w:kern w:val="2"/>
                <w:position w:val="1"/>
                <w:sz w:val="21"/>
                <w:szCs w:val="32"/>
                <w:lang w:val="en-US" w:eastAsia="zh-CN" w:bidi="ar-SA"/>
              </w:rPr>
              <w:t>（1）出现群众大量集中抢购、粮食脱销断档、价格大幅度上涨等粮食市场急剧波动的状况，以及超过县</w:t>
            </w:r>
            <w:r>
              <w:rPr>
                <w:rFonts w:hint="eastAsia" w:ascii="宋体" w:hAnsi="宋体" w:eastAsia="宋体" w:cs="Times New Roman"/>
                <w:spacing w:val="-60"/>
                <w:kern w:val="2"/>
                <w:position w:val="1"/>
                <w:sz w:val="21"/>
                <w:szCs w:val="32"/>
                <w:lang w:val="en-US" w:eastAsia="zh-CN" w:bidi="ar-SA"/>
              </w:rPr>
              <w:t xml:space="preserve"> </w:t>
            </w:r>
            <w:r>
              <w:rPr>
                <w:rFonts w:hint="eastAsia" w:ascii="宋体" w:hAnsi="宋体" w:eastAsia="宋体" w:cs="Times New Roman"/>
                <w:spacing w:val="-1"/>
                <w:kern w:val="2"/>
                <w:position w:val="1"/>
                <w:sz w:val="21"/>
                <w:szCs w:val="32"/>
                <w:lang w:val="en-US" w:eastAsia="zh-CN" w:bidi="ar-SA"/>
              </w:rPr>
              <w:t>（市）级人民政府处置能力和省政府认为需要按照国</w:t>
            </w:r>
            <w:r>
              <w:rPr>
                <w:rFonts w:hint="eastAsia" w:ascii="宋体" w:hAnsi="宋体" w:eastAsia="宋体" w:cs="Times New Roman"/>
                <w:kern w:val="2"/>
                <w:position w:val="1"/>
                <w:sz w:val="21"/>
                <w:szCs w:val="32"/>
                <w:lang w:val="en-US" w:eastAsia="zh-CN" w:bidi="ar-SA"/>
              </w:rPr>
              <w:t>家级粮食应急状态来对待的情况；</w:t>
            </w:r>
          </w:p>
          <w:p w14:paraId="074AE05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3970" w:type="dxa"/>
            <w:tcBorders>
              <w:tl2br w:val="nil"/>
              <w:tr2bl w:val="nil"/>
            </w:tcBorders>
            <w:shd w:val="clear" w:color="auto" w:fill="EBF1DE"/>
            <w:vAlign w:val="center"/>
          </w:tcPr>
          <w:p w14:paraId="1E0CDCA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position w:val="1"/>
                <w:sz w:val="21"/>
                <w:szCs w:val="32"/>
                <w:lang w:val="en-US" w:eastAsia="zh-CN" w:bidi="ar-SA"/>
              </w:rPr>
              <w:t>（1）在较大范围或省会等大中城市出现粮食</w:t>
            </w:r>
            <w:r>
              <w:rPr>
                <w:rFonts w:hint="eastAsia" w:ascii="宋体" w:hAnsi="宋体" w:eastAsia="宋体" w:cs="Times New Roman"/>
                <w:spacing w:val="-60"/>
                <w:kern w:val="2"/>
                <w:position w:val="1"/>
                <w:sz w:val="21"/>
                <w:szCs w:val="32"/>
                <w:lang w:val="en-US" w:eastAsia="zh-CN" w:bidi="ar-SA"/>
              </w:rPr>
              <w:t xml:space="preserve"> </w:t>
            </w:r>
            <w:r>
              <w:rPr>
                <w:rFonts w:hint="eastAsia" w:ascii="宋体" w:hAnsi="宋体" w:eastAsia="宋体" w:cs="Times New Roman"/>
                <w:kern w:val="2"/>
                <w:position w:val="1"/>
                <w:sz w:val="21"/>
                <w:szCs w:val="32"/>
                <w:lang w:val="en-US" w:eastAsia="zh-CN" w:bidi="ar-SA"/>
              </w:rPr>
              <w:t>市场急剧波动状况；</w:t>
            </w:r>
          </w:p>
        </w:tc>
      </w:tr>
      <w:tr w14:paraId="3BFC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11" w:type="dxa"/>
            <w:vMerge w:val="continue"/>
            <w:tcBorders>
              <w:tl2br w:val="nil"/>
              <w:tr2bl w:val="nil"/>
            </w:tcBorders>
            <w:shd w:val="clear" w:color="auto" w:fill="D6E3BC"/>
            <w:textDirection w:val="tbRl"/>
          </w:tcPr>
          <w:p w14:paraId="1A0577F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tcPr>
          <w:p w14:paraId="0353332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651C5829">
            <w:pPr>
              <w:keepNext w:val="0"/>
              <w:keepLines w:val="0"/>
              <w:pageBreakBefore w:val="0"/>
              <w:widowControl w:val="0"/>
              <w:suppressLineNumbers w:val="0"/>
              <w:tabs>
                <w:tab w:val="left" w:pos="1316"/>
              </w:tabs>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spacing w:val="-1"/>
                <w:kern w:val="2"/>
                <w:sz w:val="21"/>
                <w:szCs w:val="32"/>
                <w:lang w:val="en-US" w:eastAsia="zh-CN" w:bidi="ar-SA"/>
              </w:rPr>
              <w:t>（2）在相邻区域有</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2</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spacing w:val="-1"/>
                <w:kern w:val="2"/>
                <w:sz w:val="21"/>
                <w:szCs w:val="32"/>
                <w:lang w:val="en-US" w:eastAsia="zh-CN" w:bidi="ar-SA"/>
              </w:rPr>
              <w:t>个以上县（市）发生重要生活</w:t>
            </w:r>
            <w:r>
              <w:rPr>
                <w:rFonts w:hint="eastAsia" w:ascii="宋体" w:hAnsi="宋体" w:eastAsia="宋体" w:cs="Times New Roman"/>
                <w:kern w:val="2"/>
                <w:sz w:val="21"/>
                <w:szCs w:val="32"/>
                <w:lang w:val="en-US" w:eastAsia="zh-CN" w:bidi="ar-SA"/>
              </w:rPr>
              <w:t>必需品市场异常波动，供应短缺；</w:t>
            </w:r>
          </w:p>
          <w:p w14:paraId="2B7853B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3970" w:type="dxa"/>
            <w:tcBorders>
              <w:tl2br w:val="nil"/>
              <w:tr2bl w:val="nil"/>
            </w:tcBorders>
            <w:shd w:val="clear" w:color="auto" w:fill="EBF1DE"/>
            <w:vAlign w:val="center"/>
          </w:tcPr>
          <w:p w14:paraId="539D51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kern w:val="2"/>
                <w:sz w:val="21"/>
                <w:szCs w:val="32"/>
                <w:lang w:val="en-US" w:eastAsia="zh-CN" w:bidi="ar-SA"/>
              </w:rPr>
              <w:t>（2）在</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2</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个以上县（市）发生重要生活必需品市场异常波动，供应短缺。</w:t>
            </w:r>
          </w:p>
          <w:p w14:paraId="509EE6A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r>
      <w:tr w14:paraId="43DB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jc w:val="center"/>
        </w:trPr>
        <w:tc>
          <w:tcPr>
            <w:tcW w:w="611" w:type="dxa"/>
            <w:vMerge w:val="continue"/>
            <w:tcBorders>
              <w:tl2br w:val="nil"/>
              <w:tr2bl w:val="nil"/>
            </w:tcBorders>
            <w:shd w:val="clear" w:color="auto" w:fill="D6E3BC"/>
            <w:textDirection w:val="tbRl"/>
          </w:tcPr>
          <w:p w14:paraId="1051A8C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tcPr>
          <w:p w14:paraId="5F2F755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251E07D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spacing w:val="-1"/>
                <w:kern w:val="2"/>
                <w:sz w:val="21"/>
                <w:szCs w:val="32"/>
                <w:lang w:val="en-US" w:eastAsia="zh-CN" w:bidi="ar-SA"/>
              </w:rPr>
              <w:t>（3）在数个县（市）内呈多发态势的重要生活必需</w:t>
            </w:r>
            <w:r>
              <w:rPr>
                <w:rFonts w:hint="eastAsia" w:ascii="宋体" w:hAnsi="宋体" w:eastAsia="宋体" w:cs="Times New Roman"/>
                <w:kern w:val="2"/>
                <w:sz w:val="21"/>
                <w:szCs w:val="32"/>
                <w:lang w:val="en-US" w:eastAsia="zh-CN" w:bidi="ar-SA"/>
              </w:rPr>
              <w:t>的市场异常波动，供应短缺。</w:t>
            </w:r>
          </w:p>
          <w:p w14:paraId="4D86511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3970" w:type="dxa"/>
            <w:tcBorders>
              <w:tl2br w:val="nil"/>
              <w:tr2bl w:val="nil"/>
            </w:tcBorders>
            <w:shd w:val="clear" w:color="auto" w:fill="EBF1DE"/>
            <w:vAlign w:val="center"/>
          </w:tcPr>
          <w:p w14:paraId="51D1BD1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r w14:paraId="4275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611" w:type="dxa"/>
            <w:vMerge w:val="continue"/>
            <w:tcBorders>
              <w:tl2br w:val="nil"/>
              <w:tr2bl w:val="nil"/>
            </w:tcBorders>
            <w:shd w:val="clear" w:color="auto" w:fill="D6E3BC"/>
            <w:textDirection w:val="tbRl"/>
          </w:tcPr>
          <w:p w14:paraId="2C7847E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restart"/>
            <w:tcBorders>
              <w:tl2br w:val="nil"/>
              <w:tr2bl w:val="nil"/>
            </w:tcBorders>
            <w:shd w:val="clear" w:color="auto" w:fill="EEECE1"/>
            <w:vAlign w:val="center"/>
          </w:tcPr>
          <w:p w14:paraId="6799084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4</w:t>
            </w:r>
          </w:p>
          <w:p w14:paraId="7E3ADAC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恐怖袭击事件</w:t>
            </w:r>
          </w:p>
        </w:tc>
        <w:tc>
          <w:tcPr>
            <w:tcW w:w="8569" w:type="dxa"/>
            <w:gridSpan w:val="2"/>
            <w:tcBorders>
              <w:tl2br w:val="nil"/>
              <w:tr2bl w:val="nil"/>
            </w:tcBorders>
            <w:shd w:val="clear" w:color="auto" w:fill="EBF1DE"/>
            <w:vAlign w:val="center"/>
          </w:tcPr>
          <w:p w14:paraId="304C54F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（1）利用生物制剂、化学毒剂进行大规模袭击或攻击生产、贮存、运输生化毒物设施、工具的；</w:t>
            </w:r>
          </w:p>
          <w:p w14:paraId="693783B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r>
      <w:tr w14:paraId="051D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exact"/>
          <w:jc w:val="center"/>
        </w:trPr>
        <w:tc>
          <w:tcPr>
            <w:tcW w:w="611" w:type="dxa"/>
            <w:vMerge w:val="continue"/>
            <w:tcBorders>
              <w:tl2br w:val="nil"/>
              <w:tr2bl w:val="nil"/>
            </w:tcBorders>
            <w:shd w:val="clear" w:color="auto" w:fill="D6E3BC"/>
            <w:textDirection w:val="tbRl"/>
          </w:tcPr>
          <w:p w14:paraId="25A56F8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31B4A07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8569" w:type="dxa"/>
            <w:gridSpan w:val="2"/>
            <w:tcBorders>
              <w:tl2br w:val="nil"/>
              <w:tr2bl w:val="nil"/>
            </w:tcBorders>
            <w:shd w:val="clear" w:color="auto" w:fill="EBF1DE"/>
            <w:vAlign w:val="center"/>
          </w:tcPr>
          <w:p w14:paraId="6B1A628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（2）利用核爆炸、核辐射进行袭击或攻击核设施、核材料装运工具的；</w:t>
            </w:r>
          </w:p>
        </w:tc>
      </w:tr>
      <w:tr w14:paraId="5E0D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611" w:type="dxa"/>
            <w:vMerge w:val="continue"/>
            <w:tcBorders>
              <w:tl2br w:val="nil"/>
              <w:tr2bl w:val="nil"/>
            </w:tcBorders>
            <w:shd w:val="clear" w:color="auto" w:fill="D6E3BC"/>
            <w:textDirection w:val="tbRl"/>
          </w:tcPr>
          <w:p w14:paraId="7C22E4F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6B05760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8569" w:type="dxa"/>
            <w:gridSpan w:val="2"/>
            <w:tcBorders>
              <w:tl2br w:val="nil"/>
              <w:tr2bl w:val="nil"/>
            </w:tcBorders>
            <w:shd w:val="clear" w:color="auto" w:fill="EBF1DE"/>
            <w:vAlign w:val="center"/>
          </w:tcPr>
          <w:p w14:paraId="7994642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（3）利用爆炸手段，袭击党政军首脑机关、警卫现场、城市标志性建筑物、公众聚集场所、国家重要基础设施、主要军事设施、民生设施、航空器的；</w:t>
            </w:r>
          </w:p>
        </w:tc>
      </w:tr>
      <w:tr w14:paraId="5DBF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exact"/>
          <w:jc w:val="center"/>
        </w:trPr>
        <w:tc>
          <w:tcPr>
            <w:tcW w:w="611" w:type="dxa"/>
            <w:vMerge w:val="continue"/>
            <w:tcBorders>
              <w:tl2br w:val="nil"/>
              <w:tr2bl w:val="nil"/>
            </w:tcBorders>
            <w:shd w:val="clear" w:color="auto" w:fill="D6E3BC"/>
            <w:textDirection w:val="tbRl"/>
          </w:tcPr>
          <w:p w14:paraId="688327C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48A8B2F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8569" w:type="dxa"/>
            <w:gridSpan w:val="2"/>
            <w:tcBorders>
              <w:tl2br w:val="nil"/>
              <w:tr2bl w:val="nil"/>
            </w:tcBorders>
            <w:shd w:val="clear" w:color="auto" w:fill="EBF1DE"/>
            <w:vAlign w:val="center"/>
          </w:tcPr>
          <w:p w14:paraId="09AED28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（4）劫持航空器、轮船、火车等公共交通工具，造成严重危害后果的；</w:t>
            </w:r>
          </w:p>
        </w:tc>
      </w:tr>
      <w:tr w14:paraId="6CEB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jc w:val="center"/>
        </w:trPr>
        <w:tc>
          <w:tcPr>
            <w:tcW w:w="611" w:type="dxa"/>
            <w:vMerge w:val="continue"/>
            <w:tcBorders>
              <w:tl2br w:val="nil"/>
              <w:tr2bl w:val="nil"/>
            </w:tcBorders>
            <w:shd w:val="clear" w:color="auto" w:fill="D6E3BC"/>
            <w:textDirection w:val="tbRl"/>
          </w:tcPr>
          <w:p w14:paraId="4466AC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32DF4E0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8569" w:type="dxa"/>
            <w:gridSpan w:val="2"/>
            <w:tcBorders>
              <w:tl2br w:val="nil"/>
              <w:tr2bl w:val="nil"/>
            </w:tcBorders>
            <w:shd w:val="clear" w:color="auto" w:fill="EBF1DE"/>
            <w:vAlign w:val="center"/>
          </w:tcPr>
          <w:p w14:paraId="0B01807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（5）袭击、劫持警卫对象、国内外重要知名人士及大规模袭击、劫持平民，造成重大影响和危害怖的；</w:t>
            </w:r>
          </w:p>
        </w:tc>
      </w:tr>
      <w:tr w14:paraId="2FA4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exact"/>
          <w:jc w:val="center"/>
        </w:trPr>
        <w:tc>
          <w:tcPr>
            <w:tcW w:w="611" w:type="dxa"/>
            <w:vMerge w:val="continue"/>
            <w:tcBorders>
              <w:tl2br w:val="nil"/>
              <w:tr2bl w:val="nil"/>
            </w:tcBorders>
            <w:shd w:val="clear" w:color="auto" w:fill="D6E3BC"/>
            <w:textDirection w:val="tbRl"/>
          </w:tcPr>
          <w:p w14:paraId="3F0FB58E">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3380A2E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8569" w:type="dxa"/>
            <w:gridSpan w:val="2"/>
            <w:tcBorders>
              <w:tl2br w:val="nil"/>
              <w:tr2bl w:val="nil"/>
            </w:tcBorders>
            <w:shd w:val="clear" w:color="auto" w:fill="EBF1DE"/>
            <w:vAlign w:val="center"/>
          </w:tcPr>
          <w:p w14:paraId="0872370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（6）大规模攻击国家机关、军队或民用计算机信息系统，构成重大危害的。</w:t>
            </w:r>
          </w:p>
        </w:tc>
      </w:tr>
      <w:tr w14:paraId="5780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exact"/>
          <w:jc w:val="center"/>
        </w:trPr>
        <w:tc>
          <w:tcPr>
            <w:tcW w:w="611" w:type="dxa"/>
            <w:vMerge w:val="continue"/>
            <w:tcBorders>
              <w:tl2br w:val="nil"/>
              <w:tr2bl w:val="nil"/>
            </w:tcBorders>
            <w:shd w:val="clear" w:color="auto" w:fill="D6E3BC"/>
            <w:textDirection w:val="tbRl"/>
          </w:tcPr>
          <w:p w14:paraId="6D26401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restart"/>
            <w:tcBorders>
              <w:tl2br w:val="nil"/>
              <w:tr2bl w:val="nil"/>
            </w:tcBorders>
            <w:shd w:val="clear" w:color="auto" w:fill="EEECE1"/>
            <w:vAlign w:val="center"/>
          </w:tcPr>
          <w:p w14:paraId="290B72E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5</w:t>
            </w:r>
          </w:p>
          <w:p w14:paraId="4333C0F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刑事案件</w:t>
            </w:r>
          </w:p>
        </w:tc>
        <w:tc>
          <w:tcPr>
            <w:tcW w:w="4599" w:type="dxa"/>
            <w:tcBorders>
              <w:tl2br w:val="nil"/>
              <w:tr2bl w:val="nil"/>
            </w:tcBorders>
            <w:shd w:val="clear" w:color="auto" w:fill="EBF1DE"/>
            <w:vAlign w:val="center"/>
          </w:tcPr>
          <w:p w14:paraId="12CCD3C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一次造成10人以上死亡的杀人、爆炸、纵火、毒气、投放危险物质和邮寄危险物品等案件，或在公共场所造成6人以上死亡的案件，或采取绑架、劫持人质等手段，造成恶劣社会影响或可能造成严重后果的案件；</w:t>
            </w:r>
          </w:p>
        </w:tc>
        <w:tc>
          <w:tcPr>
            <w:tcW w:w="3970" w:type="dxa"/>
            <w:tcBorders>
              <w:tl2br w:val="nil"/>
              <w:tr2bl w:val="nil"/>
            </w:tcBorders>
            <w:shd w:val="clear" w:color="auto" w:fill="EBF1DE"/>
            <w:vAlign w:val="center"/>
          </w:tcPr>
          <w:p w14:paraId="5962855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（1）一次造成公共场所3人以上死亡，或学校内发生的造成人员伤亡、危害严重的杀人、爆炸、纵火、毒气、绑架、劫持人质和投入危险物质案件；</w:t>
            </w:r>
          </w:p>
        </w:tc>
      </w:tr>
      <w:tr w14:paraId="39E5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exact"/>
          <w:jc w:val="center"/>
        </w:trPr>
        <w:tc>
          <w:tcPr>
            <w:tcW w:w="611" w:type="dxa"/>
            <w:vMerge w:val="continue"/>
            <w:tcBorders>
              <w:tl2br w:val="nil"/>
              <w:tr2bl w:val="nil"/>
            </w:tcBorders>
            <w:shd w:val="clear" w:color="auto" w:fill="D6E3BC"/>
            <w:textDirection w:val="tbRl"/>
          </w:tcPr>
          <w:p w14:paraId="7729EE7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1AE6DE7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35C72E1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（2）抢劫金融机构或运钞车，盗窃金100万元以上的案件；</w:t>
            </w:r>
          </w:p>
        </w:tc>
        <w:tc>
          <w:tcPr>
            <w:tcW w:w="3970" w:type="dxa"/>
            <w:tcBorders>
              <w:tl2br w:val="nil"/>
              <w:tr2bl w:val="nil"/>
            </w:tcBorders>
            <w:shd w:val="clear" w:color="auto" w:fill="EBF1DE"/>
            <w:vAlign w:val="center"/>
          </w:tcPr>
          <w:p w14:paraId="654BD42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（2）劫持现金50万元或财物价值200万元以上，盗窃现金100万元以上的或财物价值300万元以上，或抢劫金融机构或运钞车，盗窃金融机构现金30万以上的案件；</w:t>
            </w:r>
          </w:p>
        </w:tc>
      </w:tr>
      <w:tr w14:paraId="59AA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exact"/>
          <w:jc w:val="center"/>
        </w:trPr>
        <w:tc>
          <w:tcPr>
            <w:tcW w:w="611" w:type="dxa"/>
            <w:vMerge w:val="continue"/>
            <w:tcBorders>
              <w:tl2br w:val="nil"/>
              <w:tr2bl w:val="nil"/>
            </w:tcBorders>
            <w:shd w:val="clear" w:color="auto" w:fill="D6E3BC"/>
            <w:textDirection w:val="tbRl"/>
          </w:tcPr>
          <w:p w14:paraId="16614EE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0A746F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191262E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（3）发生的劫持民用运输航空器、客轮和货轮等案件；</w:t>
            </w:r>
          </w:p>
        </w:tc>
        <w:tc>
          <w:tcPr>
            <w:tcW w:w="3970" w:type="dxa"/>
            <w:tcBorders>
              <w:tl2br w:val="nil"/>
              <w:tr2bl w:val="nil"/>
            </w:tcBorders>
            <w:shd w:val="clear" w:color="auto" w:fill="EBF1DE"/>
            <w:vAlign w:val="center"/>
          </w:tcPr>
          <w:p w14:paraId="4C88BD6F">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（3）有组织团伙性制售假劣药品、医疗器械和有毒有害食品，对人体健康和生命安全造成威胁的案件；</w:t>
            </w:r>
          </w:p>
        </w:tc>
      </w:tr>
      <w:tr w14:paraId="7013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exact"/>
          <w:jc w:val="center"/>
        </w:trPr>
        <w:tc>
          <w:tcPr>
            <w:tcW w:w="611" w:type="dxa"/>
            <w:vMerge w:val="continue"/>
            <w:tcBorders>
              <w:tl2br w:val="nil"/>
              <w:tr2bl w:val="nil"/>
            </w:tcBorders>
            <w:shd w:val="clear" w:color="auto" w:fill="D6E3BC"/>
            <w:textDirection w:val="tbRl"/>
          </w:tcPr>
          <w:p w14:paraId="4374426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17BC382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7F7080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（4）抢劫、走私、盗窃军（警）用枪械10支以上的案件；</w:t>
            </w:r>
          </w:p>
        </w:tc>
        <w:tc>
          <w:tcPr>
            <w:tcW w:w="3970" w:type="dxa"/>
            <w:tcBorders>
              <w:tl2br w:val="nil"/>
              <w:tr2bl w:val="nil"/>
            </w:tcBorders>
            <w:shd w:val="clear" w:color="auto" w:fill="EBF1DE"/>
            <w:vAlign w:val="center"/>
          </w:tcPr>
          <w:p w14:paraId="51CC258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（4）案值数额在2000万元以上的走私、骗汇、逃汇、洗钱、金融诈骗案、增值税发票及其它票证案，面值在200万元以上的制贩假币案件；</w:t>
            </w:r>
          </w:p>
        </w:tc>
      </w:tr>
      <w:tr w14:paraId="6E5B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exact"/>
          <w:jc w:val="center"/>
        </w:trPr>
        <w:tc>
          <w:tcPr>
            <w:tcW w:w="611" w:type="dxa"/>
            <w:vMerge w:val="continue"/>
            <w:tcBorders>
              <w:tl2br w:val="nil"/>
              <w:tr2bl w:val="nil"/>
            </w:tcBorders>
            <w:shd w:val="clear" w:color="auto" w:fill="D6E3BC"/>
            <w:textDirection w:val="tbRl"/>
          </w:tcPr>
          <w:p w14:paraId="17ABA87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06D0205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674E90B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（5）危害性大的放射性材料或数量特大的炸药或雷管被盗、丢失案件；</w:t>
            </w:r>
          </w:p>
        </w:tc>
        <w:tc>
          <w:tcPr>
            <w:tcW w:w="3970" w:type="dxa"/>
            <w:tcBorders>
              <w:tl2br w:val="nil"/>
              <w:tr2bl w:val="nil"/>
            </w:tcBorders>
            <w:shd w:val="clear" w:color="auto" w:fill="EBF1DE"/>
            <w:vAlign w:val="center"/>
          </w:tcPr>
          <w:p w14:paraId="5BB2943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（5）因假劣种子、化肥、农药等农用生产资料造成大面积绝收、减产的坑农案件；</w:t>
            </w:r>
          </w:p>
        </w:tc>
      </w:tr>
      <w:tr w14:paraId="5125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3C48757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1A1D674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tcPr>
          <w:p w14:paraId="54556014">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（6）走私危害性大的放射性材料，走私固体废物达100吨以上的案件；</w:t>
            </w:r>
          </w:p>
        </w:tc>
        <w:tc>
          <w:tcPr>
            <w:tcW w:w="3970" w:type="dxa"/>
            <w:tcBorders>
              <w:tl2br w:val="nil"/>
              <w:tr2bl w:val="nil"/>
            </w:tcBorders>
            <w:shd w:val="clear" w:color="auto" w:fill="EBF1DE"/>
          </w:tcPr>
          <w:p w14:paraId="563ADDA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（6）非法猎捕、采集国家重点保护野生动植物和破坏物种资源致使物种或种群面临灭绝危险的重大案件；</w:t>
            </w:r>
          </w:p>
        </w:tc>
      </w:tr>
      <w:tr w14:paraId="3E56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6034379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7D4618D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3EE1739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spacing w:val="-6"/>
                <w:kern w:val="2"/>
                <w:sz w:val="21"/>
                <w:szCs w:val="32"/>
                <w:lang w:val="en-US" w:eastAsia="zh-CN" w:bidi="ar-SA"/>
              </w:rPr>
              <w:t>（7）制贩毒品（海洛因、冰毒）20</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公斤以上案件；</w:t>
            </w:r>
          </w:p>
        </w:tc>
        <w:tc>
          <w:tcPr>
            <w:tcW w:w="3970" w:type="dxa"/>
            <w:tcBorders>
              <w:tl2br w:val="nil"/>
              <w:tr2bl w:val="nil"/>
            </w:tcBorders>
            <w:shd w:val="clear" w:color="auto" w:fill="EBF1DE"/>
            <w:vAlign w:val="center"/>
          </w:tcPr>
          <w:p w14:paraId="7C4F18C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（7）重大制贩毒品（海洛因、冰毒）案件；</w:t>
            </w:r>
          </w:p>
        </w:tc>
      </w:tr>
      <w:tr w14:paraId="363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410BFA9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58C576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3446CC8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（8）盗窃、出卖、泄露及丢失国家秘密资料等可能造成严重后果的案件；</w:t>
            </w:r>
          </w:p>
        </w:tc>
        <w:tc>
          <w:tcPr>
            <w:tcW w:w="3970" w:type="dxa"/>
            <w:tcBorders>
              <w:tl2br w:val="nil"/>
              <w:tr2bl w:val="nil"/>
            </w:tcBorders>
            <w:shd w:val="clear" w:color="auto" w:fill="EBF1DE"/>
            <w:vAlign w:val="center"/>
          </w:tcPr>
          <w:p w14:paraId="7CA424B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（8）涉及</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50</w:t>
            </w:r>
            <w:r>
              <w:rPr>
                <w:rFonts w:hint="eastAsia" w:ascii="宋体" w:hAnsi="宋体" w:eastAsia="宋体" w:cs="Times New Roman"/>
                <w:spacing w:val="-45"/>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人以上，或者偷渡人员较多，且有人员伤亡，在国际上造成一定影响的偷渡案件。</w:t>
            </w:r>
          </w:p>
        </w:tc>
      </w:tr>
      <w:tr w14:paraId="141D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05809435">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4C25C410">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44B7C23B">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（9）攻击和破坏计算机网络、卫星通信、广播电视传输系统等，并对社会稳定造成特大影响的信息安全案件；</w:t>
            </w:r>
          </w:p>
        </w:tc>
        <w:tc>
          <w:tcPr>
            <w:tcW w:w="3970" w:type="dxa"/>
            <w:tcBorders>
              <w:tl2br w:val="nil"/>
              <w:tr2bl w:val="nil"/>
            </w:tcBorders>
            <w:shd w:val="clear" w:color="auto" w:fill="EBF1DE"/>
            <w:vAlign w:val="center"/>
          </w:tcPr>
          <w:p w14:paraId="1599172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r w14:paraId="3D1A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6AD067EC">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766BA52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2E42DBDA">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spacing w:val="-2"/>
                <w:kern w:val="2"/>
                <w:sz w:val="21"/>
                <w:szCs w:val="32"/>
                <w:lang w:val="en-US" w:eastAsia="zh-CN" w:bidi="ar-SA"/>
              </w:rPr>
              <w:t>（10）在我国境内发生的涉外、涉港澳台侨重大刑</w:t>
            </w:r>
            <w:r>
              <w:rPr>
                <w:rFonts w:hint="eastAsia" w:ascii="宋体" w:hAnsi="宋体" w:eastAsia="宋体" w:cs="Times New Roman"/>
                <w:kern w:val="2"/>
                <w:sz w:val="21"/>
                <w:szCs w:val="32"/>
                <w:lang w:val="en-US" w:eastAsia="zh-CN" w:bidi="ar-SA"/>
              </w:rPr>
              <w:t>事案件。</w:t>
            </w:r>
          </w:p>
        </w:tc>
        <w:tc>
          <w:tcPr>
            <w:tcW w:w="3970" w:type="dxa"/>
            <w:tcBorders>
              <w:tl2br w:val="nil"/>
              <w:tr2bl w:val="nil"/>
            </w:tcBorders>
            <w:shd w:val="clear" w:color="auto" w:fill="EBF1DE"/>
            <w:vAlign w:val="center"/>
          </w:tcPr>
          <w:p w14:paraId="14D81FC7">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w:t>
            </w:r>
          </w:p>
        </w:tc>
      </w:tr>
      <w:tr w14:paraId="0E3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0FB309B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restart"/>
            <w:tcBorders>
              <w:tl2br w:val="nil"/>
              <w:tr2bl w:val="nil"/>
            </w:tcBorders>
            <w:shd w:val="clear" w:color="auto" w:fill="EEECE1"/>
            <w:vAlign w:val="center"/>
          </w:tcPr>
          <w:p w14:paraId="7D454B32">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b/>
                <w:kern w:val="2"/>
                <w:sz w:val="21"/>
                <w:szCs w:val="32"/>
                <w:lang w:val="en-US" w:eastAsia="zh-CN" w:bidi="ar-SA"/>
              </w:rPr>
            </w:pPr>
            <w:r>
              <w:rPr>
                <w:rFonts w:hint="eastAsia" w:ascii="宋体" w:hAnsi="宋体" w:eastAsia="宋体" w:cs="Times New Roman"/>
                <w:b/>
                <w:kern w:val="2"/>
                <w:sz w:val="21"/>
                <w:szCs w:val="32"/>
                <w:lang w:val="en-US" w:eastAsia="zh-CN" w:bidi="ar-SA"/>
              </w:rPr>
              <w:t>6</w:t>
            </w:r>
          </w:p>
          <w:p w14:paraId="7C7559C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b/>
                <w:kern w:val="2"/>
                <w:sz w:val="21"/>
                <w:szCs w:val="32"/>
                <w:lang w:val="en-US" w:eastAsia="zh-CN" w:bidi="ar-SA"/>
              </w:rPr>
              <w:t>涉外突发事件</w:t>
            </w:r>
          </w:p>
        </w:tc>
        <w:tc>
          <w:tcPr>
            <w:tcW w:w="4599" w:type="dxa"/>
            <w:tcBorders>
              <w:tl2br w:val="nil"/>
              <w:tr2bl w:val="nil"/>
            </w:tcBorders>
            <w:shd w:val="clear" w:color="auto" w:fill="EBF1DE"/>
            <w:vAlign w:val="center"/>
          </w:tcPr>
          <w:p w14:paraId="4AC55D4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w:t>
            </w:r>
            <w:r>
              <w:rPr>
                <w:rFonts w:hint="eastAsia" w:ascii="宋体" w:hAnsi="宋体" w:eastAsia="宋体" w:cs="Times New Roman"/>
                <w:spacing w:val="-39"/>
                <w:kern w:val="2"/>
                <w:sz w:val="21"/>
                <w:szCs w:val="32"/>
                <w:lang w:val="en-US" w:eastAsia="zh-CN" w:bidi="ar-SA"/>
              </w:rPr>
              <w:t>）</w:t>
            </w:r>
            <w:r>
              <w:rPr>
                <w:rFonts w:hint="eastAsia" w:ascii="宋体" w:hAnsi="宋体" w:eastAsia="宋体" w:cs="Times New Roman"/>
                <w:kern w:val="2"/>
                <w:sz w:val="21"/>
                <w:szCs w:val="32"/>
                <w:lang w:val="en-US" w:eastAsia="zh-CN" w:bidi="ar-SA"/>
              </w:rPr>
              <w:t>一次</w:t>
            </w:r>
            <w:r>
              <w:rPr>
                <w:rFonts w:hint="eastAsia" w:ascii="宋体" w:hAnsi="宋体" w:eastAsia="宋体" w:cs="Times New Roman"/>
                <w:spacing w:val="-2"/>
                <w:kern w:val="2"/>
                <w:sz w:val="21"/>
                <w:szCs w:val="32"/>
                <w:lang w:val="en-US" w:eastAsia="zh-CN" w:bidi="ar-SA"/>
              </w:rPr>
              <w:t>造</w:t>
            </w:r>
            <w:r>
              <w:rPr>
                <w:rFonts w:hint="eastAsia" w:ascii="宋体" w:hAnsi="宋体" w:eastAsia="宋体" w:cs="Times New Roman"/>
                <w:kern w:val="2"/>
                <w:sz w:val="21"/>
                <w:szCs w:val="32"/>
                <w:lang w:val="en-US" w:eastAsia="zh-CN" w:bidi="ar-SA"/>
              </w:rPr>
              <w:t>成</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30</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人以上</w:t>
            </w:r>
            <w:r>
              <w:rPr>
                <w:rFonts w:hint="eastAsia" w:ascii="宋体" w:hAnsi="宋体" w:eastAsia="宋体" w:cs="Times New Roman"/>
                <w:spacing w:val="1"/>
                <w:kern w:val="2"/>
                <w:sz w:val="21"/>
                <w:szCs w:val="32"/>
                <w:lang w:val="en-US" w:eastAsia="zh-CN" w:bidi="ar-SA"/>
              </w:rPr>
              <w:t>死</w:t>
            </w:r>
            <w:r>
              <w:rPr>
                <w:rFonts w:hint="eastAsia" w:ascii="宋体" w:hAnsi="宋体" w:eastAsia="宋体" w:cs="Times New Roman"/>
                <w:kern w:val="2"/>
                <w:sz w:val="21"/>
                <w:szCs w:val="32"/>
                <w:lang w:val="en-US" w:eastAsia="zh-CN" w:bidi="ar-SA"/>
              </w:rPr>
              <w:t>亡或</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100</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人</w:t>
            </w:r>
            <w:r>
              <w:rPr>
                <w:rFonts w:hint="eastAsia" w:ascii="宋体" w:hAnsi="宋体" w:eastAsia="宋体" w:cs="Times New Roman"/>
                <w:spacing w:val="1"/>
                <w:kern w:val="2"/>
                <w:sz w:val="21"/>
                <w:szCs w:val="32"/>
                <w:lang w:val="en-US" w:eastAsia="zh-CN" w:bidi="ar-SA"/>
              </w:rPr>
              <w:t>以</w:t>
            </w:r>
            <w:r>
              <w:rPr>
                <w:rFonts w:hint="eastAsia" w:ascii="宋体" w:hAnsi="宋体" w:eastAsia="宋体" w:cs="Times New Roman"/>
                <w:kern w:val="2"/>
                <w:sz w:val="21"/>
                <w:szCs w:val="32"/>
                <w:lang w:val="en-US" w:eastAsia="zh-CN" w:bidi="ar-SA"/>
              </w:rPr>
              <w:t>上伤亡的 境外涉我(省)及境内涉外事件；</w:t>
            </w:r>
          </w:p>
        </w:tc>
        <w:tc>
          <w:tcPr>
            <w:tcW w:w="3970" w:type="dxa"/>
            <w:tcBorders>
              <w:tl2br w:val="nil"/>
              <w:tr2bl w:val="nil"/>
            </w:tcBorders>
            <w:shd w:val="clear" w:color="auto" w:fill="EBF1DE"/>
            <w:vAlign w:val="center"/>
          </w:tcPr>
          <w:p w14:paraId="24C99BD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（1）一次事件造成</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10-30</w:t>
            </w:r>
            <w:r>
              <w:rPr>
                <w:rFonts w:hint="eastAsia" w:ascii="宋体" w:hAnsi="宋体" w:eastAsia="宋体" w:cs="Times New Roman"/>
                <w:spacing w:val="-45"/>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人死亡，或</w:t>
            </w:r>
            <w:r>
              <w:rPr>
                <w:rFonts w:hint="eastAsia" w:ascii="宋体" w:hAnsi="宋体" w:eastAsia="宋体" w:cs="Times New Roman"/>
                <w:spacing w:val="-46"/>
                <w:kern w:val="2"/>
                <w:sz w:val="21"/>
                <w:szCs w:val="32"/>
                <w:lang w:val="en-US" w:eastAsia="zh-CN" w:bidi="ar-SA"/>
              </w:rPr>
              <w:t xml:space="preserve"> </w:t>
            </w:r>
            <w:r>
              <w:rPr>
                <w:rFonts w:hint="eastAsia" w:ascii="宋体" w:hAnsi="宋体" w:eastAsia="宋体" w:cs="Times New Roman"/>
                <w:kern w:val="2"/>
                <w:sz w:val="21"/>
                <w:szCs w:val="32"/>
                <w:lang w:val="en-US" w:eastAsia="zh-CN" w:bidi="ar-SA"/>
              </w:rPr>
              <w:t>50-100人伤亡的境外涉我（省）及境内涉外事件；</w:t>
            </w:r>
          </w:p>
        </w:tc>
      </w:tr>
      <w:tr w14:paraId="5770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5942A893">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0BC891A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5BF61821">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（2）造成我境外国家利益、机构和人员安全及重大财产损失，造成境内外国驻华外交机构、其他机构和人员安全及重大财产损失，并具有重大政治和社会影响的涉外事件；</w:t>
            </w:r>
          </w:p>
        </w:tc>
        <w:tc>
          <w:tcPr>
            <w:tcW w:w="3970" w:type="dxa"/>
            <w:tcBorders>
              <w:tl2br w:val="nil"/>
              <w:tr2bl w:val="nil"/>
            </w:tcBorders>
            <w:shd w:val="clear" w:color="auto" w:fill="EBF1DE"/>
            <w:vAlign w:val="center"/>
          </w:tcPr>
          <w:p w14:paraId="6668C43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（2</w:t>
            </w:r>
            <w:r>
              <w:rPr>
                <w:rFonts w:hint="eastAsia" w:ascii="宋体" w:hAnsi="宋体" w:eastAsia="宋体" w:cs="Times New Roman"/>
                <w:spacing w:val="-45"/>
                <w:kern w:val="2"/>
                <w:sz w:val="21"/>
                <w:szCs w:val="32"/>
                <w:lang w:val="en-US" w:eastAsia="zh-CN" w:bidi="ar-SA"/>
              </w:rPr>
              <w:t>）</w:t>
            </w:r>
            <w:r>
              <w:rPr>
                <w:rFonts w:hint="eastAsia" w:ascii="宋体" w:hAnsi="宋体" w:eastAsia="宋体" w:cs="Times New Roman"/>
                <w:kern w:val="2"/>
                <w:sz w:val="21"/>
                <w:szCs w:val="32"/>
                <w:lang w:val="en-US" w:eastAsia="zh-CN" w:bidi="ar-SA"/>
              </w:rPr>
              <w:t>造成或可能造成我境外国家利益</w:t>
            </w:r>
            <w:r>
              <w:rPr>
                <w:rFonts w:hint="eastAsia" w:ascii="宋体" w:hAnsi="宋体" w:eastAsia="宋体" w:cs="Times New Roman"/>
                <w:spacing w:val="-45"/>
                <w:kern w:val="2"/>
                <w:sz w:val="21"/>
                <w:szCs w:val="32"/>
                <w:lang w:val="en-US" w:eastAsia="zh-CN" w:bidi="ar-SA"/>
              </w:rPr>
              <w:t>、</w:t>
            </w:r>
            <w:r>
              <w:rPr>
                <w:rFonts w:hint="eastAsia" w:ascii="宋体" w:hAnsi="宋体" w:eastAsia="宋体" w:cs="Times New Roman"/>
                <w:kern w:val="2"/>
                <w:sz w:val="21"/>
                <w:szCs w:val="32"/>
                <w:lang w:val="en-US" w:eastAsia="zh-CN" w:bidi="ar-SA"/>
              </w:rPr>
              <w:t>机构和人员安全及较大财产损失，造成或可能造成外国驻华外交机构、其他机构和人员安全及财产较大损失，并具有较大政治和社会影响的涉外事件；</w:t>
            </w:r>
          </w:p>
        </w:tc>
      </w:tr>
      <w:tr w14:paraId="75061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jc w:val="center"/>
        </w:trPr>
        <w:tc>
          <w:tcPr>
            <w:tcW w:w="611" w:type="dxa"/>
            <w:vMerge w:val="continue"/>
            <w:tcBorders>
              <w:tl2br w:val="nil"/>
              <w:tr2bl w:val="nil"/>
            </w:tcBorders>
            <w:shd w:val="clear" w:color="auto" w:fill="D6E3BC"/>
            <w:textDirection w:val="tbRl"/>
          </w:tcPr>
          <w:p w14:paraId="3B3D7E76">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both"/>
              <w:textAlignment w:val="auto"/>
              <w:outlineLvl w:val="9"/>
              <w:rPr>
                <w:rFonts w:hint="eastAsia" w:ascii="宋体" w:hAnsi="宋体" w:eastAsia="宋体" w:cs="Times New Roman"/>
                <w:kern w:val="2"/>
                <w:sz w:val="21"/>
                <w:szCs w:val="32"/>
                <w:lang w:val="en-US" w:eastAsia="zh-CN" w:bidi="ar-SA"/>
              </w:rPr>
            </w:pPr>
          </w:p>
        </w:tc>
        <w:tc>
          <w:tcPr>
            <w:tcW w:w="547" w:type="dxa"/>
            <w:vMerge w:val="continue"/>
            <w:tcBorders>
              <w:tl2br w:val="nil"/>
              <w:tr2bl w:val="nil"/>
            </w:tcBorders>
            <w:shd w:val="clear" w:color="auto" w:fill="EEECE1"/>
            <w:vAlign w:val="center"/>
          </w:tcPr>
          <w:p w14:paraId="4DBC5458">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right="0" w:firstLine="0" w:firstLineChars="0"/>
              <w:jc w:val="center"/>
              <w:textAlignment w:val="auto"/>
              <w:outlineLvl w:val="9"/>
              <w:rPr>
                <w:rFonts w:hint="eastAsia" w:ascii="宋体" w:hAnsi="宋体" w:eastAsia="宋体" w:cs="Times New Roman"/>
                <w:kern w:val="2"/>
                <w:sz w:val="21"/>
                <w:szCs w:val="32"/>
                <w:lang w:val="en-US" w:eastAsia="zh-CN" w:bidi="ar-SA"/>
              </w:rPr>
            </w:pPr>
          </w:p>
        </w:tc>
        <w:tc>
          <w:tcPr>
            <w:tcW w:w="4599" w:type="dxa"/>
            <w:tcBorders>
              <w:tl2br w:val="nil"/>
              <w:tr2bl w:val="nil"/>
            </w:tcBorders>
            <w:shd w:val="clear" w:color="auto" w:fill="EBF1DE"/>
            <w:vAlign w:val="center"/>
          </w:tcPr>
          <w:p w14:paraId="4358E309">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（3）有关国家、地区发生特别重大突发事件，需要迅速撤离我驻外机构和人员、撤侨的涉外事件。</w:t>
            </w:r>
          </w:p>
        </w:tc>
        <w:tc>
          <w:tcPr>
            <w:tcW w:w="3970" w:type="dxa"/>
            <w:tcBorders>
              <w:tl2br w:val="nil"/>
              <w:tr2bl w:val="nil"/>
            </w:tcBorders>
            <w:shd w:val="clear" w:color="auto" w:fill="EBF1DE"/>
            <w:vAlign w:val="center"/>
          </w:tcPr>
          <w:p w14:paraId="2FE8E12D">
            <w:pPr>
              <w:keepNext w:val="0"/>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20" w:lineRule="exact"/>
              <w:ind w:left="0" w:leftChars="0" w:right="0" w:rightChars="0" w:firstLine="0" w:firstLineChars="0"/>
              <w:jc w:val="both"/>
              <w:textAlignment w:val="auto"/>
              <w:outlineLvl w:val="9"/>
              <w:rPr>
                <w:rFonts w:hint="eastAsia" w:ascii="宋体" w:hAnsi="宋体" w:eastAsia="宋体" w:cs="Times New Roman"/>
                <w:kern w:val="2"/>
                <w:sz w:val="21"/>
                <w:szCs w:val="32"/>
                <w:lang w:val="en-US" w:eastAsia="zh-CN" w:bidi="ar-SA"/>
              </w:rPr>
            </w:pPr>
            <w:r>
              <w:rPr>
                <w:rFonts w:hint="eastAsia" w:ascii="宋体" w:hAnsi="宋体" w:eastAsia="宋体" w:cs="Times New Roman"/>
                <w:kern w:val="2"/>
                <w:sz w:val="21"/>
                <w:szCs w:val="32"/>
                <w:lang w:val="en-US" w:eastAsia="zh-CN" w:bidi="ar-SA"/>
              </w:rPr>
              <w:t>（3）有关国家、地区发生重大突发事件，需要尽快撤离我驻外部分机构和人员、部分撤侨的涉外事件。</w:t>
            </w:r>
          </w:p>
        </w:tc>
      </w:tr>
    </w:tbl>
    <w:p w14:paraId="2D47D9D8">
      <w:pPr>
        <w:pageBreakBefore w:val="0"/>
        <w:widowControl w:val="0"/>
        <w:kinsoku/>
        <w:wordWrap/>
        <w:overflowPunct/>
        <w:topLinePunct w:val="0"/>
        <w:autoSpaceDE/>
        <w:bidi w:val="0"/>
        <w:spacing w:line="360" w:lineRule="auto"/>
        <w:jc w:val="both"/>
        <w:outlineLvl w:val="0"/>
        <w:rPr>
          <w:rFonts w:hint="eastAsia" w:ascii="仿宋" w:hAnsi="仿宋" w:eastAsia="仿宋" w:cs="仿宋"/>
          <w:b w:val="0"/>
          <w:bCs w:val="0"/>
          <w:sz w:val="32"/>
          <w:szCs w:val="32"/>
          <w:vertAlign w:val="baseline"/>
          <w:lang w:val="en-US" w:eastAsia="zh-CN"/>
        </w:rPr>
      </w:pPr>
      <w:r>
        <w:rPr>
          <w:rFonts w:hint="eastAsia" w:ascii="宋体" w:hAnsi="宋体" w:eastAsia="宋体" w:cs="Times New Roman"/>
          <w:kern w:val="2"/>
          <w:sz w:val="24"/>
          <w:szCs w:val="32"/>
          <w:lang w:val="en-US" w:eastAsia="zh-CN" w:bidi="ar-SA"/>
        </w:rPr>
        <w:t>〔注：依据《国家突发公共事件总体应急预案》（国发〔20</w:t>
      </w:r>
      <w:r>
        <w:rPr>
          <w:rFonts w:hint="default" w:ascii="宋体" w:hAnsi="宋体" w:eastAsia="宋体" w:cs="Times New Roman"/>
          <w:kern w:val="2"/>
          <w:sz w:val="24"/>
          <w:szCs w:val="32"/>
          <w:lang w:val="en-US" w:eastAsia="zh-CN" w:bidi="ar-SA"/>
        </w:rPr>
        <w:t>0</w:t>
      </w:r>
      <w:r>
        <w:rPr>
          <w:rFonts w:hint="eastAsia" w:ascii="宋体" w:hAnsi="宋体" w:eastAsia="宋体" w:cs="Times New Roman"/>
          <w:kern w:val="2"/>
          <w:sz w:val="24"/>
          <w:szCs w:val="32"/>
          <w:lang w:val="en-US" w:eastAsia="zh-CN" w:bidi="ar-SA"/>
        </w:rPr>
        <w:t>5〕11</w:t>
      </w:r>
      <w:r>
        <w:rPr>
          <w:rFonts w:hint="eastAsia" w:ascii="宋体" w:hAnsi="宋体" w:eastAsia="宋体" w:cs="Times New Roman"/>
          <w:spacing w:val="-60"/>
          <w:kern w:val="2"/>
          <w:sz w:val="24"/>
          <w:szCs w:val="32"/>
          <w:lang w:val="en-US" w:eastAsia="zh-CN" w:bidi="ar-SA"/>
        </w:rPr>
        <w:t xml:space="preserve"> </w:t>
      </w:r>
      <w:r>
        <w:rPr>
          <w:rFonts w:hint="eastAsia" w:ascii="宋体" w:hAnsi="宋体" w:eastAsia="宋体" w:cs="Times New Roman"/>
          <w:kern w:val="2"/>
          <w:sz w:val="24"/>
          <w:szCs w:val="32"/>
          <w:lang w:val="en-US" w:eastAsia="zh-CN" w:bidi="ar-SA"/>
        </w:rPr>
        <w:t>号）制</w:t>
      </w:r>
      <w:bookmarkEnd w:id="4"/>
      <w:bookmarkEnd w:id="5"/>
      <w:bookmarkEnd w:id="6"/>
      <w:bookmarkEnd w:id="7"/>
      <w:bookmarkEnd w:id="8"/>
    </w:p>
    <w:sectPr>
      <w:footerReference r:id="rId5" w:type="default"/>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8B47F0-672E-414D-BE9F-6F64B3CD9B9F}"/>
  </w:font>
  <w:font w:name="黑体">
    <w:panose1 w:val="02010609060101010101"/>
    <w:charset w:val="86"/>
    <w:family w:val="auto"/>
    <w:pitch w:val="default"/>
    <w:sig w:usb0="800002BF" w:usb1="38CF7CFA" w:usb2="00000016" w:usb3="00000000" w:csb0="00040001" w:csb1="00000000"/>
    <w:embedRegular r:id="rId2" w:fontKey="{4DA2A760-EDBE-45A8-A393-F01B84D8DD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4F282C1-DC25-4A60-A51F-7FB16FCF8FA7}"/>
  </w:font>
  <w:font w:name="楷体_GB2312">
    <w:panose1 w:val="02010609030101010101"/>
    <w:charset w:val="86"/>
    <w:family w:val="auto"/>
    <w:pitch w:val="default"/>
    <w:sig w:usb0="00000001" w:usb1="080E0000" w:usb2="00000000" w:usb3="00000000" w:csb0="00040000" w:csb1="00000000"/>
    <w:embedRegular r:id="rId4" w:fontKey="{E9652910-7043-4FF3-9B31-F846BB609970}"/>
  </w:font>
  <w:font w:name="仿宋_GB2312">
    <w:panose1 w:val="02010609030101010101"/>
    <w:charset w:val="86"/>
    <w:family w:val="modern"/>
    <w:pitch w:val="default"/>
    <w:sig w:usb0="00000001" w:usb1="080E0000" w:usb2="00000000" w:usb3="00000000" w:csb0="00040000" w:csb1="00000000"/>
    <w:embedRegular r:id="rId5" w:fontKey="{4B99F849-A777-4172-AE5F-6BB3CE39FED0}"/>
  </w:font>
  <w:font w:name="方正小标宋_GBK">
    <w:panose1 w:val="03000509000000000000"/>
    <w:charset w:val="86"/>
    <w:family w:val="auto"/>
    <w:pitch w:val="default"/>
    <w:sig w:usb0="00000001" w:usb1="080E0000" w:usb2="00000000" w:usb3="00000000" w:csb0="00040000" w:csb1="00000000"/>
    <w:embedRegular r:id="rId6" w:fontKey="{2650411A-40EE-4E3B-831B-34034A36B308}"/>
  </w:font>
  <w:font w:name="楷体">
    <w:panose1 w:val="02010609060101010101"/>
    <w:charset w:val="86"/>
    <w:family w:val="auto"/>
    <w:pitch w:val="default"/>
    <w:sig w:usb0="800002BF" w:usb1="38CF7CFA" w:usb2="00000016" w:usb3="00000000" w:csb0="00040001" w:csb1="00000000"/>
    <w:embedRegular r:id="rId7" w:fontKey="{133E151C-4115-4B47-881B-55380F71590F}"/>
  </w:font>
  <w:font w:name="仿宋">
    <w:panose1 w:val="02010609060101010101"/>
    <w:charset w:val="86"/>
    <w:family w:val="modern"/>
    <w:pitch w:val="default"/>
    <w:sig w:usb0="800002BF" w:usb1="38CF7CFA" w:usb2="00000016" w:usb3="00000000" w:csb0="00040001" w:csb1="00000000"/>
    <w:embedRegular r:id="rId8" w:fontKey="{CD2FBFAF-CF4E-4F50-BAE2-B82B320B4C2C}"/>
  </w:font>
  <w:font w:name="新宋体">
    <w:panose1 w:val="02010609030101010101"/>
    <w:charset w:val="86"/>
    <w:family w:val="auto"/>
    <w:pitch w:val="default"/>
    <w:sig w:usb0="00000203" w:usb1="288F0000" w:usb2="00000006" w:usb3="00000000" w:csb0="00040001" w:csb1="00000000"/>
    <w:embedRegular r:id="rId9" w:fontKey="{E1A43789-0B66-4650-8443-79EB92712909}"/>
  </w:font>
  <w:font w:name="Microsoft JhengHei">
    <w:panose1 w:val="020B0604030504040204"/>
    <w:charset w:val="88"/>
    <w:family w:val="swiss"/>
    <w:pitch w:val="default"/>
    <w:sig w:usb0="000002A7" w:usb1="28CF4400" w:usb2="00000016" w:usb3="00000000" w:csb0="00100009" w:csb1="00000000"/>
    <w:embedRegular r:id="rId10" w:fontKey="{79377B3B-070C-485F-B370-D0A3472FD38C}"/>
  </w:font>
  <w:font w:name="Microsoft Sans Serif">
    <w:panose1 w:val="020B0604020202020204"/>
    <w:charset w:val="00"/>
    <w:family w:val="swiss"/>
    <w:pitch w:val="default"/>
    <w:sig w:usb0="E5002EFF" w:usb1="C000605B" w:usb2="00000029" w:usb3="00000000" w:csb0="200101FF" w:csb1="20280000"/>
    <w:embedRegular r:id="rId11" w:fontKey="{D914632D-D2B2-4941-AB71-6EFED8A97D11}"/>
  </w:font>
  <w:font w:name="华文楷体">
    <w:panose1 w:val="02010600040101010101"/>
    <w:charset w:val="86"/>
    <w:family w:val="auto"/>
    <w:pitch w:val="default"/>
    <w:sig w:usb0="00000287" w:usb1="080F0000" w:usb2="00000000" w:usb3="00000000" w:csb0="0004009F" w:csb1="DFD70000"/>
    <w:embedRegular r:id="rId12" w:fontKey="{92F3D27D-F1B8-4E6D-B423-E5EAA5337BA7}"/>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8ABB7">
    <w:pPr>
      <w:widowControl w:val="0"/>
      <w:kinsoku w:val="0"/>
      <w:overflowPunct w:val="0"/>
      <w:spacing w:before="0" w:line="14" w:lineRule="auto"/>
      <w:ind w:left="0" w:firstLine="400" w:firstLineChars="200"/>
      <w:jc w:val="both"/>
      <w:rPr>
        <w:rFonts w:hint="eastAsia" w:ascii="仿宋_GB2312" w:hAnsi="仿宋_GB2312" w:eastAsia="仿宋_GB2312" w:cs="Times New Roman"/>
        <w:kern w:val="2"/>
        <w:sz w:val="20"/>
        <w:szCs w:val="32"/>
        <w:lang w:val="en-US" w:eastAsia="zh-CN" w:bidi="ar-SA"/>
      </w:rPr>
    </w:pPr>
    <w:r>
      <w:rPr>
        <w:rFonts w:hint="eastAsia" w:ascii="仿宋_GB2312" w:hAnsi="仿宋_GB2312" w:eastAsia="仿宋_GB2312" w:cs="Times New Roman"/>
        <w:kern w:val="2"/>
        <w:sz w:val="20"/>
        <w:szCs w:val="32"/>
        <w:lang w:val="en-US" w:eastAsia="zh-CN" w:bidi="ar-SA"/>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0" name="文本框 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EB567DD">
                          <w:pPr>
                            <w:widowControl w:val="0"/>
                            <w:tabs>
                              <w:tab w:val="center" w:pos="4153"/>
                              <w:tab w:val="right" w:pos="8306"/>
                            </w:tabs>
                            <w:snapToGrid w:val="0"/>
                            <w:spacing w:line="600" w:lineRule="exact"/>
                            <w:ind w:left="0" w:leftChars="0" w:firstLine="0" w:firstLineChars="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I</w:t>
                          </w:r>
                          <w:r>
                            <w:rPr>
                              <w:rFonts w:hint="eastAsia" w:ascii="宋体" w:hAnsi="宋体" w:eastAsia="宋体" w:cs="宋体"/>
                              <w:kern w:val="2"/>
                              <w:sz w:val="28"/>
                              <w:szCs w:val="28"/>
                              <w:lang w:val="en-US" w:eastAsia="zh-CN" w:bidi="ar-SA"/>
                            </w:rPr>
                            <w:fldChar w:fldCharType="end"/>
                          </w:r>
                        </w:p>
                      </w:txbxContent>
                    </wps:txbx>
                    <wps:bodyPr vert="horz" wrap="none" lIns="0" tIns="0" rIns="0" bIns="0" anchor="t" upright="0">
                      <a:spAutoFit/>
                    </wps:bodyPr>
                  </wps:wsp>
                </a:graphicData>
              </a:graphic>
            </wp:anchor>
          </w:drawing>
        </mc:Choice>
        <mc:Fallback>
          <w:pict>
            <v:rect id="文本框 25"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uXW5UtAAAAAFAQAADwAAAAAAAAABACAAAAAiAAAAZHJzL2Rv&#10;d25yZXYueG1sUEsBAhQAFAAAAAgAh07iQJyNnD7QAQAAnQMAAA4AAAAAAAAAAQAgAAAAHwEAAGRy&#10;cy9lMm9Eb2MueG1sUEsFBgAAAAAGAAYAWQEAAGEFAAAAAA==&#10;">
              <v:fill on="f" focussize="0,0"/>
              <v:stroke on="f"/>
              <v:imagedata o:title=""/>
              <o:lock v:ext="edit" aspectratio="f"/>
              <v:textbox inset="0mm,0mm,0mm,0mm" style="mso-fit-shape-to-text:t;">
                <w:txbxContent>
                  <w:p w14:paraId="5EB567DD">
                    <w:pPr>
                      <w:widowControl w:val="0"/>
                      <w:tabs>
                        <w:tab w:val="center" w:pos="4153"/>
                        <w:tab w:val="right" w:pos="8306"/>
                      </w:tabs>
                      <w:snapToGrid w:val="0"/>
                      <w:spacing w:line="600" w:lineRule="exact"/>
                      <w:ind w:left="0" w:leftChars="0" w:firstLine="0" w:firstLineChars="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I</w:t>
                    </w:r>
                    <w:r>
                      <w:rPr>
                        <w:rFonts w:hint="eastAsia" w:ascii="宋体" w:hAnsi="宋体" w:eastAsia="宋体" w:cs="宋体"/>
                        <w:kern w:val="2"/>
                        <w:sz w:val="28"/>
                        <w:szCs w:val="28"/>
                        <w:lang w:val="en-US" w:eastAsia="zh-CN" w:bidi="ar-S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1C42">
    <w:pPr>
      <w:widowControl w:val="0"/>
      <w:tabs>
        <w:tab w:val="center" w:pos="4153"/>
        <w:tab w:val="right" w:pos="8306"/>
      </w:tabs>
      <w:snapToGrid w:val="0"/>
      <w:spacing w:line="600" w:lineRule="exact"/>
      <w:ind w:firstLine="360" w:firstLineChars="200"/>
      <w:jc w:val="left"/>
      <w:rPr>
        <w:rFonts w:hint="default" w:ascii="Times New Roman" w:hAnsi="Times New Roman" w:eastAsia="仿宋_GB2312" w:cs="Times New Roman"/>
        <w:kern w:val="2"/>
        <w:sz w:val="18"/>
        <w:szCs w:val="32"/>
        <w:lang w:val="en-US" w:eastAsia="zh-CN" w:bidi="ar-SA"/>
      </w:rPr>
    </w:pPr>
    <w:r>
      <w:rPr>
        <w:rFonts w:hint="default" w:ascii="Times New Roman" w:hAnsi="Times New Roman" w:eastAsia="仿宋_GB2312" w:cs="Times New Roman"/>
        <w:kern w:val="2"/>
        <w:sz w:val="18"/>
        <w:szCs w:val="32"/>
        <w:lang w:val="en-US" w:eastAsia="zh-CN" w:bidi="ar-SA"/>
      </w:rPr>
      <mc:AlternateContent>
        <mc:Choice Requires="wps">
          <w:drawing>
            <wp:anchor distT="0" distB="0" distL="0" distR="0" simplePos="0" relativeHeight="251660288" behindDoc="0" locked="0" layoutInCell="1" allowOverlap="1">
              <wp:simplePos x="0" y="0"/>
              <wp:positionH relativeFrom="margin">
                <wp:posOffset>2660650</wp:posOffset>
              </wp:positionH>
              <wp:positionV relativeFrom="paragraph">
                <wp:posOffset>25400</wp:posOffset>
              </wp:positionV>
              <wp:extent cx="641985" cy="482600"/>
              <wp:effectExtent l="0" t="0" r="0" b="0"/>
              <wp:wrapNone/>
              <wp:docPr id="71" name="文本框 63"/>
              <wp:cNvGraphicFramePr/>
              <a:graphic xmlns:a="http://schemas.openxmlformats.org/drawingml/2006/main">
                <a:graphicData uri="http://schemas.microsoft.com/office/word/2010/wordprocessingShape">
                  <wps:wsp>
                    <wps:cNvSpPr/>
                    <wps:spPr>
                      <a:xfrm>
                        <a:off x="0" y="0"/>
                        <a:ext cx="641984" cy="482600"/>
                      </a:xfrm>
                      <a:prstGeom prst="rect">
                        <a:avLst/>
                      </a:prstGeom>
                      <a:ln>
                        <a:noFill/>
                      </a:ln>
                    </wps:spPr>
                    <wps:txbx>
                      <w:txbxContent>
                        <w:p w14:paraId="5081CD5F">
                          <w:pPr>
                            <w:widowControl w:val="0"/>
                            <w:tabs>
                              <w:tab w:val="center" w:pos="4153"/>
                              <w:tab w:val="right" w:pos="8306"/>
                            </w:tabs>
                            <w:snapToGrid w:val="0"/>
                            <w:spacing w:line="600" w:lineRule="exact"/>
                            <w:ind w:firstLine="480" w:firstLineChars="200"/>
                            <w:jc w:val="center"/>
                            <w:rPr>
                              <w:rFonts w:hint="eastAsia" w:ascii="Times New Roman" w:hAnsi="Times New Roman" w:eastAsia="宋体" w:cs="Times New Roman"/>
                              <w:kern w:val="2"/>
                              <w:sz w:val="24"/>
                              <w:szCs w:val="32"/>
                              <w:lang w:val="en-US" w:eastAsia="zh-CN" w:bidi="ar-SA"/>
                            </w:rPr>
                          </w:pPr>
                          <w:r>
                            <w:rPr>
                              <w:rFonts w:hint="default" w:ascii="Times New Roman" w:hAnsi="Times New Roman" w:eastAsia="仿宋_GB2312" w:cs="Times New Roman"/>
                              <w:kern w:val="2"/>
                              <w:sz w:val="24"/>
                              <w:szCs w:val="32"/>
                              <w:lang w:val="en-US" w:eastAsia="zh-CN" w:bidi="ar-SA"/>
                            </w:rPr>
                            <w:fldChar w:fldCharType="begin"/>
                          </w:r>
                          <w:r>
                            <w:rPr>
                              <w:rFonts w:hint="default" w:ascii="Times New Roman" w:hAnsi="Times New Roman" w:eastAsia="仿宋_GB2312" w:cs="Times New Roman"/>
                              <w:kern w:val="2"/>
                              <w:sz w:val="24"/>
                              <w:szCs w:val="32"/>
                              <w:lang w:val="en-US" w:eastAsia="zh-CN" w:bidi="ar-SA"/>
                            </w:rPr>
                            <w:instrText xml:space="preserve"> PAGE  \* MERGEFORMAT </w:instrText>
                          </w:r>
                          <w:r>
                            <w:rPr>
                              <w:rFonts w:hint="default" w:ascii="Times New Roman" w:hAnsi="Times New Roman" w:eastAsia="仿宋_GB2312" w:cs="Times New Roman"/>
                              <w:kern w:val="2"/>
                              <w:sz w:val="24"/>
                              <w:szCs w:val="32"/>
                              <w:lang w:val="en-US" w:eastAsia="zh-CN" w:bidi="ar-SA"/>
                            </w:rPr>
                            <w:fldChar w:fldCharType="separate"/>
                          </w:r>
                          <w:r>
                            <w:rPr>
                              <w:rFonts w:hint="default" w:ascii="Times New Roman" w:hAnsi="Times New Roman" w:eastAsia="仿宋_GB2312" w:cs="Times New Roman"/>
                              <w:kern w:val="2"/>
                              <w:sz w:val="24"/>
                              <w:szCs w:val="32"/>
                              <w:lang w:val="en-US" w:eastAsia="zh-CN" w:bidi="ar-SA"/>
                            </w:rPr>
                            <w:t>- 2 -</w:t>
                          </w:r>
                          <w:r>
                            <w:rPr>
                              <w:rFonts w:hint="default" w:ascii="Times New Roman" w:hAnsi="Times New Roman" w:eastAsia="仿宋_GB2312" w:cs="Times New Roman"/>
                              <w:kern w:val="2"/>
                              <w:sz w:val="24"/>
                              <w:szCs w:val="32"/>
                              <w:lang w:val="en-US" w:eastAsia="zh-CN" w:bidi="ar-SA"/>
                            </w:rPr>
                            <w:fldChar w:fldCharType="end"/>
                          </w:r>
                        </w:p>
                      </w:txbxContent>
                    </wps:txbx>
                    <wps:bodyPr lIns="0" tIns="0" rIns="0" bIns="0" upright="1"/>
                  </wps:wsp>
                </a:graphicData>
              </a:graphic>
            </wp:anchor>
          </w:drawing>
        </mc:Choice>
        <mc:Fallback>
          <w:pict>
            <v:rect id="文本框 63" o:spid="_x0000_s1026" o:spt="1" style="position:absolute;left:0pt;margin-left:209.5pt;margin-top:2pt;height:38pt;width:50.55pt;mso-position-horizontal-relative:margin;z-index:251660288;mso-width-relative:page;mso-height-relative:page;" filled="f" stroked="f" coordsize="21600,21600" o:gfxdata="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TOiINgAAAAIAQAADwAAAAAAAAABACAAAAAiAAAAZHJzL2Rvd25yZXYueG1sUEsBAhQAFAAAAAgA&#10;h07iQKofZ+WzAQAAXgMAAA4AAAAAAAAAAQAgAAAAJwEAAGRycy9lMm9Eb2MueG1sUEsFBgAAAAAG&#10;AAYAWQEAAEwFAAAAAA==&#10;">
              <v:fill on="f" focussize="0,0"/>
              <v:stroke on="f"/>
              <v:imagedata o:title=""/>
              <o:lock v:ext="edit" aspectratio="f"/>
              <v:textbox inset="0mm,0mm,0mm,0mm">
                <w:txbxContent>
                  <w:p w14:paraId="5081CD5F">
                    <w:pPr>
                      <w:widowControl w:val="0"/>
                      <w:tabs>
                        <w:tab w:val="center" w:pos="4153"/>
                        <w:tab w:val="right" w:pos="8306"/>
                      </w:tabs>
                      <w:snapToGrid w:val="0"/>
                      <w:spacing w:line="600" w:lineRule="exact"/>
                      <w:ind w:firstLine="480" w:firstLineChars="200"/>
                      <w:jc w:val="center"/>
                      <w:rPr>
                        <w:rFonts w:hint="eastAsia" w:ascii="Times New Roman" w:hAnsi="Times New Roman" w:eastAsia="宋体" w:cs="Times New Roman"/>
                        <w:kern w:val="2"/>
                        <w:sz w:val="24"/>
                        <w:szCs w:val="32"/>
                        <w:lang w:val="en-US" w:eastAsia="zh-CN" w:bidi="ar-SA"/>
                      </w:rPr>
                    </w:pPr>
                    <w:r>
                      <w:rPr>
                        <w:rFonts w:hint="default" w:ascii="Times New Roman" w:hAnsi="Times New Roman" w:eastAsia="仿宋_GB2312" w:cs="Times New Roman"/>
                        <w:kern w:val="2"/>
                        <w:sz w:val="24"/>
                        <w:szCs w:val="32"/>
                        <w:lang w:val="en-US" w:eastAsia="zh-CN" w:bidi="ar-SA"/>
                      </w:rPr>
                      <w:fldChar w:fldCharType="begin"/>
                    </w:r>
                    <w:r>
                      <w:rPr>
                        <w:rFonts w:hint="default" w:ascii="Times New Roman" w:hAnsi="Times New Roman" w:eastAsia="仿宋_GB2312" w:cs="Times New Roman"/>
                        <w:kern w:val="2"/>
                        <w:sz w:val="24"/>
                        <w:szCs w:val="32"/>
                        <w:lang w:val="en-US" w:eastAsia="zh-CN" w:bidi="ar-SA"/>
                      </w:rPr>
                      <w:instrText xml:space="preserve"> PAGE  \* MERGEFORMAT </w:instrText>
                    </w:r>
                    <w:r>
                      <w:rPr>
                        <w:rFonts w:hint="default" w:ascii="Times New Roman" w:hAnsi="Times New Roman" w:eastAsia="仿宋_GB2312" w:cs="Times New Roman"/>
                        <w:kern w:val="2"/>
                        <w:sz w:val="24"/>
                        <w:szCs w:val="32"/>
                        <w:lang w:val="en-US" w:eastAsia="zh-CN" w:bidi="ar-SA"/>
                      </w:rPr>
                      <w:fldChar w:fldCharType="separate"/>
                    </w:r>
                    <w:r>
                      <w:rPr>
                        <w:rFonts w:hint="default" w:ascii="Times New Roman" w:hAnsi="Times New Roman" w:eastAsia="仿宋_GB2312" w:cs="Times New Roman"/>
                        <w:kern w:val="2"/>
                        <w:sz w:val="24"/>
                        <w:szCs w:val="32"/>
                        <w:lang w:val="en-US" w:eastAsia="zh-CN" w:bidi="ar-SA"/>
                      </w:rPr>
                      <w:t>- 2 -</w:t>
                    </w:r>
                    <w:r>
                      <w:rPr>
                        <w:rFonts w:hint="default" w:ascii="Times New Roman" w:hAnsi="Times New Roman" w:eastAsia="仿宋_GB2312" w:cs="Times New Roman"/>
                        <w:kern w:val="2"/>
                        <w:sz w:val="24"/>
                        <w:szCs w:val="32"/>
                        <w:lang w:val="en-US" w:eastAsia="zh-CN" w:bidi="ar-SA"/>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3DCEB">
    <w:pPr>
      <w:pStyle w:val="10"/>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9525</wp:posOffset>
              </wp:positionV>
              <wp:extent cx="639445" cy="308610"/>
              <wp:effectExtent l="0" t="0" r="0" b="0"/>
              <wp:wrapNone/>
              <wp:docPr id="4099" name="文本框 825"/>
              <wp:cNvGraphicFramePr/>
              <a:graphic xmlns:a="http://schemas.openxmlformats.org/drawingml/2006/main">
                <a:graphicData uri="http://schemas.microsoft.com/office/word/2010/wordprocessingShape">
                  <wps:wsp>
                    <wps:cNvSpPr/>
                    <wps:spPr>
                      <a:xfrm>
                        <a:off x="0" y="0"/>
                        <a:ext cx="639445" cy="308610"/>
                      </a:xfrm>
                      <a:prstGeom prst="rect">
                        <a:avLst/>
                      </a:prstGeom>
                      <a:ln>
                        <a:noFill/>
                      </a:ln>
                    </wps:spPr>
                    <wps:txbx>
                      <w:txbxContent>
                        <w:p w14:paraId="7DA0F326">
                          <w:pPr>
                            <w:pStyle w:val="10"/>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square" lIns="0" tIns="0" rIns="0" bIns="0" anchor="t" upright="0">
                      <a:noAutofit/>
                    </wps:bodyPr>
                  </wps:wsp>
                </a:graphicData>
              </a:graphic>
            </wp:anchor>
          </w:drawing>
        </mc:Choice>
        <mc:Fallback>
          <w:pict>
            <v:rect id="文本框 825" o:spid="_x0000_s1026" o:spt="1" style="position:absolute;left:0pt;margin-top:0.75pt;height:24.3pt;width:50.35pt;mso-position-horizontal:outside;mso-position-horizontal-relative:margin;z-index:251659264;mso-width-relative:page;mso-height-relative:page;" filled="f" stroked="f" coordsize="21600,21600" o:gfxdata="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f71On1gAAAAUBAAAPAAAAAAAA&#10;AAEAIAAAACIAAABkcnMvZG93bnJldi54bWxQSwECFAAUAAAACACHTuJAiAWjidsBAACgAwAADgAA&#10;AAAAAAABACAAAAAlAQAAZHJzL2Uyb0RvYy54bWxQSwUGAAAAAAYABgBZAQAAcgUAAAAA&#10;">
              <v:fill on="f" focussize="0,0"/>
              <v:stroke on="f"/>
              <v:imagedata o:title=""/>
              <o:lock v:ext="edit" aspectratio="f"/>
              <v:textbox inset="0mm,0mm,0mm,0mm">
                <w:txbxContent>
                  <w:p w14:paraId="7DA0F326">
                    <w:pPr>
                      <w:pStyle w:val="10"/>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suff w:val="nothing"/>
      <w:lvlText w:val="（%1）"/>
      <w:lvlJc w:val="left"/>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06E6"/>
    <w:rsid w:val="00B72B0C"/>
    <w:rsid w:val="00F460DF"/>
    <w:rsid w:val="01F17F6A"/>
    <w:rsid w:val="02651FCE"/>
    <w:rsid w:val="02AB7A0D"/>
    <w:rsid w:val="02AC29A1"/>
    <w:rsid w:val="0302043B"/>
    <w:rsid w:val="032C3621"/>
    <w:rsid w:val="03BC710C"/>
    <w:rsid w:val="045A27E7"/>
    <w:rsid w:val="04624EE1"/>
    <w:rsid w:val="04A1534E"/>
    <w:rsid w:val="05D6507F"/>
    <w:rsid w:val="078B1E1A"/>
    <w:rsid w:val="07A82563"/>
    <w:rsid w:val="080F72AB"/>
    <w:rsid w:val="082F227A"/>
    <w:rsid w:val="08E825A2"/>
    <w:rsid w:val="0B402CE7"/>
    <w:rsid w:val="0B524381"/>
    <w:rsid w:val="0BAE5899"/>
    <w:rsid w:val="0BD43751"/>
    <w:rsid w:val="0C37340F"/>
    <w:rsid w:val="0CB4579C"/>
    <w:rsid w:val="0D1747F8"/>
    <w:rsid w:val="0D3805DC"/>
    <w:rsid w:val="0E1B2CBB"/>
    <w:rsid w:val="0E87675F"/>
    <w:rsid w:val="0E973B2E"/>
    <w:rsid w:val="0EA341E1"/>
    <w:rsid w:val="0F246BC0"/>
    <w:rsid w:val="109C4452"/>
    <w:rsid w:val="10A25C79"/>
    <w:rsid w:val="10DA3816"/>
    <w:rsid w:val="111F49A7"/>
    <w:rsid w:val="115C52E1"/>
    <w:rsid w:val="11814698"/>
    <w:rsid w:val="127C2A36"/>
    <w:rsid w:val="12C3108F"/>
    <w:rsid w:val="12DB14C0"/>
    <w:rsid w:val="12EB1713"/>
    <w:rsid w:val="13AB2BC1"/>
    <w:rsid w:val="14003D22"/>
    <w:rsid w:val="14255C8F"/>
    <w:rsid w:val="146E7111"/>
    <w:rsid w:val="149F143D"/>
    <w:rsid w:val="14D81F47"/>
    <w:rsid w:val="15521300"/>
    <w:rsid w:val="157526FC"/>
    <w:rsid w:val="15895BE5"/>
    <w:rsid w:val="15AF4072"/>
    <w:rsid w:val="162E282B"/>
    <w:rsid w:val="169A5414"/>
    <w:rsid w:val="16DB4874"/>
    <w:rsid w:val="177A0879"/>
    <w:rsid w:val="18415BF4"/>
    <w:rsid w:val="193A398A"/>
    <w:rsid w:val="195A3643"/>
    <w:rsid w:val="1981161D"/>
    <w:rsid w:val="19C34F39"/>
    <w:rsid w:val="1AA55578"/>
    <w:rsid w:val="1B1B7B8F"/>
    <w:rsid w:val="1B334BA7"/>
    <w:rsid w:val="1C30040A"/>
    <w:rsid w:val="1C6739C2"/>
    <w:rsid w:val="1C673D9C"/>
    <w:rsid w:val="1CA62707"/>
    <w:rsid w:val="1CEB7A2D"/>
    <w:rsid w:val="1D762124"/>
    <w:rsid w:val="1DB14591"/>
    <w:rsid w:val="1E07002E"/>
    <w:rsid w:val="1E81486B"/>
    <w:rsid w:val="1F221DDC"/>
    <w:rsid w:val="1F657C46"/>
    <w:rsid w:val="1FB90075"/>
    <w:rsid w:val="1FCC5CFC"/>
    <w:rsid w:val="200046A6"/>
    <w:rsid w:val="20E65455"/>
    <w:rsid w:val="214E5176"/>
    <w:rsid w:val="219704BD"/>
    <w:rsid w:val="21B94E72"/>
    <w:rsid w:val="23363C18"/>
    <w:rsid w:val="23DE21C2"/>
    <w:rsid w:val="24440156"/>
    <w:rsid w:val="261F0CD5"/>
    <w:rsid w:val="272D2A4A"/>
    <w:rsid w:val="27B07BBB"/>
    <w:rsid w:val="28292963"/>
    <w:rsid w:val="284810C5"/>
    <w:rsid w:val="286E3C67"/>
    <w:rsid w:val="28795487"/>
    <w:rsid w:val="28B67D71"/>
    <w:rsid w:val="2A0A1A99"/>
    <w:rsid w:val="2A977C39"/>
    <w:rsid w:val="2AEB2097"/>
    <w:rsid w:val="2AEE2780"/>
    <w:rsid w:val="2B224403"/>
    <w:rsid w:val="2B603724"/>
    <w:rsid w:val="2C726665"/>
    <w:rsid w:val="2CE46FC9"/>
    <w:rsid w:val="2CE91A58"/>
    <w:rsid w:val="2D3663AA"/>
    <w:rsid w:val="2D9809F8"/>
    <w:rsid w:val="2E33517F"/>
    <w:rsid w:val="2E3672E7"/>
    <w:rsid w:val="2E3677F3"/>
    <w:rsid w:val="2EAD60E0"/>
    <w:rsid w:val="2F836814"/>
    <w:rsid w:val="311071F7"/>
    <w:rsid w:val="31BE7D0C"/>
    <w:rsid w:val="31CB1CD2"/>
    <w:rsid w:val="3215221D"/>
    <w:rsid w:val="32305718"/>
    <w:rsid w:val="3261116D"/>
    <w:rsid w:val="32C227F1"/>
    <w:rsid w:val="336F4E77"/>
    <w:rsid w:val="34027B99"/>
    <w:rsid w:val="34747C88"/>
    <w:rsid w:val="34757851"/>
    <w:rsid w:val="34BB196B"/>
    <w:rsid w:val="34F42E88"/>
    <w:rsid w:val="35CB7240"/>
    <w:rsid w:val="364B743F"/>
    <w:rsid w:val="377C2738"/>
    <w:rsid w:val="382175F6"/>
    <w:rsid w:val="382E744C"/>
    <w:rsid w:val="387B02C3"/>
    <w:rsid w:val="38B05F26"/>
    <w:rsid w:val="38DA68A3"/>
    <w:rsid w:val="39396B1C"/>
    <w:rsid w:val="39EB4B0F"/>
    <w:rsid w:val="39F82406"/>
    <w:rsid w:val="3A6D7B91"/>
    <w:rsid w:val="3AAB092D"/>
    <w:rsid w:val="3AE40525"/>
    <w:rsid w:val="3AEF1FF5"/>
    <w:rsid w:val="3B3517ED"/>
    <w:rsid w:val="3C7B6157"/>
    <w:rsid w:val="3CC02C3A"/>
    <w:rsid w:val="3D1508C2"/>
    <w:rsid w:val="3DB76949"/>
    <w:rsid w:val="3DC23D28"/>
    <w:rsid w:val="3E4C28C0"/>
    <w:rsid w:val="3E7F4060"/>
    <w:rsid w:val="3EC34751"/>
    <w:rsid w:val="402B4834"/>
    <w:rsid w:val="40926067"/>
    <w:rsid w:val="415B1EFC"/>
    <w:rsid w:val="41936605"/>
    <w:rsid w:val="42761CCC"/>
    <w:rsid w:val="428304C7"/>
    <w:rsid w:val="42A73A9C"/>
    <w:rsid w:val="42D22D97"/>
    <w:rsid w:val="43460781"/>
    <w:rsid w:val="43903FF8"/>
    <w:rsid w:val="43F62D14"/>
    <w:rsid w:val="44466248"/>
    <w:rsid w:val="44551C9C"/>
    <w:rsid w:val="445D14AF"/>
    <w:rsid w:val="44AC032A"/>
    <w:rsid w:val="44BE2FEA"/>
    <w:rsid w:val="45072849"/>
    <w:rsid w:val="45C8563B"/>
    <w:rsid w:val="46233700"/>
    <w:rsid w:val="46A15BF6"/>
    <w:rsid w:val="46BD24D4"/>
    <w:rsid w:val="484A2FDA"/>
    <w:rsid w:val="48631EEF"/>
    <w:rsid w:val="49406D40"/>
    <w:rsid w:val="4A3A1455"/>
    <w:rsid w:val="4B274AC9"/>
    <w:rsid w:val="4B4D6ECD"/>
    <w:rsid w:val="4C207CCE"/>
    <w:rsid w:val="4CB007A7"/>
    <w:rsid w:val="4CE965CE"/>
    <w:rsid w:val="4D107AF2"/>
    <w:rsid w:val="4D4D0503"/>
    <w:rsid w:val="4DD26263"/>
    <w:rsid w:val="4DF33AAA"/>
    <w:rsid w:val="4F8B2C56"/>
    <w:rsid w:val="4FD01E5A"/>
    <w:rsid w:val="504E5B48"/>
    <w:rsid w:val="50673B1C"/>
    <w:rsid w:val="515D6093"/>
    <w:rsid w:val="51792E1B"/>
    <w:rsid w:val="51A67135"/>
    <w:rsid w:val="51CD7439"/>
    <w:rsid w:val="52856821"/>
    <w:rsid w:val="52A34B2C"/>
    <w:rsid w:val="52A609F8"/>
    <w:rsid w:val="52B77666"/>
    <w:rsid w:val="52BB1327"/>
    <w:rsid w:val="52DA4153"/>
    <w:rsid w:val="530E17CC"/>
    <w:rsid w:val="5338166D"/>
    <w:rsid w:val="53CA1872"/>
    <w:rsid w:val="53F44819"/>
    <w:rsid w:val="544866CA"/>
    <w:rsid w:val="54CF7434"/>
    <w:rsid w:val="54EE428E"/>
    <w:rsid w:val="55BE169C"/>
    <w:rsid w:val="56764C5D"/>
    <w:rsid w:val="568E286C"/>
    <w:rsid w:val="58AA17D8"/>
    <w:rsid w:val="58F4737F"/>
    <w:rsid w:val="59035D3B"/>
    <w:rsid w:val="5A695B8B"/>
    <w:rsid w:val="5AB0369E"/>
    <w:rsid w:val="5ADC32F4"/>
    <w:rsid w:val="5CBC50DD"/>
    <w:rsid w:val="5E781763"/>
    <w:rsid w:val="5E8A5D4D"/>
    <w:rsid w:val="5F9C0294"/>
    <w:rsid w:val="60526A75"/>
    <w:rsid w:val="61003A55"/>
    <w:rsid w:val="618D719F"/>
    <w:rsid w:val="61F71EF8"/>
    <w:rsid w:val="62CC6535"/>
    <w:rsid w:val="631C6A2E"/>
    <w:rsid w:val="63220C63"/>
    <w:rsid w:val="63824E36"/>
    <w:rsid w:val="639021C4"/>
    <w:rsid w:val="63AF0536"/>
    <w:rsid w:val="63B3735C"/>
    <w:rsid w:val="642C1586"/>
    <w:rsid w:val="64726FC9"/>
    <w:rsid w:val="64B54844"/>
    <w:rsid w:val="64B64228"/>
    <w:rsid w:val="64D66723"/>
    <w:rsid w:val="652643F9"/>
    <w:rsid w:val="65DA2D2F"/>
    <w:rsid w:val="66925A93"/>
    <w:rsid w:val="66B063A7"/>
    <w:rsid w:val="66FF498A"/>
    <w:rsid w:val="67804B55"/>
    <w:rsid w:val="679B6A9E"/>
    <w:rsid w:val="68857AE2"/>
    <w:rsid w:val="68934675"/>
    <w:rsid w:val="692F7832"/>
    <w:rsid w:val="6987282F"/>
    <w:rsid w:val="6A1359F2"/>
    <w:rsid w:val="6BCF7528"/>
    <w:rsid w:val="6BE473AF"/>
    <w:rsid w:val="6BEA17F1"/>
    <w:rsid w:val="6C37285D"/>
    <w:rsid w:val="6C6A5F85"/>
    <w:rsid w:val="6CFB71C6"/>
    <w:rsid w:val="6D2B72B0"/>
    <w:rsid w:val="6D6E4C33"/>
    <w:rsid w:val="6E0A00E4"/>
    <w:rsid w:val="6E157600"/>
    <w:rsid w:val="6EA11548"/>
    <w:rsid w:val="6EE13C41"/>
    <w:rsid w:val="6F1F1285"/>
    <w:rsid w:val="6FA03DB5"/>
    <w:rsid w:val="6FCA5B4E"/>
    <w:rsid w:val="707023C8"/>
    <w:rsid w:val="708C3E4F"/>
    <w:rsid w:val="708E0C68"/>
    <w:rsid w:val="70E56D9A"/>
    <w:rsid w:val="71052854"/>
    <w:rsid w:val="71087235"/>
    <w:rsid w:val="712B426D"/>
    <w:rsid w:val="71646402"/>
    <w:rsid w:val="71F54004"/>
    <w:rsid w:val="72650256"/>
    <w:rsid w:val="72DA1793"/>
    <w:rsid w:val="740D3E93"/>
    <w:rsid w:val="74CA027E"/>
    <w:rsid w:val="766929E1"/>
    <w:rsid w:val="76751CC7"/>
    <w:rsid w:val="77490F0C"/>
    <w:rsid w:val="77BD76B3"/>
    <w:rsid w:val="77E04FFB"/>
    <w:rsid w:val="787A33DC"/>
    <w:rsid w:val="78A00DC1"/>
    <w:rsid w:val="78AF65A9"/>
    <w:rsid w:val="78D2048B"/>
    <w:rsid w:val="79A65235"/>
    <w:rsid w:val="7A9934C2"/>
    <w:rsid w:val="7B284381"/>
    <w:rsid w:val="7B3506FE"/>
    <w:rsid w:val="7BBA588C"/>
    <w:rsid w:val="7BDB65EA"/>
    <w:rsid w:val="7C0902A0"/>
    <w:rsid w:val="7C482F33"/>
    <w:rsid w:val="7C511777"/>
    <w:rsid w:val="7C7D7EE7"/>
    <w:rsid w:val="7CBB104F"/>
    <w:rsid w:val="7DA158A0"/>
    <w:rsid w:val="7E7F155F"/>
    <w:rsid w:val="7EE31167"/>
    <w:rsid w:val="7F501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26"/>
    <w:qFormat/>
    <w:uiPriority w:val="0"/>
    <w:pPr>
      <w:keepNext/>
      <w:keepLines/>
      <w:spacing w:line="500" w:lineRule="exact"/>
      <w:ind w:firstLine="964" w:firstLineChars="200"/>
      <w:outlineLvl w:val="1"/>
    </w:pPr>
    <w:rPr>
      <w:rFonts w:ascii="Arial" w:hAnsi="Arial"/>
      <w:sz w:val="28"/>
    </w:rPr>
  </w:style>
  <w:style w:type="paragraph" w:styleId="4">
    <w:name w:val="heading 3"/>
    <w:basedOn w:val="2"/>
    <w:next w:val="5"/>
    <w:qFormat/>
    <w:uiPriority w:val="0"/>
    <w:pPr>
      <w:keepNext/>
      <w:keepLines/>
      <w:spacing w:before="260" w:after="260" w:line="416" w:lineRule="auto"/>
      <w:outlineLvl w:val="2"/>
    </w:pPr>
    <w:rPr>
      <w:b/>
      <w:bCs/>
      <w:snapToGrid w:val="0"/>
      <w:kern w:val="0"/>
      <w:sz w:val="32"/>
      <w:szCs w:val="32"/>
    </w:rPr>
  </w:style>
  <w:style w:type="paragraph" w:styleId="5">
    <w:name w:val="heading 4"/>
    <w:basedOn w:val="4"/>
    <w:next w:val="1"/>
    <w:qFormat/>
    <w:uiPriority w:val="0"/>
    <w:pPr>
      <w:keepNext/>
      <w:keepLines/>
      <w:spacing w:before="0" w:beforeAutospacing="0" w:after="0" w:afterAutospacing="0" w:line="312" w:lineRule="auto"/>
      <w:outlineLvl w:val="3"/>
    </w:pPr>
    <w:rPr>
      <w:rFonts w:ascii="Arial" w:hAnsi="Arial" w:eastAsia="楷体_GB2312"/>
      <w:sz w:val="32"/>
    </w:rPr>
  </w:style>
  <w:style w:type="character" w:default="1" w:styleId="18">
    <w:name w:val="Default Paragraph Font"/>
    <w:link w:val="19"/>
    <w:qFormat/>
    <w:uiPriority w:val="1"/>
    <w:rPr>
      <w:szCs w:val="20"/>
    </w:rPr>
  </w:style>
  <w:style w:type="table" w:default="1" w:styleId="16">
    <w:name w:val="Normal Table"/>
    <w:qFormat/>
    <w:uiPriority w:val="99"/>
    <w:pPr>
      <w:keepNext w:val="0"/>
      <w:keepLines w:val="0"/>
      <w:widowControl/>
      <w:suppressLineNumbers w:val="0"/>
      <w:spacing w:before="0" w:beforeAutospacing="0" w:after="0" w:afterAutospacing="0"/>
      <w:ind w:left="0" w:right="0"/>
    </w:pPr>
    <w:rPr>
      <w:rFonts w:hint="default" w:ascii="Calibri" w:hAnsi="Calibri" w:cs="Calibri"/>
      <w:kern w:val="2"/>
      <w:sz w:val="21"/>
      <w:szCs w:val="22"/>
    </w:rPr>
    <w:tblPr>
      <w:tblCellMar>
        <w:top w:w="0" w:type="dxa"/>
        <w:left w:w="108" w:type="dxa"/>
        <w:bottom w:w="0" w:type="dxa"/>
        <w:right w:w="108" w:type="dxa"/>
      </w:tblCellMar>
    </w:tblPr>
  </w:style>
  <w:style w:type="paragraph" w:styleId="6">
    <w:name w:val="Document Map"/>
    <w:basedOn w:val="1"/>
    <w:semiHidden/>
    <w:qFormat/>
    <w:uiPriority w:val="0"/>
    <w:pPr>
      <w:widowControl w:val="0"/>
      <w:shd w:val="clear" w:color="auto" w:fill="000080"/>
      <w:adjustRightInd/>
      <w:snapToGrid/>
      <w:spacing w:after="0"/>
      <w:jc w:val="both"/>
    </w:pPr>
    <w:rPr>
      <w:rFonts w:ascii="Calibri" w:hAnsi="Calibri" w:eastAsia="宋体"/>
      <w:szCs w:val="24"/>
      <w:shd w:val="clear" w:color="auto" w:fill="000080"/>
    </w:rPr>
  </w:style>
  <w:style w:type="paragraph" w:styleId="7">
    <w:name w:val="Body Text"/>
    <w:basedOn w:val="1"/>
    <w:link w:val="31"/>
    <w:qFormat/>
    <w:uiPriority w:val="0"/>
    <w:pPr>
      <w:jc w:val="center"/>
    </w:pPr>
    <w:rPr>
      <w:sz w:val="18"/>
    </w:rPr>
  </w:style>
  <w:style w:type="paragraph" w:styleId="8">
    <w:name w:val="Body Text Indent"/>
    <w:basedOn w:val="1"/>
    <w:qFormat/>
    <w:uiPriority w:val="0"/>
    <w:pPr>
      <w:widowControl/>
      <w:spacing w:after="0" w:line="500" w:lineRule="atLeast"/>
      <w:ind w:firstLine="480" w:firstLineChars="200"/>
      <w:jc w:val="both"/>
    </w:pPr>
    <w:rPr>
      <w:rFonts w:ascii="仿宋_GB2312" w:hAnsi="宋体" w:eastAsia="仿宋_GB2312" w:cs="Times New Roman"/>
      <w:kern w:val="0"/>
      <w:sz w:val="24"/>
      <w:szCs w:val="24"/>
      <w:lang w:val="en-US" w:eastAsia="zh-CN" w:bidi="ar-SA"/>
    </w:rPr>
  </w:style>
  <w:style w:type="paragraph" w:styleId="9">
    <w:name w:val="Balloon Text"/>
    <w:basedOn w:val="1"/>
    <w:link w:val="32"/>
    <w:qFormat/>
    <w:uiPriority w:val="99"/>
    <w:rPr>
      <w:sz w:val="18"/>
      <w:szCs w:val="18"/>
    </w:rPr>
  </w:style>
  <w:style w:type="paragraph" w:styleId="10">
    <w:name w:val="footer"/>
    <w:basedOn w:val="1"/>
    <w:link w:val="28"/>
    <w:qFormat/>
    <w:uiPriority w:val="0"/>
    <w:pPr>
      <w:tabs>
        <w:tab w:val="center" w:pos="4153"/>
        <w:tab w:val="right" w:pos="8306"/>
      </w:tabs>
      <w:snapToGrid w:val="0"/>
      <w:jc w:val="left"/>
    </w:pPr>
    <w:rPr>
      <w:sz w:val="18"/>
      <w:szCs w:val="18"/>
    </w:rPr>
  </w:style>
  <w:style w:type="paragraph" w:styleId="11">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8"/>
    <w:qFormat/>
    <w:uiPriority w:val="0"/>
    <w:pPr>
      <w:widowControl/>
      <w:spacing w:before="0" w:after="120" w:line="240" w:lineRule="auto"/>
      <w:ind w:left="420" w:leftChars="200" w:right="0" w:firstLine="420" w:firstLineChars="200"/>
      <w:jc w:val="both"/>
    </w:pPr>
    <w:rPr>
      <w:rFonts w:ascii="仿宋_GB2312" w:hAnsi="宋体" w:eastAsia="仿宋_GB2312" w:cs="Times New Roman"/>
      <w:kern w:val="0"/>
      <w:sz w:val="21"/>
      <w:szCs w:val="24"/>
      <w:lang w:val="en-US" w:eastAsia="zh-CN" w:bidi="ar-SA"/>
    </w:rPr>
  </w:style>
  <w:style w:type="table" w:styleId="17">
    <w:name w:val="Table Grid"/>
    <w:basedOn w:val="16"/>
    <w:qFormat/>
    <w:uiPriority w:val="0"/>
    <w:pPr>
      <w:spacing w:after="0" w:line="240" w:lineRule="auto"/>
    </w:pPr>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Char Char Char Char"/>
    <w:basedOn w:val="6"/>
    <w:link w:val="18"/>
    <w:qFormat/>
    <w:uiPriority w:val="0"/>
    <w:pPr>
      <w:adjustRightInd w:val="0"/>
      <w:snapToGrid w:val="0"/>
      <w:spacing w:line="360" w:lineRule="auto"/>
    </w:pPr>
    <w:rPr>
      <w:szCs w:val="20"/>
    </w:rPr>
  </w:style>
  <w:style w:type="character" w:styleId="20">
    <w:name w:val="Strong"/>
    <w:basedOn w:val="18"/>
    <w:qFormat/>
    <w:uiPriority w:val="22"/>
    <w:rPr>
      <w:b/>
    </w:rPr>
  </w:style>
  <w:style w:type="character" w:styleId="21">
    <w:name w:val="page number"/>
    <w:basedOn w:val="18"/>
    <w:qFormat/>
    <w:uiPriority w:val="0"/>
  </w:style>
  <w:style w:type="character" w:styleId="22">
    <w:name w:val="FollowedHyperlink"/>
    <w:basedOn w:val="18"/>
    <w:qFormat/>
    <w:uiPriority w:val="99"/>
    <w:rPr>
      <w:color w:val="800080"/>
      <w:sz w:val="18"/>
      <w:szCs w:val="18"/>
      <w:u w:val="none"/>
    </w:rPr>
  </w:style>
  <w:style w:type="character" w:styleId="23">
    <w:name w:val="Emphasis"/>
    <w:basedOn w:val="18"/>
    <w:qFormat/>
    <w:uiPriority w:val="0"/>
    <w:rPr>
      <w:i/>
    </w:rPr>
  </w:style>
  <w:style w:type="character" w:styleId="24">
    <w:name w:val="Hyperlink"/>
    <w:basedOn w:val="18"/>
    <w:qFormat/>
    <w:uiPriority w:val="0"/>
    <w:rPr>
      <w:color w:val="0000FF"/>
      <w:u w:val="single"/>
    </w:rPr>
  </w:style>
  <w:style w:type="paragraph" w:customStyle="1" w:styleId="25">
    <w:name w:val="Default"/>
    <w:qFormat/>
    <w:uiPriority w:val="0"/>
    <w:pPr>
      <w:widowControl w:val="0"/>
      <w:autoSpaceDE w:val="0"/>
      <w:autoSpaceDN w:val="0"/>
      <w:adjustRightInd w:val="0"/>
      <w:spacing w:after="0" w:line="240" w:lineRule="auto"/>
    </w:pPr>
    <w:rPr>
      <w:rFonts w:ascii="黑体" w:hAnsi="Times New Roman" w:eastAsia="黑体" w:cs="Times New Roman"/>
      <w:sz w:val="20"/>
      <w:szCs w:val="20"/>
      <w:lang w:val="en-US" w:eastAsia="zh-CN" w:bidi="ar-SA"/>
    </w:rPr>
  </w:style>
  <w:style w:type="character" w:customStyle="1" w:styleId="26">
    <w:name w:val="标题 2 Char"/>
    <w:basedOn w:val="18"/>
    <w:link w:val="2"/>
    <w:qFormat/>
    <w:uiPriority w:val="0"/>
    <w:rPr>
      <w:rFonts w:ascii="Arial" w:hAnsi="Arial" w:eastAsia="宋体" w:cs="Times New Roman"/>
      <w:sz w:val="28"/>
      <w:szCs w:val="24"/>
    </w:rPr>
  </w:style>
  <w:style w:type="character" w:customStyle="1" w:styleId="27">
    <w:name w:val="页眉 Char"/>
    <w:basedOn w:val="18"/>
    <w:link w:val="11"/>
    <w:qFormat/>
    <w:uiPriority w:val="99"/>
    <w:rPr>
      <w:rFonts w:ascii="Times New Roman" w:hAnsi="Times New Roman" w:eastAsia="宋体" w:cs="Times New Roman"/>
      <w:sz w:val="18"/>
      <w:szCs w:val="18"/>
    </w:rPr>
  </w:style>
  <w:style w:type="character" w:customStyle="1" w:styleId="28">
    <w:name w:val="页脚 Char"/>
    <w:basedOn w:val="18"/>
    <w:link w:val="10"/>
    <w:qFormat/>
    <w:uiPriority w:val="99"/>
    <w:rPr>
      <w:rFonts w:ascii="Times New Roman" w:hAnsi="Times New Roman" w:eastAsia="宋体" w:cs="Times New Roman"/>
      <w:sz w:val="18"/>
      <w:szCs w:val="18"/>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eastAsia="宋体" w:cs="Times New Roman"/>
      <w:b/>
      <w:bCs/>
      <w:kern w:val="44"/>
      <w:sz w:val="44"/>
      <w:szCs w:val="44"/>
    </w:rPr>
  </w:style>
  <w:style w:type="character" w:customStyle="1" w:styleId="31">
    <w:name w:val="正文文本 Char"/>
    <w:basedOn w:val="18"/>
    <w:link w:val="7"/>
    <w:qFormat/>
    <w:uiPriority w:val="0"/>
    <w:rPr>
      <w:rFonts w:ascii="Times New Roman" w:hAnsi="Times New Roman" w:eastAsia="宋体" w:cs="Times New Roman"/>
      <w:sz w:val="18"/>
      <w:szCs w:val="24"/>
    </w:rPr>
  </w:style>
  <w:style w:type="character" w:customStyle="1" w:styleId="32">
    <w:name w:val="批注框文本 Char"/>
    <w:basedOn w:val="18"/>
    <w:link w:val="9"/>
    <w:qFormat/>
    <w:uiPriority w:val="99"/>
    <w:rPr>
      <w:rFonts w:ascii="Times New Roman" w:hAnsi="Times New Roman" w:eastAsia="宋体" w:cs="Times New Roman"/>
      <w:sz w:val="18"/>
      <w:szCs w:val="1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paragraph" w:customStyle="1" w:styleId="35">
    <w:name w:val="Normal (Web)_1a442215-f565-4f71-8a02-13d342c99751"/>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rPr>
  </w:style>
  <w:style w:type="paragraph" w:customStyle="1" w:styleId="36">
    <w:name w:val="Normal (Web)_49a8961a-c614-4def-a8a0-9599dec5fde8"/>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rPr>
  </w:style>
  <w:style w:type="character" w:customStyle="1" w:styleId="37">
    <w:name w:val="15"/>
    <w:basedOn w:val="18"/>
    <w:qFormat/>
    <w:uiPriority w:val="0"/>
    <w:rPr>
      <w:rFonts w:hint="default" w:ascii="Arial" w:hAnsi="Arial" w:eastAsia="黑体" w:cs="Times New Roman"/>
      <w:sz w:val="32"/>
      <w:szCs w:val="32"/>
    </w:rPr>
  </w:style>
  <w:style w:type="paragraph" w:customStyle="1" w:styleId="38">
    <w:name w:val="Normal (Web)_14713b26-1274-4062-894f-118007d06139"/>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rPr>
  </w:style>
  <w:style w:type="paragraph" w:customStyle="1" w:styleId="39">
    <w:name w:val="Normal (Web)_e937eb15-bf6f-4579-b739-b181e63d0591"/>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rPr>
  </w:style>
  <w:style w:type="paragraph" w:customStyle="1" w:styleId="40">
    <w:name w:val="&quot;Normal (Web)_12576362-599b-4d5d-a9fb-a92169b302a6&quot;"/>
    <w:basedOn w:val="1"/>
    <w:qFormat/>
    <w:uiPriority w:val="0"/>
    <w:pPr>
      <w:widowControl w:val="0"/>
      <w:spacing w:before="0" w:after="0" w:line="600" w:lineRule="atLeast"/>
      <w:ind w:left="0" w:right="0" w:firstLine="880" w:firstLineChars="200"/>
      <w:jc w:val="left"/>
    </w:pPr>
    <w:rPr>
      <w:rFonts w:ascii="Times New Roman" w:hAnsi="Times New Roman" w:eastAsia="宋体" w:cs="Times New Roman"/>
      <w:kern w:val="0"/>
      <w:sz w:val="24"/>
      <w:szCs w:val="32"/>
      <w:lang w:val="en-US" w:eastAsia="zh-CN" w:bidi="ar-SA"/>
    </w:rPr>
  </w:style>
  <w:style w:type="paragraph" w:customStyle="1" w:styleId="41">
    <w:name w:val="&quot;列举项&quot;"/>
    <w:basedOn w:val="1"/>
    <w:qFormat/>
    <w:uiPriority w:val="0"/>
    <w:pPr>
      <w:widowControl w:val="0"/>
      <w:spacing w:before="100" w:beforeAutospacing="1" w:after="100" w:afterAutospacing="1" w:line="360" w:lineRule="auto"/>
      <w:ind w:left="420" w:right="0" w:firstLine="0" w:firstLineChars="0"/>
      <w:jc w:val="both"/>
    </w:pPr>
    <w:rPr>
      <w:rFonts w:ascii="Calibri" w:hAnsi="Calibri" w:eastAsia="宋体" w:cs="Times New Roman"/>
      <w:kern w:val="2"/>
      <w:sz w:val="21"/>
      <w:szCs w:val="21"/>
      <w:lang w:val="en-US" w:eastAsia="zh-CN" w:bidi="ar-SA"/>
    </w:rPr>
  </w:style>
  <w:style w:type="paragraph" w:customStyle="1" w:styleId="42">
    <w:name w:val="&quot;Table Paragraph&quot;"/>
    <w:basedOn w:val="1"/>
    <w:qFormat/>
    <w:uiPriority w:val="0"/>
    <w:pPr>
      <w:widowControl w:val="0"/>
      <w:spacing w:after="0" w:line="600" w:lineRule="atLeast"/>
      <w:ind w:firstLine="880" w:firstLineChars="200"/>
      <w:jc w:val="both"/>
    </w:pPr>
    <w:rPr>
      <w:rFonts w:ascii="Times New Roman" w:hAnsi="Times New Roman" w:eastAsia="仿宋_GB2312" w:cs="Times New Roman"/>
      <w:kern w:val="2"/>
      <w:sz w:val="24"/>
      <w:szCs w:val="32"/>
      <w:lang w:val="en-US" w:eastAsia="zh-CN" w:bidi="ar-SA"/>
    </w:rPr>
  </w:style>
  <w:style w:type="paragraph" w:customStyle="1" w:styleId="43">
    <w:name w:val="Normal (Web)_12576362-599b-4d5d-a9fb-a92169b302a6"/>
    <w:basedOn w:val="1"/>
    <w:qFormat/>
    <w:uiPriority w:val="0"/>
    <w:pPr>
      <w:spacing w:before="0" w:beforeAutospacing="0" w:after="0" w:afterAutospacing="0"/>
      <w:ind w:left="0" w:right="0"/>
      <w:jc w:val="left"/>
    </w:pPr>
    <w:rPr>
      <w:rFonts w:ascii="Times New Roman" w:hAnsi="Times New Roman" w:eastAsia="宋体" w:cs="Times New Roman"/>
      <w:kern w:val="0"/>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31234</Words>
  <Characters>31913</Characters>
  <Paragraphs>1773</Paragraphs>
  <TotalTime>6</TotalTime>
  <ScaleCrop>false</ScaleCrop>
  <LinksUpToDate>false</LinksUpToDate>
  <CharactersWithSpaces>32162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2018-11-28T01:42:00Z</dcterms:created>
  <dc:creator>Administrator</dc:creator>
  <cp:lastModifiedBy>嗯哼</cp:lastModifiedBy>
  <dcterms:modified xsi:type="dcterms:W3CDTF">2026-01-29T00:37:16Z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732218326_cloud</vt:lpwstr>
  </property>
  <property fmtid="{D5CDD505-2E9C-101B-9397-08002B2CF9AE}" pid="4" name="KSOTemplateDocerSaveRecord">
    <vt:lpwstr>eyJoZGlkIjoiMzEwNTM5NzYwMDRjMzkwZTVkZjY2ODkwMGIxNGU0OTUiLCJ1c2VySWQiOiIzOTcyMTE4NzEifQ==</vt:lpwstr>
  </property>
  <property fmtid="{D5CDD505-2E9C-101B-9397-08002B2CF9AE}" pid="5" name="ICV">
    <vt:lpwstr>D8411AAC9DBC4D909B2CB6F00B0CF793_12</vt:lpwstr>
  </property>
</Properties>
</file>