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hint="eastAsia" w:ascii="方正小标宋简体" w:hAnsi="方正小标宋简体" w:eastAsia="方正小标宋简体" w:cs="方正小标宋简体"/>
          <w:sz w:val="52"/>
          <w:szCs w:val="52"/>
          <w:lang w:val="en-US" w:eastAsia="zh-CN"/>
        </w:rPr>
      </w:pPr>
      <w:r>
        <w:rPr>
          <w:rFonts w:hint="eastAsia" w:ascii="方正小标宋简体" w:hAnsi="方正小标宋简体" w:eastAsia="方正小标宋简体" w:cs="方正小标宋简体"/>
          <w:sz w:val="52"/>
          <w:szCs w:val="52"/>
          <w:lang w:val="en-US" w:eastAsia="zh-CN"/>
        </w:rPr>
        <w:t>2025</w:t>
      </w:r>
      <w:r>
        <w:rPr>
          <w:rFonts w:hint="eastAsia" w:ascii="方正小标宋简体" w:hAnsi="方正小标宋简体" w:eastAsia="方正小标宋简体" w:cs="方正小标宋简体"/>
          <w:sz w:val="52"/>
          <w:szCs w:val="52"/>
        </w:rPr>
        <w:t>年</w:t>
      </w:r>
      <w:r>
        <w:rPr>
          <w:rFonts w:hint="eastAsia" w:ascii="方正小标宋简体" w:hAnsi="方正小标宋简体" w:eastAsia="方正小标宋简体" w:cs="方正小标宋简体"/>
          <w:sz w:val="52"/>
          <w:szCs w:val="52"/>
          <w:lang w:eastAsia="zh-CN"/>
        </w:rPr>
        <w:t>中共白沙黎族自治县委政法委员会</w:t>
      </w:r>
      <w:r>
        <w:rPr>
          <w:rFonts w:hint="eastAsia" w:ascii="方正小标宋简体" w:hAnsi="方正小标宋简体" w:eastAsia="方正小标宋简体" w:cs="方正小标宋简体"/>
          <w:sz w:val="52"/>
          <w:szCs w:val="52"/>
        </w:rPr>
        <w:t>预算</w:t>
      </w:r>
      <w:r>
        <w:rPr>
          <w:rFonts w:hint="eastAsia" w:ascii="方正小标宋简体" w:hAnsi="方正小标宋简体" w:eastAsia="方正小标宋简体" w:cs="方正小标宋简体"/>
          <w:sz w:val="52"/>
          <w:szCs w:val="52"/>
          <w:lang w:eastAsia="zh-CN"/>
        </w:rPr>
        <w:t>公开说明</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hint="eastAsia" w:ascii="黑体" w:hAnsi="黑体" w:eastAsia="黑体"/>
          <w:sz w:val="52"/>
          <w:szCs w:val="52"/>
        </w:rPr>
        <w:sectPr>
          <w:footerReference r:id="rId3" w:type="default"/>
          <w:pgSz w:w="11906" w:h="16838"/>
          <w:pgMar w:top="1440" w:right="1080" w:bottom="1440" w:left="1080" w:header="851" w:footer="992" w:gutter="0"/>
          <w:cols w:space="720" w:num="1"/>
          <w:docGrid w:type="lines" w:linePitch="312" w:charSpace="0"/>
        </w:sectPr>
      </w:pPr>
    </w:p>
    <w:p>
      <w:pPr>
        <w:spacing w:line="578" w:lineRule="exact"/>
        <w:jc w:val="center"/>
        <w:rPr>
          <w:rFonts w:hint="eastAsia" w:ascii="黑体" w:hAnsi="黑体" w:eastAsia="黑体"/>
          <w:sz w:val="52"/>
          <w:szCs w:val="52"/>
        </w:rPr>
      </w:pPr>
    </w:p>
    <w:p>
      <w:pPr>
        <w:spacing w:line="578" w:lineRule="exact"/>
        <w:jc w:val="center"/>
        <w:rPr>
          <w:rFonts w:hint="eastAsia" w:ascii="黑体" w:hAnsi="黑体" w:eastAsia="黑体"/>
          <w:sz w:val="52"/>
          <w:szCs w:val="52"/>
        </w:rPr>
      </w:pPr>
    </w:p>
    <w:p>
      <w:pPr>
        <w:spacing w:line="578"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spacing w:line="578" w:lineRule="exact"/>
        <w:jc w:val="center"/>
        <w:rPr>
          <w:rFonts w:hint="eastAsia" w:ascii="黑体" w:hAnsi="黑体" w:eastAsia="黑体"/>
          <w:sz w:val="52"/>
          <w:szCs w:val="52"/>
        </w:rPr>
      </w:pPr>
    </w:p>
    <w:p>
      <w:pPr>
        <w:pStyle w:val="6"/>
        <w:numPr>
          <w:ilvl w:val="0"/>
          <w:numId w:val="1"/>
        </w:numPr>
        <w:spacing w:line="578" w:lineRule="exact"/>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中共白沙黎族自治县委政法委员</w:t>
      </w:r>
      <w:r>
        <w:rPr>
          <w:rFonts w:hint="eastAsia" w:ascii="黑体" w:hAnsi="黑体" w:eastAsia="黑体"/>
          <w:sz w:val="32"/>
          <w:szCs w:val="32"/>
        </w:rPr>
        <w:t>概况</w:t>
      </w:r>
    </w:p>
    <w:p>
      <w:pPr>
        <w:pStyle w:val="6"/>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6"/>
        <w:numPr>
          <w:ilvl w:val="0"/>
          <w:numId w:val="1"/>
        </w:numPr>
        <w:spacing w:line="578" w:lineRule="exact"/>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中共白沙黎族自治县委政法委员</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eastAsia="zh-CN"/>
        </w:rPr>
        <w:t>部门</w:t>
      </w:r>
      <w:r>
        <w:rPr>
          <w:rFonts w:hint="eastAsia" w:ascii="黑体" w:hAnsi="黑体" w:eastAsia="黑体"/>
          <w:sz w:val="32"/>
          <w:szCs w:val="32"/>
        </w:rPr>
        <w:t>预算表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国有资本经营预算支出表</w:t>
      </w:r>
    </w:p>
    <w:p>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部门收支总表</w:t>
      </w:r>
    </w:p>
    <w:p>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部门收入总表</w:t>
      </w:r>
    </w:p>
    <w:p>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部门支出总表</w:t>
      </w:r>
    </w:p>
    <w:p>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spacing w:line="578" w:lineRule="exact"/>
        <w:ind w:firstLineChars="0"/>
        <w:jc w:val="both"/>
        <w:rPr>
          <w:rFonts w:ascii="仿宋_GB2312" w:hAnsi="仿宋_GB2312" w:eastAsia="仿宋_GB2312" w:cs="仿宋_GB2312"/>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中共白沙黎族自治县委政法委员</w:t>
      </w:r>
      <w:r>
        <w:rPr>
          <w:rFonts w:hint="eastAsia" w:ascii="黑体" w:hAnsi="黑体" w:eastAsia="黑体"/>
          <w:sz w:val="32"/>
          <w:szCs w:val="32"/>
          <w:lang w:val="en-US" w:eastAsia="zh-CN"/>
        </w:rPr>
        <w:t>2025年</w:t>
      </w:r>
      <w:r>
        <w:rPr>
          <w:rFonts w:hint="eastAsia" w:ascii="黑体" w:hAnsi="黑体" w:eastAsia="黑体"/>
          <w:sz w:val="32"/>
          <w:szCs w:val="32"/>
          <w:lang w:eastAsia="zh-CN"/>
        </w:rPr>
        <w:t>部门</w:t>
      </w:r>
      <w:r>
        <w:rPr>
          <w:rFonts w:hint="eastAsia" w:ascii="黑体" w:hAnsi="黑体" w:eastAsia="黑体"/>
          <w:sz w:val="32"/>
          <w:szCs w:val="32"/>
        </w:rPr>
        <w:t>预算情况说明</w:t>
      </w:r>
    </w:p>
    <w:p>
      <w:pPr>
        <w:pStyle w:val="6"/>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spacing w:line="578" w:lineRule="exact"/>
        <w:jc w:val="left"/>
        <w:rPr>
          <w:rFonts w:ascii="黑体" w:hAnsi="黑体" w:eastAsia="黑体"/>
          <w:sz w:val="32"/>
          <w:szCs w:val="32"/>
        </w:rPr>
      </w:pPr>
    </w:p>
    <w:p>
      <w:pPr>
        <w:pStyle w:val="6"/>
        <w:numPr>
          <w:ilvl w:val="0"/>
          <w:numId w:val="4"/>
        </w:numPr>
        <w:spacing w:line="578" w:lineRule="exact"/>
        <w:ind w:firstLineChars="0"/>
        <w:jc w:val="center"/>
        <w:rPr>
          <w:rFonts w:ascii="仿宋_GB2312" w:hAnsi="仿宋_GB2312" w:eastAsia="仿宋_GB2312" w:cs="仿宋_GB2312"/>
          <w:sz w:val="32"/>
          <w:szCs w:val="32"/>
        </w:rPr>
        <w:sectPr>
          <w:footerReference r:id="rId4" w:type="default"/>
          <w:pgSz w:w="11906" w:h="16838"/>
          <w:pgMar w:top="1440" w:right="1800" w:bottom="1440" w:left="1800" w:header="851" w:footer="992" w:gutter="0"/>
          <w:pgNumType w:start="1"/>
          <w:cols w:space="720" w:num="1"/>
          <w:docGrid w:type="lines" w:linePitch="312" w:charSpace="0"/>
        </w:sectPr>
      </w:pPr>
    </w:p>
    <w:p>
      <w:pPr>
        <w:pStyle w:val="6"/>
        <w:numPr>
          <w:ilvl w:val="0"/>
          <w:numId w:val="4"/>
        </w:numPr>
        <w:spacing w:line="578" w:lineRule="exact"/>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中共白沙黎族自治县委政法委员</w:t>
      </w:r>
      <w:r>
        <w:rPr>
          <w:rFonts w:hint="eastAsia" w:ascii="黑体" w:hAnsi="黑体" w:eastAsia="黑体"/>
          <w:sz w:val="32"/>
          <w:szCs w:val="32"/>
        </w:rPr>
        <w:t>概况</w:t>
      </w:r>
    </w:p>
    <w:p>
      <w:pPr>
        <w:spacing w:line="578" w:lineRule="exact"/>
        <w:jc w:val="left"/>
        <w:rPr>
          <w:rFonts w:ascii="仿宋_GB2312" w:hAnsi="仿宋_GB2312" w:eastAsia="仿宋_GB2312" w:cs="仿宋_GB2312"/>
          <w:sz w:val="32"/>
          <w:szCs w:val="32"/>
        </w:rPr>
      </w:pPr>
    </w:p>
    <w:p>
      <w:pPr>
        <w:pStyle w:val="6"/>
        <w:numPr>
          <w:ilvl w:val="0"/>
          <w:numId w:val="5"/>
        </w:numPr>
        <w:spacing w:line="578" w:lineRule="exact"/>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numPr>
          <w:ilvl w:val="0"/>
          <w:numId w:val="0"/>
        </w:numPr>
        <w:spacing w:line="578"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根据党的路线方针政策和党委的部署，研究制定贯</w:t>
      </w:r>
    </w:p>
    <w:p>
      <w:pPr>
        <w:numPr>
          <w:ilvl w:val="0"/>
          <w:numId w:val="0"/>
        </w:numPr>
        <w:spacing w:line="578" w:lineRule="exact"/>
        <w:jc w:val="left"/>
        <w:rPr>
          <w:rFonts w:hint="eastAsia" w:ascii="仿宋" w:hAnsi="仿宋" w:eastAsia="仿宋" w:cs="仿宋"/>
          <w:sz w:val="32"/>
          <w:szCs w:val="32"/>
        </w:rPr>
      </w:pPr>
      <w:r>
        <w:rPr>
          <w:rFonts w:hint="eastAsia" w:ascii="仿宋" w:hAnsi="仿宋" w:eastAsia="仿宋" w:cs="仿宋"/>
          <w:sz w:val="32"/>
          <w:szCs w:val="32"/>
        </w:rPr>
        <w:t>彻落实的具体措施，统一政法各部门的思想和行动。</w:t>
      </w:r>
    </w:p>
    <w:p>
      <w:pPr>
        <w:numPr>
          <w:ilvl w:val="0"/>
          <w:numId w:val="0"/>
        </w:numPr>
        <w:spacing w:line="578"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组织、指导维护社会稳定工作，掌握和分析社会稳</w:t>
      </w:r>
    </w:p>
    <w:p>
      <w:pPr>
        <w:numPr>
          <w:ilvl w:val="0"/>
          <w:numId w:val="0"/>
        </w:numPr>
        <w:spacing w:line="578" w:lineRule="exact"/>
        <w:jc w:val="left"/>
        <w:rPr>
          <w:rFonts w:hint="eastAsia" w:ascii="仿宋" w:hAnsi="仿宋" w:eastAsia="仿宋" w:cs="仿宋"/>
          <w:sz w:val="32"/>
          <w:szCs w:val="32"/>
        </w:rPr>
      </w:pPr>
      <w:r>
        <w:rPr>
          <w:rFonts w:hint="eastAsia" w:ascii="仿宋" w:hAnsi="仿宋" w:eastAsia="仿宋" w:cs="仿宋"/>
          <w:sz w:val="32"/>
          <w:szCs w:val="32"/>
        </w:rPr>
        <w:t>定情况，协调处理群体性事件。</w:t>
      </w:r>
    </w:p>
    <w:p>
      <w:pPr>
        <w:numPr>
          <w:ilvl w:val="0"/>
          <w:numId w:val="0"/>
        </w:numPr>
        <w:spacing w:line="578"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检查政法部门公正廉洁执法的情况，结合实际，研</w:t>
      </w:r>
    </w:p>
    <w:p>
      <w:pPr>
        <w:numPr>
          <w:ilvl w:val="0"/>
          <w:numId w:val="0"/>
        </w:numPr>
        <w:spacing w:line="578" w:lineRule="exact"/>
        <w:jc w:val="left"/>
        <w:rPr>
          <w:rFonts w:hint="eastAsia" w:ascii="仿宋" w:hAnsi="仿宋" w:eastAsia="仿宋" w:cs="仿宋"/>
          <w:sz w:val="32"/>
          <w:szCs w:val="32"/>
        </w:rPr>
      </w:pPr>
      <w:r>
        <w:rPr>
          <w:rFonts w:hint="eastAsia" w:ascii="仿宋" w:hAnsi="仿宋" w:eastAsia="仿宋" w:cs="仿宋"/>
          <w:sz w:val="32"/>
          <w:szCs w:val="32"/>
        </w:rPr>
        <w:t>究制定促进公正廉洁执法的具体办法。</w:t>
      </w:r>
    </w:p>
    <w:p>
      <w:pPr>
        <w:numPr>
          <w:ilvl w:val="0"/>
          <w:numId w:val="0"/>
        </w:numPr>
        <w:spacing w:line="578"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大力支持和严格监督政法各部门依法行使职权，指</w:t>
      </w:r>
    </w:p>
    <w:p>
      <w:pPr>
        <w:numPr>
          <w:ilvl w:val="0"/>
          <w:numId w:val="0"/>
        </w:numPr>
        <w:spacing w:line="578" w:lineRule="exact"/>
        <w:jc w:val="left"/>
        <w:rPr>
          <w:rFonts w:hint="eastAsia" w:ascii="仿宋" w:hAnsi="仿宋" w:eastAsia="仿宋" w:cs="仿宋"/>
          <w:sz w:val="32"/>
          <w:szCs w:val="32"/>
        </w:rPr>
      </w:pPr>
      <w:r>
        <w:rPr>
          <w:rFonts w:hint="eastAsia" w:ascii="仿宋" w:hAnsi="仿宋" w:eastAsia="仿宋" w:cs="仿宋"/>
          <w:sz w:val="32"/>
          <w:szCs w:val="32"/>
        </w:rPr>
        <w:t>导和协调政法各部门在依法相互制约的同时密切配合，督促大案要案的查处工作。</w:t>
      </w:r>
    </w:p>
    <w:p>
      <w:pPr>
        <w:numPr>
          <w:ilvl w:val="0"/>
          <w:numId w:val="0"/>
        </w:numPr>
        <w:spacing w:line="578"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（五）</w:t>
      </w:r>
      <w:r>
        <w:rPr>
          <w:rFonts w:hint="eastAsia" w:ascii="仿宋" w:hAnsi="仿宋" w:eastAsia="仿宋" w:cs="仿宋"/>
          <w:sz w:val="32"/>
          <w:szCs w:val="32"/>
        </w:rPr>
        <w:t>组织、协调社会管理综合治理工作，推进社会管理</w:t>
      </w:r>
    </w:p>
    <w:p>
      <w:pPr>
        <w:numPr>
          <w:ilvl w:val="0"/>
          <w:numId w:val="0"/>
        </w:numPr>
        <w:spacing w:line="578" w:lineRule="exact"/>
        <w:jc w:val="left"/>
        <w:rPr>
          <w:rFonts w:hint="eastAsia" w:ascii="仿宋" w:hAnsi="仿宋" w:eastAsia="仿宋" w:cs="仿宋"/>
          <w:sz w:val="32"/>
          <w:szCs w:val="32"/>
        </w:rPr>
      </w:pPr>
      <w:r>
        <w:rPr>
          <w:rFonts w:hint="eastAsia" w:ascii="仿宋" w:hAnsi="仿宋" w:eastAsia="仿宋" w:cs="仿宋"/>
          <w:sz w:val="32"/>
          <w:szCs w:val="32"/>
        </w:rPr>
        <w:t>创新，落实平安建设措施，营造安定的社会环境。</w:t>
      </w:r>
    </w:p>
    <w:p>
      <w:pPr>
        <w:numPr>
          <w:ilvl w:val="0"/>
          <w:numId w:val="0"/>
        </w:numPr>
        <w:spacing w:line="578"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（六）</w:t>
      </w:r>
      <w:r>
        <w:rPr>
          <w:rFonts w:hint="eastAsia" w:ascii="仿宋" w:hAnsi="仿宋" w:eastAsia="仿宋" w:cs="仿宋"/>
          <w:sz w:val="32"/>
          <w:szCs w:val="32"/>
        </w:rPr>
        <w:t>组织构建大调解工作体系，排查化解矛盾隐患，指</w:t>
      </w:r>
    </w:p>
    <w:p>
      <w:pPr>
        <w:numPr>
          <w:ilvl w:val="0"/>
          <w:numId w:val="0"/>
        </w:numPr>
        <w:spacing w:line="578" w:lineRule="exact"/>
        <w:jc w:val="left"/>
        <w:rPr>
          <w:rFonts w:hint="eastAsia" w:ascii="仿宋" w:hAnsi="仿宋" w:eastAsia="仿宋" w:cs="仿宋"/>
          <w:sz w:val="32"/>
          <w:szCs w:val="32"/>
        </w:rPr>
      </w:pPr>
      <w:r>
        <w:rPr>
          <w:rFonts w:hint="eastAsia" w:ascii="仿宋" w:hAnsi="仿宋" w:eastAsia="仿宋" w:cs="仿宋"/>
          <w:sz w:val="32"/>
          <w:szCs w:val="32"/>
        </w:rPr>
        <w:t>导、协调、督促政法部门做好涉法涉诉信访工作。</w:t>
      </w:r>
    </w:p>
    <w:p>
      <w:pPr>
        <w:numPr>
          <w:ilvl w:val="0"/>
          <w:numId w:val="0"/>
        </w:numPr>
        <w:spacing w:line="578"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（七）</w:t>
      </w:r>
      <w:r>
        <w:rPr>
          <w:rFonts w:hint="eastAsia" w:ascii="仿宋" w:hAnsi="仿宋" w:eastAsia="仿宋" w:cs="仿宋"/>
          <w:sz w:val="32"/>
          <w:szCs w:val="32"/>
        </w:rPr>
        <w:t>研究加强政法队伍建设和领导班子建设的措施，协</w:t>
      </w:r>
    </w:p>
    <w:p>
      <w:pPr>
        <w:numPr>
          <w:ilvl w:val="0"/>
          <w:numId w:val="0"/>
        </w:numPr>
        <w:spacing w:line="578" w:lineRule="exact"/>
        <w:jc w:val="left"/>
        <w:rPr>
          <w:rFonts w:hint="eastAsia" w:ascii="仿宋" w:hAnsi="仿宋" w:eastAsia="仿宋" w:cs="仿宋"/>
          <w:sz w:val="32"/>
          <w:szCs w:val="32"/>
        </w:rPr>
      </w:pPr>
      <w:r>
        <w:rPr>
          <w:rFonts w:hint="eastAsia" w:ascii="仿宋" w:hAnsi="仿宋" w:eastAsia="仿宋" w:cs="仿宋"/>
          <w:sz w:val="32"/>
          <w:szCs w:val="32"/>
        </w:rPr>
        <w:t>助党委及其组织部门考察、管理政法部门的领导干部。</w:t>
      </w:r>
    </w:p>
    <w:p>
      <w:pPr>
        <w:numPr>
          <w:ilvl w:val="0"/>
          <w:numId w:val="0"/>
        </w:numPr>
        <w:spacing w:line="578"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（八）</w:t>
      </w:r>
      <w:r>
        <w:rPr>
          <w:rFonts w:hint="eastAsia" w:ascii="仿宋" w:hAnsi="仿宋" w:eastAsia="仿宋" w:cs="仿宋"/>
          <w:sz w:val="32"/>
          <w:szCs w:val="32"/>
        </w:rPr>
        <w:t>组织、推动政法部门开展党风廉政建设，协助纪检</w:t>
      </w:r>
    </w:p>
    <w:p>
      <w:pPr>
        <w:numPr>
          <w:ilvl w:val="0"/>
          <w:numId w:val="0"/>
        </w:numPr>
        <w:spacing w:line="578" w:lineRule="exact"/>
        <w:jc w:val="left"/>
        <w:rPr>
          <w:rFonts w:hint="eastAsia" w:ascii="仿宋" w:hAnsi="仿宋" w:eastAsia="仿宋" w:cs="仿宋"/>
          <w:sz w:val="32"/>
          <w:szCs w:val="32"/>
        </w:rPr>
      </w:pPr>
      <w:r>
        <w:rPr>
          <w:rFonts w:hint="eastAsia" w:ascii="仿宋" w:hAnsi="仿宋" w:eastAsia="仿宋" w:cs="仿宋"/>
          <w:sz w:val="32"/>
          <w:szCs w:val="32"/>
        </w:rPr>
        <w:t>部门查处违纪违法行为。</w:t>
      </w:r>
    </w:p>
    <w:p>
      <w:pPr>
        <w:numPr>
          <w:ilvl w:val="0"/>
          <w:numId w:val="0"/>
        </w:numPr>
        <w:spacing w:line="578"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（九）</w:t>
      </w:r>
      <w:r>
        <w:rPr>
          <w:rFonts w:hint="eastAsia" w:ascii="仿宋" w:hAnsi="仿宋" w:eastAsia="仿宋" w:cs="仿宋"/>
          <w:sz w:val="32"/>
          <w:szCs w:val="32"/>
        </w:rPr>
        <w:t>研究分析涉及政法工作的舆论情况和影响社会稳定</w:t>
      </w:r>
    </w:p>
    <w:p>
      <w:pPr>
        <w:numPr>
          <w:ilvl w:val="0"/>
          <w:numId w:val="0"/>
        </w:numPr>
        <w:spacing w:line="578" w:lineRule="exact"/>
        <w:jc w:val="left"/>
        <w:rPr>
          <w:rFonts w:hint="eastAsia" w:ascii="仿宋" w:hAnsi="仿宋" w:eastAsia="仿宋" w:cs="仿宋"/>
          <w:sz w:val="32"/>
          <w:szCs w:val="32"/>
        </w:rPr>
      </w:pPr>
      <w:r>
        <w:rPr>
          <w:rFonts w:hint="eastAsia" w:ascii="仿宋" w:hAnsi="仿宋" w:eastAsia="仿宋" w:cs="仿宋"/>
          <w:sz w:val="32"/>
          <w:szCs w:val="32"/>
        </w:rPr>
        <w:t>的舆情信息，指导、协调政法宣传和舆论引导工作。</w:t>
      </w:r>
    </w:p>
    <w:p>
      <w:pPr>
        <w:spacing w:line="578" w:lineRule="exact"/>
        <w:ind w:firstLine="640" w:firstLineChars="200"/>
        <w:jc w:val="left"/>
        <w:rPr>
          <w:rFonts w:ascii="仿宋_GB2312" w:hAnsi="黑体" w:eastAsia="仿宋_GB2312" w:cs="仿宋_GB2312"/>
          <w:sz w:val="32"/>
          <w:szCs w:val="32"/>
        </w:rPr>
      </w:pPr>
      <w:r>
        <w:rPr>
          <w:rFonts w:hint="eastAsia" w:ascii="仿宋" w:hAnsi="仿宋" w:eastAsia="仿宋" w:cs="仿宋"/>
          <w:sz w:val="32"/>
          <w:szCs w:val="32"/>
          <w:lang w:eastAsia="zh-CN"/>
        </w:rPr>
        <w:t>（十）</w:t>
      </w:r>
      <w:r>
        <w:rPr>
          <w:rFonts w:hint="eastAsia" w:ascii="仿宋" w:hAnsi="仿宋" w:eastAsia="仿宋" w:cs="仿宋"/>
          <w:sz w:val="32"/>
          <w:szCs w:val="32"/>
        </w:rPr>
        <w:t>办理党委和上级党委政法委交办的其他事项。</w:t>
      </w:r>
    </w:p>
    <w:p>
      <w:pPr>
        <w:pStyle w:val="6"/>
        <w:numPr>
          <w:ilvl w:val="0"/>
          <w:numId w:val="5"/>
        </w:numPr>
        <w:spacing w:line="578" w:lineRule="exact"/>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w:t>
      </w:r>
    </w:p>
    <w:p>
      <w:pPr>
        <w:spacing w:line="578"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纳入中共白沙黎族自治县委政法委员会部门</w:t>
      </w:r>
      <w:r>
        <w:rPr>
          <w:rFonts w:hint="eastAsia" w:ascii="仿宋" w:hAnsi="仿宋" w:eastAsia="仿宋" w:cs="仿宋"/>
          <w:sz w:val="32"/>
          <w:szCs w:val="32"/>
          <w:lang w:val="en-US" w:eastAsia="zh-CN"/>
        </w:rPr>
        <w:t>2025年</w:t>
      </w:r>
      <w:r>
        <w:rPr>
          <w:rFonts w:hint="eastAsia" w:ascii="仿宋" w:hAnsi="仿宋" w:eastAsia="仿宋" w:cs="仿宋"/>
          <w:sz w:val="32"/>
          <w:szCs w:val="32"/>
        </w:rPr>
        <w:t>部门预算编制范围的预算单位</w:t>
      </w:r>
      <w:r>
        <w:rPr>
          <w:rFonts w:hint="eastAsia" w:ascii="仿宋" w:hAnsi="仿宋" w:eastAsia="仿宋" w:cs="仿宋"/>
          <w:sz w:val="32"/>
          <w:szCs w:val="32"/>
          <w:lang w:eastAsia="zh-CN"/>
        </w:rPr>
        <w:t>共</w:t>
      </w:r>
      <w:r>
        <w:rPr>
          <w:rFonts w:hint="eastAsia" w:ascii="仿宋" w:hAnsi="仿宋" w:eastAsia="仿宋" w:cs="仿宋"/>
          <w:sz w:val="32"/>
          <w:szCs w:val="32"/>
          <w:lang w:val="en-US" w:eastAsia="zh-CN"/>
        </w:rPr>
        <w:t>2个，</w:t>
      </w:r>
      <w:r>
        <w:rPr>
          <w:rFonts w:hint="eastAsia" w:ascii="仿宋" w:hAnsi="仿宋" w:eastAsia="仿宋" w:cs="仿宋"/>
          <w:sz w:val="32"/>
          <w:szCs w:val="32"/>
        </w:rPr>
        <w:t>包括：中共白沙黎族自治县委政法委员会</w:t>
      </w:r>
      <w:r>
        <w:rPr>
          <w:rFonts w:hint="eastAsia" w:ascii="仿宋" w:hAnsi="仿宋" w:eastAsia="仿宋" w:cs="仿宋"/>
          <w:sz w:val="32"/>
          <w:szCs w:val="32"/>
          <w:lang w:eastAsia="zh-CN"/>
        </w:rPr>
        <w:t>本级，白沙黎族自治县社会综合治理服务中心（下属事业单位）。</w:t>
      </w:r>
    </w:p>
    <w:p>
      <w:pPr>
        <w:pStyle w:val="6"/>
        <w:numPr>
          <w:ilvl w:val="0"/>
          <w:numId w:val="0"/>
        </w:numPr>
        <w:spacing w:line="578"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本部门编制数为20</w:t>
      </w:r>
      <w:r>
        <w:rPr>
          <w:rFonts w:hint="eastAsia" w:ascii="仿宋" w:hAnsi="仿宋" w:eastAsia="仿宋" w:cs="仿宋"/>
          <w:sz w:val="32"/>
          <w:szCs w:val="32"/>
          <w:lang w:eastAsia="zh-CN"/>
        </w:rPr>
        <w:t>个，其中：行政编</w:t>
      </w:r>
      <w:r>
        <w:rPr>
          <w:rFonts w:hint="eastAsia" w:ascii="仿宋" w:hAnsi="仿宋" w:eastAsia="仿宋" w:cs="仿宋"/>
          <w:sz w:val="32"/>
          <w:szCs w:val="32"/>
          <w:lang w:val="en-US" w:eastAsia="zh-CN"/>
        </w:rPr>
        <w:t>8个，工勤编2个，事业编10个</w:t>
      </w:r>
      <w:r>
        <w:rPr>
          <w:rFonts w:hint="eastAsia" w:ascii="仿宋" w:hAnsi="仿宋" w:eastAsia="仿宋" w:cs="仿宋"/>
          <w:sz w:val="32"/>
          <w:szCs w:val="32"/>
          <w:lang w:eastAsia="zh-CN"/>
        </w:rPr>
        <w:t>。实有在编人数</w:t>
      </w:r>
      <w:r>
        <w:rPr>
          <w:rFonts w:hint="eastAsia" w:ascii="仿宋" w:hAnsi="仿宋" w:eastAsia="仿宋" w:cs="仿宋"/>
          <w:sz w:val="32"/>
          <w:szCs w:val="32"/>
          <w:lang w:val="en-US" w:eastAsia="zh-CN"/>
        </w:rPr>
        <w:t>17人，其中：</w:t>
      </w:r>
      <w:r>
        <w:rPr>
          <w:rFonts w:hint="eastAsia" w:ascii="仿宋" w:hAnsi="仿宋" w:eastAsia="仿宋" w:cs="仿宋"/>
          <w:sz w:val="32"/>
          <w:szCs w:val="32"/>
        </w:rPr>
        <w:t>行政编</w:t>
      </w:r>
      <w:r>
        <w:rPr>
          <w:rFonts w:hint="eastAsia" w:ascii="仿宋" w:hAnsi="仿宋" w:eastAsia="仿宋" w:cs="仿宋"/>
          <w:sz w:val="32"/>
          <w:szCs w:val="32"/>
          <w:lang w:val="en-US" w:eastAsia="zh-CN"/>
        </w:rPr>
        <w:t>7</w:t>
      </w:r>
      <w:r>
        <w:rPr>
          <w:rFonts w:hint="eastAsia" w:ascii="仿宋" w:hAnsi="仿宋" w:eastAsia="仿宋" w:cs="仿宋"/>
          <w:sz w:val="32"/>
          <w:szCs w:val="32"/>
        </w:rPr>
        <w:t>人，工勤编2人，</w:t>
      </w:r>
      <w:r>
        <w:rPr>
          <w:rFonts w:hint="eastAsia" w:ascii="仿宋" w:hAnsi="仿宋" w:eastAsia="仿宋" w:cs="仿宋"/>
          <w:sz w:val="32"/>
          <w:szCs w:val="32"/>
          <w:lang w:eastAsia="zh-CN"/>
        </w:rPr>
        <w:t>事业编</w:t>
      </w:r>
      <w:r>
        <w:rPr>
          <w:rFonts w:hint="eastAsia" w:ascii="仿宋" w:hAnsi="仿宋" w:eastAsia="仿宋" w:cs="仿宋"/>
          <w:sz w:val="32"/>
          <w:szCs w:val="32"/>
          <w:lang w:val="en-US" w:eastAsia="zh-CN"/>
        </w:rPr>
        <w:t>8人。</w:t>
      </w:r>
      <w:r>
        <w:rPr>
          <w:rFonts w:hint="eastAsia" w:ascii="仿宋" w:hAnsi="仿宋" w:eastAsia="仿宋" w:cs="仿宋"/>
          <w:sz w:val="32"/>
          <w:szCs w:val="32"/>
        </w:rPr>
        <w:t>纳入本部门财务报告范围的资金主体主要包括：一般公共预算资金。</w:t>
      </w:r>
    </w:p>
    <w:p>
      <w:pPr>
        <w:pStyle w:val="6"/>
        <w:numPr>
          <w:ilvl w:val="0"/>
          <w:numId w:val="0"/>
        </w:numPr>
        <w:spacing w:line="578"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内</w:t>
      </w:r>
      <w:r>
        <w:rPr>
          <w:rFonts w:hint="eastAsia" w:ascii="仿宋" w:hAnsi="仿宋" w:eastAsia="仿宋" w:cs="仿宋"/>
          <w:sz w:val="32"/>
          <w:szCs w:val="32"/>
        </w:rPr>
        <w:t>设办公室、综合治理室、维护稳定室3个职能机构。</w:t>
      </w:r>
    </w:p>
    <w:p>
      <w:pPr>
        <w:spacing w:line="578" w:lineRule="exact"/>
        <w:jc w:val="left"/>
        <w:rPr>
          <w:rFonts w:ascii="仿宋_GB2312" w:hAnsi="黑体" w:eastAsia="仿宋_GB2312" w:cs="仿宋_GB2312"/>
          <w:sz w:val="32"/>
          <w:szCs w:val="32"/>
        </w:rPr>
      </w:pPr>
    </w:p>
    <w:p>
      <w:pPr>
        <w:spacing w:line="578" w:lineRule="exact"/>
        <w:ind w:firstLine="0" w:firstLineChars="0"/>
        <w:jc w:val="center"/>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cs="黑体"/>
          <w:sz w:val="32"/>
          <w:szCs w:val="32"/>
        </w:rPr>
        <w:t>中共白沙黎族自治县委政法委员会部门</w:t>
      </w:r>
      <w:r>
        <w:rPr>
          <w:rFonts w:hint="eastAsia" w:ascii="黑体" w:hAnsi="黑体" w:eastAsia="黑体"/>
          <w:sz w:val="32"/>
          <w:szCs w:val="32"/>
        </w:rPr>
        <w:t>预算表</w:t>
      </w:r>
    </w:p>
    <w:p>
      <w:pPr>
        <w:spacing w:line="578" w:lineRule="exact"/>
        <w:ind w:left="800"/>
        <w:jc w:val="left"/>
        <w:rPr>
          <w:rFonts w:ascii="黑体" w:hAnsi="黑体" w:eastAsia="黑体"/>
          <w:sz w:val="32"/>
          <w:szCs w:val="32"/>
        </w:rPr>
      </w:pPr>
    </w:p>
    <w:p>
      <w:pPr>
        <w:spacing w:line="578" w:lineRule="exact"/>
        <w:rPr>
          <w:rFonts w:ascii="黑体" w:hAnsi="黑体" w:eastAsia="黑体"/>
          <w:b w:val="0"/>
          <w:bCs/>
          <w:sz w:val="32"/>
          <w:szCs w:val="32"/>
        </w:rPr>
      </w:pPr>
      <w:r>
        <w:rPr>
          <w:rFonts w:hint="eastAsia" w:ascii="仿宋" w:hAnsi="仿宋" w:eastAsia="仿宋" w:cs="仿宋"/>
          <w:b w:val="0"/>
          <w:bCs/>
          <w:sz w:val="32"/>
          <w:szCs w:val="32"/>
        </w:rPr>
        <w:t xml:space="preserve"> </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详见附件：2025年中共白沙黎族自治县委政法委员会预算公开表。</w:t>
      </w:r>
    </w:p>
    <w:p>
      <w:pPr>
        <w:numPr>
          <w:ilvl w:val="-1"/>
          <w:numId w:val="0"/>
        </w:numPr>
        <w:spacing w:line="578" w:lineRule="exact"/>
        <w:ind w:firstLine="0" w:firstLineChars="0"/>
        <w:jc w:val="center"/>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三</w:t>
      </w:r>
      <w:r>
        <w:rPr>
          <w:rFonts w:hint="eastAsia" w:ascii="黑体" w:hAnsi="黑体" w:eastAsia="黑体"/>
          <w:sz w:val="32"/>
          <w:szCs w:val="32"/>
        </w:rPr>
        <w:t xml:space="preserve">部分  </w:t>
      </w:r>
      <w:r>
        <w:rPr>
          <w:rFonts w:hint="eastAsia" w:ascii="黑体" w:hAnsi="黑体" w:eastAsia="黑体" w:cs="黑体"/>
          <w:sz w:val="32"/>
          <w:szCs w:val="32"/>
        </w:rPr>
        <w:t>中共白沙黎族自治县委政法委员会部门</w:t>
      </w:r>
    </w:p>
    <w:p>
      <w:pPr>
        <w:numPr>
          <w:ilvl w:val="-1"/>
          <w:numId w:val="0"/>
        </w:numPr>
        <w:spacing w:line="578" w:lineRule="exact"/>
        <w:ind w:firstLine="0" w:firstLineChars="0"/>
        <w:jc w:val="center"/>
        <w:rPr>
          <w:rFonts w:ascii="黑体" w:hAnsi="黑体" w:eastAsia="黑体"/>
          <w:sz w:val="32"/>
          <w:szCs w:val="32"/>
        </w:rPr>
      </w:pPr>
      <w:r>
        <w:rPr>
          <w:rFonts w:hint="eastAsia" w:ascii="黑体" w:hAnsi="黑体" w:eastAsia="黑体"/>
          <w:sz w:val="32"/>
          <w:szCs w:val="32"/>
        </w:rPr>
        <w:t>预算情况说明</w:t>
      </w:r>
    </w:p>
    <w:p>
      <w:pPr>
        <w:spacing w:line="578" w:lineRule="exact"/>
        <w:jc w:val="center"/>
        <w:rPr>
          <w:rFonts w:ascii="黑体" w:hAnsi="黑体" w:eastAsia="黑体"/>
          <w:sz w:val="32"/>
          <w:szCs w:val="32"/>
        </w:rPr>
      </w:pPr>
    </w:p>
    <w:p>
      <w:pPr>
        <w:spacing w:line="578" w:lineRule="exact"/>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cs="黑体"/>
          <w:sz w:val="32"/>
          <w:szCs w:val="32"/>
        </w:rPr>
        <w:t>中共白沙黎族自治县委政法委员会</w:t>
      </w:r>
      <w:r>
        <w:rPr>
          <w:rFonts w:hint="eastAsia" w:ascii="黑体" w:hAnsi="黑体" w:eastAsia="黑体" w:cs="黑体"/>
          <w:sz w:val="32"/>
          <w:szCs w:val="32"/>
          <w:lang w:val="en-US" w:eastAsia="zh-CN"/>
        </w:rPr>
        <w:t>2025</w:t>
      </w:r>
      <w:r>
        <w:rPr>
          <w:rFonts w:hint="eastAsia" w:ascii="黑体" w:hAnsi="黑体" w:eastAsia="黑体"/>
          <w:sz w:val="32"/>
          <w:szCs w:val="32"/>
        </w:rPr>
        <w:t>年财政拨款收支预算情况的总体说明</w:t>
      </w:r>
    </w:p>
    <w:p>
      <w:pPr>
        <w:spacing w:line="578"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中共白沙黎族自治县委政法委员会2025年财政拨款收支总预算1,013.34万元。其中，收入总计1,013.34万元，包括一般公共预算本年收入1,013.34万元、上年结转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万元，政府性基金预算本年收入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万元；支出总计1,013.34万元，包括一般公共服务支出857.51万元、社会保障和就业支出</w:t>
      </w:r>
      <w:r>
        <w:rPr>
          <w:rFonts w:hint="eastAsia" w:ascii="仿宋" w:hAnsi="仿宋" w:eastAsia="仿宋" w:cs="仿宋"/>
          <w:sz w:val="32"/>
          <w:szCs w:val="32"/>
          <w:lang w:val="en-US" w:eastAsia="zh-CN"/>
        </w:rPr>
        <w:t>84.67</w:t>
      </w:r>
      <w:r>
        <w:rPr>
          <w:rFonts w:hint="eastAsia" w:ascii="仿宋" w:hAnsi="仿宋" w:eastAsia="仿宋" w:cs="仿宋"/>
          <w:sz w:val="32"/>
          <w:szCs w:val="32"/>
        </w:rPr>
        <w:t>万元、卫生健康支出</w:t>
      </w:r>
      <w:r>
        <w:rPr>
          <w:rFonts w:hint="eastAsia" w:ascii="仿宋" w:hAnsi="仿宋" w:eastAsia="仿宋" w:cs="仿宋"/>
          <w:sz w:val="32"/>
          <w:szCs w:val="32"/>
          <w:lang w:val="en-US" w:eastAsia="zh-CN"/>
        </w:rPr>
        <w:t>42.92</w:t>
      </w:r>
      <w:r>
        <w:rPr>
          <w:rFonts w:hint="eastAsia" w:ascii="仿宋" w:hAnsi="仿宋" w:eastAsia="仿宋" w:cs="仿宋"/>
          <w:sz w:val="32"/>
          <w:szCs w:val="32"/>
        </w:rPr>
        <w:t>万元、住房保障支出</w:t>
      </w:r>
      <w:r>
        <w:rPr>
          <w:rFonts w:hint="eastAsia" w:ascii="仿宋" w:hAnsi="仿宋" w:eastAsia="仿宋" w:cs="仿宋"/>
          <w:sz w:val="32"/>
          <w:szCs w:val="32"/>
          <w:lang w:val="en-US" w:eastAsia="zh-CN"/>
        </w:rPr>
        <w:t>28.24</w:t>
      </w:r>
      <w:r>
        <w:rPr>
          <w:rFonts w:hint="eastAsia" w:ascii="仿宋" w:hAnsi="仿宋" w:eastAsia="仿宋" w:cs="仿宋"/>
          <w:sz w:val="32"/>
          <w:szCs w:val="32"/>
        </w:rPr>
        <w:t>万元。</w:t>
      </w:r>
    </w:p>
    <w:p>
      <w:pPr>
        <w:spacing w:line="578" w:lineRule="exact"/>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cs="黑体"/>
          <w:sz w:val="32"/>
          <w:szCs w:val="32"/>
        </w:rPr>
        <w:t>中共白沙黎族自治县委政法委员会</w:t>
      </w:r>
      <w:r>
        <w:rPr>
          <w:rFonts w:hint="eastAsia" w:ascii="黑体" w:hAnsi="黑体" w:eastAsia="黑体" w:cs="黑体"/>
          <w:sz w:val="32"/>
          <w:szCs w:val="32"/>
          <w:lang w:val="en-US" w:eastAsia="zh-CN"/>
        </w:rPr>
        <w:t>2025</w:t>
      </w:r>
      <w:r>
        <w:rPr>
          <w:rFonts w:hint="eastAsia" w:ascii="黑体" w:hAnsi="黑体" w:eastAsia="黑体"/>
          <w:sz w:val="32"/>
          <w:szCs w:val="32"/>
        </w:rPr>
        <w:t>年一般公共预算当年拨款情况说明</w:t>
      </w:r>
    </w:p>
    <w:p>
      <w:pPr>
        <w:spacing w:line="578" w:lineRule="exact"/>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spacing w:line="578"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中共白沙黎族自治县委政法委员会2025年一般公共预算当年拨款1,013.34万元，比上年预算数增加</w:t>
      </w:r>
      <w:r>
        <w:rPr>
          <w:rFonts w:hint="eastAsia" w:ascii="仿宋" w:hAnsi="仿宋" w:eastAsia="仿宋" w:cs="仿宋"/>
          <w:sz w:val="32"/>
          <w:szCs w:val="32"/>
          <w:lang w:val="en-US" w:eastAsia="zh-CN"/>
        </w:rPr>
        <w:t>497.25</w:t>
      </w:r>
      <w:r>
        <w:rPr>
          <w:rFonts w:hint="eastAsia" w:ascii="仿宋" w:hAnsi="仿宋" w:eastAsia="仿宋" w:cs="仿宋"/>
          <w:sz w:val="32"/>
          <w:szCs w:val="32"/>
        </w:rPr>
        <w:t>万元，主要是</w:t>
      </w:r>
      <w:r>
        <w:rPr>
          <w:rFonts w:hint="eastAsia" w:ascii="仿宋" w:hAnsi="仿宋" w:eastAsia="仿宋" w:cs="仿宋"/>
          <w:sz w:val="32"/>
          <w:szCs w:val="32"/>
          <w:lang w:eastAsia="zh-CN"/>
        </w:rPr>
        <w:t>有新项目增加。</w:t>
      </w:r>
    </w:p>
    <w:p>
      <w:pPr>
        <w:spacing w:line="578" w:lineRule="exact"/>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一般公共服务（类）支出857.51万元，占</w:t>
      </w:r>
      <w:r>
        <w:rPr>
          <w:rFonts w:hint="eastAsia" w:ascii="仿宋" w:hAnsi="仿宋" w:eastAsia="仿宋" w:cs="仿宋"/>
          <w:sz w:val="32"/>
          <w:szCs w:val="32"/>
          <w:lang w:val="en-US" w:eastAsia="zh-CN"/>
        </w:rPr>
        <w:t>84.62</w:t>
      </w:r>
      <w:r>
        <w:rPr>
          <w:rFonts w:hint="eastAsia" w:ascii="仿宋" w:hAnsi="仿宋" w:eastAsia="仿宋" w:cs="仿宋"/>
          <w:sz w:val="32"/>
          <w:szCs w:val="32"/>
        </w:rPr>
        <w:t>%；社会保障和就业</w:t>
      </w:r>
      <w:r>
        <w:rPr>
          <w:rFonts w:hint="eastAsia" w:ascii="仿宋" w:hAnsi="仿宋" w:eastAsia="仿宋" w:cs="仿宋"/>
          <w:sz w:val="32"/>
          <w:szCs w:val="32"/>
          <w:lang w:eastAsia="zh-CN"/>
        </w:rPr>
        <w:t>（类）</w:t>
      </w:r>
      <w:r>
        <w:rPr>
          <w:rFonts w:hint="eastAsia" w:ascii="仿宋" w:hAnsi="仿宋" w:eastAsia="仿宋" w:cs="仿宋"/>
          <w:sz w:val="32"/>
          <w:szCs w:val="32"/>
        </w:rPr>
        <w:t>支出</w:t>
      </w:r>
      <w:r>
        <w:rPr>
          <w:rFonts w:hint="eastAsia" w:ascii="仿宋" w:hAnsi="仿宋" w:eastAsia="仿宋" w:cs="仿宋"/>
          <w:sz w:val="32"/>
          <w:szCs w:val="32"/>
          <w:lang w:val="en-US" w:eastAsia="zh-CN"/>
        </w:rPr>
        <w:t>84.67</w:t>
      </w:r>
      <w:r>
        <w:rPr>
          <w:rFonts w:hint="eastAsia" w:ascii="仿宋" w:hAnsi="仿宋" w:eastAsia="仿宋" w:cs="仿宋"/>
          <w:sz w:val="32"/>
          <w:szCs w:val="32"/>
        </w:rPr>
        <w:t>万元，</w:t>
      </w:r>
      <w:r>
        <w:rPr>
          <w:rFonts w:hint="eastAsia" w:ascii="仿宋" w:hAnsi="仿宋" w:eastAsia="仿宋" w:cs="仿宋"/>
          <w:sz w:val="32"/>
          <w:szCs w:val="32"/>
          <w:lang w:val="en-US" w:eastAsia="zh-CN"/>
        </w:rPr>
        <w:t>8.36</w:t>
      </w:r>
      <w:r>
        <w:rPr>
          <w:rFonts w:hint="eastAsia" w:ascii="仿宋" w:hAnsi="仿宋" w:eastAsia="仿宋" w:cs="仿宋"/>
          <w:sz w:val="32"/>
          <w:szCs w:val="32"/>
        </w:rPr>
        <w:t>%；卫生健康（类）支出</w:t>
      </w:r>
      <w:r>
        <w:rPr>
          <w:rFonts w:hint="eastAsia" w:ascii="仿宋" w:hAnsi="仿宋" w:eastAsia="仿宋" w:cs="仿宋"/>
          <w:sz w:val="32"/>
          <w:szCs w:val="32"/>
          <w:lang w:val="en-US" w:eastAsia="zh-CN"/>
        </w:rPr>
        <w:t>42.92</w:t>
      </w:r>
      <w:r>
        <w:rPr>
          <w:rFonts w:hint="eastAsia" w:ascii="仿宋" w:hAnsi="仿宋" w:eastAsia="仿宋" w:cs="仿宋"/>
          <w:sz w:val="32"/>
          <w:szCs w:val="32"/>
        </w:rPr>
        <w:t>万元，占</w:t>
      </w:r>
      <w:r>
        <w:rPr>
          <w:rFonts w:hint="eastAsia" w:ascii="仿宋" w:hAnsi="仿宋" w:eastAsia="仿宋" w:cs="仿宋"/>
          <w:sz w:val="32"/>
          <w:szCs w:val="32"/>
          <w:lang w:val="en-US" w:eastAsia="zh-CN"/>
        </w:rPr>
        <w:t>4.24</w:t>
      </w:r>
      <w:r>
        <w:rPr>
          <w:rFonts w:hint="eastAsia" w:ascii="仿宋" w:hAnsi="仿宋" w:eastAsia="仿宋" w:cs="仿宋"/>
          <w:sz w:val="32"/>
          <w:szCs w:val="32"/>
        </w:rPr>
        <w:t>%；住房保障（类）支出</w:t>
      </w:r>
      <w:r>
        <w:rPr>
          <w:rFonts w:hint="eastAsia" w:ascii="仿宋" w:hAnsi="仿宋" w:eastAsia="仿宋" w:cs="仿宋"/>
          <w:sz w:val="32"/>
          <w:szCs w:val="32"/>
          <w:lang w:val="en-US" w:eastAsia="zh-CN"/>
        </w:rPr>
        <w:t>28.24</w:t>
      </w:r>
      <w:r>
        <w:rPr>
          <w:rFonts w:hint="eastAsia" w:ascii="仿宋" w:hAnsi="仿宋" w:eastAsia="仿宋" w:cs="仿宋"/>
          <w:sz w:val="32"/>
          <w:szCs w:val="32"/>
        </w:rPr>
        <w:t>万元，占</w:t>
      </w:r>
      <w:r>
        <w:rPr>
          <w:rFonts w:hint="eastAsia" w:ascii="仿宋" w:hAnsi="仿宋" w:eastAsia="仿宋" w:cs="仿宋"/>
          <w:sz w:val="32"/>
          <w:szCs w:val="32"/>
          <w:lang w:val="en-US" w:eastAsia="zh-CN"/>
        </w:rPr>
        <w:t>2.78</w:t>
      </w:r>
      <w:r>
        <w:rPr>
          <w:rFonts w:hint="eastAsia" w:ascii="仿宋" w:hAnsi="仿宋" w:eastAsia="仿宋" w:cs="仿宋"/>
          <w:sz w:val="32"/>
          <w:szCs w:val="32"/>
        </w:rPr>
        <w:t>%</w:t>
      </w:r>
      <w:r>
        <w:rPr>
          <w:rFonts w:hint="eastAsia" w:ascii="仿宋" w:hAnsi="仿宋" w:eastAsia="仿宋" w:cs="仿宋"/>
          <w:sz w:val="32"/>
          <w:szCs w:val="32"/>
          <w:lang w:eastAsia="zh-CN"/>
        </w:rPr>
        <w:t>。</w:t>
      </w:r>
    </w:p>
    <w:p>
      <w:pPr>
        <w:spacing w:line="578" w:lineRule="exact"/>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1.一般公共服务（类）人大事务（款）行政运行（项）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年预算数为290.64万元，比上年预算数增加</w:t>
      </w:r>
      <w:r>
        <w:rPr>
          <w:rFonts w:hint="eastAsia" w:ascii="仿宋" w:hAnsi="仿宋" w:eastAsia="仿宋" w:cs="仿宋"/>
          <w:sz w:val="32"/>
          <w:szCs w:val="32"/>
          <w:lang w:val="en-US" w:eastAsia="zh-CN"/>
        </w:rPr>
        <w:t>15.64</w:t>
      </w:r>
      <w:r>
        <w:rPr>
          <w:rFonts w:hint="eastAsia" w:ascii="仿宋" w:hAnsi="仿宋" w:eastAsia="仿宋" w:cs="仿宋"/>
          <w:sz w:val="32"/>
          <w:szCs w:val="32"/>
        </w:rPr>
        <w:t>万元，主要是</w:t>
      </w:r>
      <w:r>
        <w:rPr>
          <w:rFonts w:hint="eastAsia" w:ascii="仿宋_GB2312" w:hAnsi="黑体" w:eastAsia="仿宋_GB2312"/>
          <w:sz w:val="32"/>
          <w:szCs w:val="32"/>
          <w:lang w:eastAsia="zh-CN"/>
        </w:rPr>
        <w:t>人员工资增加。</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 一般公共服务（类）人大事务（款）一般行政管理事务（项）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年预算数为566.87万元，比上年预算数增加</w:t>
      </w:r>
      <w:r>
        <w:rPr>
          <w:rFonts w:hint="eastAsia" w:ascii="仿宋" w:hAnsi="仿宋" w:eastAsia="仿宋" w:cs="仿宋"/>
          <w:sz w:val="32"/>
          <w:szCs w:val="32"/>
          <w:lang w:val="en-US" w:eastAsia="zh-CN"/>
        </w:rPr>
        <w:t>480.94</w:t>
      </w:r>
      <w:r>
        <w:rPr>
          <w:rFonts w:hint="eastAsia" w:ascii="仿宋" w:hAnsi="仿宋" w:eastAsia="仿宋" w:cs="仿宋"/>
          <w:sz w:val="32"/>
          <w:szCs w:val="32"/>
        </w:rPr>
        <w:t>万元，主要是</w:t>
      </w:r>
      <w:r>
        <w:rPr>
          <w:rFonts w:hint="eastAsia" w:ascii="仿宋" w:hAnsi="仿宋" w:eastAsia="仿宋" w:cs="仿宋"/>
          <w:sz w:val="32"/>
          <w:szCs w:val="32"/>
          <w:highlight w:val="none"/>
          <w:lang w:eastAsia="zh-CN"/>
        </w:rPr>
        <w:t>项目支出增加。</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3.社会保障和就业支出202</w:t>
      </w:r>
      <w:r>
        <w:rPr>
          <w:rFonts w:hint="eastAsia" w:ascii="仿宋" w:hAnsi="仿宋" w:eastAsia="仿宋" w:cs="仿宋"/>
          <w:sz w:val="32"/>
          <w:szCs w:val="32"/>
          <w:lang w:val="en-US" w:eastAsia="zh-CN"/>
        </w:rPr>
        <w:t>5</w:t>
      </w:r>
      <w:r>
        <w:rPr>
          <w:rFonts w:hint="eastAsia" w:ascii="仿宋" w:hAnsi="仿宋" w:eastAsia="仿宋" w:cs="仿宋"/>
          <w:sz w:val="32"/>
          <w:szCs w:val="32"/>
        </w:rPr>
        <w:t>年预算数为84.67万元，比上年增加</w:t>
      </w:r>
      <w:r>
        <w:rPr>
          <w:rFonts w:hint="eastAsia" w:ascii="仿宋" w:hAnsi="仿宋" w:eastAsia="仿宋" w:cs="仿宋"/>
          <w:sz w:val="32"/>
          <w:szCs w:val="32"/>
          <w:lang w:val="en-US" w:eastAsia="zh-CN"/>
        </w:rPr>
        <w:t>0.18</w:t>
      </w:r>
      <w:r>
        <w:rPr>
          <w:rFonts w:hint="eastAsia" w:ascii="仿宋" w:hAnsi="仿宋" w:eastAsia="仿宋" w:cs="仿宋"/>
          <w:sz w:val="32"/>
          <w:szCs w:val="32"/>
        </w:rPr>
        <w:t>万，主要是</w:t>
      </w:r>
      <w:r>
        <w:rPr>
          <w:rFonts w:hint="eastAsia" w:ascii="仿宋" w:hAnsi="仿宋" w:eastAsia="仿宋" w:cs="仿宋"/>
          <w:sz w:val="32"/>
          <w:szCs w:val="32"/>
          <w:lang w:eastAsia="zh-CN"/>
        </w:rPr>
        <w:t>社保基数增加</w:t>
      </w:r>
      <w:r>
        <w:rPr>
          <w:rFonts w:hint="eastAsia" w:ascii="仿宋" w:hAnsi="仿宋" w:eastAsia="仿宋" w:cs="仿宋"/>
          <w:sz w:val="32"/>
          <w:szCs w:val="32"/>
          <w:lang w:val="en-US" w:eastAsia="zh-CN"/>
        </w:rPr>
        <w:t>，导致养老保险和职业年金预算增加</w:t>
      </w:r>
      <w:r>
        <w:rPr>
          <w:rFonts w:hint="eastAsia" w:ascii="仿宋" w:hAnsi="仿宋" w:eastAsia="仿宋" w:cs="仿宋"/>
          <w:sz w:val="32"/>
          <w:szCs w:val="32"/>
        </w:rPr>
        <w:t>。</w:t>
      </w:r>
    </w:p>
    <w:p>
      <w:pPr>
        <w:spacing w:line="578"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4.卫生健康支出202</w:t>
      </w:r>
      <w:r>
        <w:rPr>
          <w:rFonts w:hint="eastAsia" w:ascii="仿宋" w:hAnsi="仿宋" w:eastAsia="仿宋" w:cs="仿宋"/>
          <w:sz w:val="32"/>
          <w:szCs w:val="32"/>
          <w:lang w:val="en-US" w:eastAsia="zh-CN"/>
        </w:rPr>
        <w:t>5</w:t>
      </w:r>
      <w:r>
        <w:rPr>
          <w:rFonts w:hint="eastAsia" w:ascii="仿宋" w:hAnsi="仿宋" w:eastAsia="仿宋" w:cs="仿宋"/>
          <w:sz w:val="32"/>
          <w:szCs w:val="32"/>
        </w:rPr>
        <w:t>年预算数为42.92万元，比上年预算数增加</w:t>
      </w:r>
      <w:r>
        <w:rPr>
          <w:rFonts w:hint="eastAsia" w:ascii="仿宋" w:hAnsi="仿宋" w:eastAsia="仿宋" w:cs="仿宋"/>
          <w:sz w:val="32"/>
          <w:szCs w:val="32"/>
          <w:lang w:val="en-US" w:eastAsia="zh-CN"/>
        </w:rPr>
        <w:t>1.69</w:t>
      </w:r>
      <w:r>
        <w:rPr>
          <w:rFonts w:hint="eastAsia" w:ascii="仿宋" w:hAnsi="仿宋" w:eastAsia="仿宋" w:cs="仿宋"/>
          <w:sz w:val="32"/>
          <w:szCs w:val="32"/>
        </w:rPr>
        <w:t>万元，主要是</w:t>
      </w:r>
      <w:r>
        <w:rPr>
          <w:rFonts w:hint="eastAsia" w:ascii="仿宋" w:hAnsi="仿宋" w:eastAsia="仿宋" w:cs="仿宋"/>
          <w:sz w:val="32"/>
          <w:szCs w:val="32"/>
          <w:lang w:eastAsia="zh-CN"/>
        </w:rPr>
        <w:t>社保基数增加，导致公务员医疗补助预算增加。</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5.住房保障支出202</w:t>
      </w:r>
      <w:r>
        <w:rPr>
          <w:rFonts w:hint="eastAsia" w:ascii="仿宋" w:hAnsi="仿宋" w:eastAsia="仿宋" w:cs="仿宋"/>
          <w:sz w:val="32"/>
          <w:szCs w:val="32"/>
          <w:lang w:val="en-US" w:eastAsia="zh-CN"/>
        </w:rPr>
        <w:t>5</w:t>
      </w:r>
      <w:r>
        <w:rPr>
          <w:rFonts w:hint="eastAsia" w:ascii="仿宋" w:hAnsi="仿宋" w:eastAsia="仿宋" w:cs="仿宋"/>
          <w:sz w:val="32"/>
          <w:szCs w:val="32"/>
        </w:rPr>
        <w:t>年预算数为28.24万元，比上年预算数</w:t>
      </w:r>
      <w:r>
        <w:rPr>
          <w:rFonts w:hint="eastAsia" w:ascii="仿宋" w:hAnsi="仿宋" w:eastAsia="仿宋" w:cs="仿宋"/>
          <w:sz w:val="32"/>
          <w:szCs w:val="32"/>
          <w:lang w:eastAsia="zh-CN"/>
        </w:rPr>
        <w:t>下降</w:t>
      </w:r>
      <w:r>
        <w:rPr>
          <w:rFonts w:hint="eastAsia" w:ascii="仿宋" w:hAnsi="仿宋" w:eastAsia="仿宋" w:cs="仿宋"/>
          <w:sz w:val="32"/>
          <w:szCs w:val="32"/>
          <w:lang w:val="en-US" w:eastAsia="zh-CN"/>
        </w:rPr>
        <w:t>1.2</w:t>
      </w:r>
      <w:r>
        <w:rPr>
          <w:rFonts w:hint="eastAsia" w:ascii="仿宋" w:hAnsi="仿宋" w:eastAsia="仿宋" w:cs="仿宋"/>
          <w:sz w:val="32"/>
          <w:szCs w:val="32"/>
        </w:rPr>
        <w:t>万元，主要是人员</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2人，导致住房公积金预算减少</w:t>
      </w:r>
      <w:r>
        <w:rPr>
          <w:rFonts w:hint="eastAsia" w:ascii="仿宋" w:hAnsi="仿宋" w:eastAsia="仿宋" w:cs="仿宋"/>
          <w:sz w:val="32"/>
          <w:szCs w:val="32"/>
        </w:rPr>
        <w:t>。</w:t>
      </w:r>
    </w:p>
    <w:p>
      <w:pPr>
        <w:spacing w:line="578" w:lineRule="exact"/>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cs="黑体"/>
          <w:sz w:val="32"/>
          <w:szCs w:val="32"/>
        </w:rPr>
        <w:t>中共白沙黎族自治县委政法委员会</w:t>
      </w:r>
      <w:r>
        <w:rPr>
          <w:rFonts w:hint="eastAsia" w:ascii="黑体" w:hAnsi="黑体" w:eastAsia="黑体" w:cs="黑体"/>
          <w:sz w:val="32"/>
          <w:szCs w:val="32"/>
          <w:lang w:val="en-US" w:eastAsia="zh-CN"/>
        </w:rPr>
        <w:t>2025</w:t>
      </w:r>
      <w:r>
        <w:rPr>
          <w:rFonts w:hint="eastAsia" w:ascii="黑体" w:hAnsi="黑体" w:eastAsia="黑体"/>
          <w:sz w:val="32"/>
          <w:szCs w:val="32"/>
        </w:rPr>
        <w:t>年一般公共预算基本支出情况说明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中共白沙黎族自治县委政法委员会2025年一般公共预算基本支出为446.46万元，其中：</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人员经费</w:t>
      </w:r>
      <w:r>
        <w:rPr>
          <w:rFonts w:hint="eastAsia" w:ascii="仿宋" w:hAnsi="仿宋" w:eastAsia="仿宋" w:cs="仿宋"/>
          <w:sz w:val="32"/>
          <w:szCs w:val="32"/>
          <w:lang w:val="en-US" w:eastAsia="zh-CN"/>
        </w:rPr>
        <w:t>408.08</w:t>
      </w:r>
      <w:r>
        <w:rPr>
          <w:rFonts w:hint="eastAsia" w:ascii="仿宋" w:hAnsi="仿宋" w:eastAsia="仿宋" w:cs="仿宋"/>
          <w:sz w:val="32"/>
          <w:szCs w:val="32"/>
        </w:rPr>
        <w:t>万元，主要包括：基本工资、津贴补贴、奖金、绩效工资、机关事业单位基本养老保险缴费、职业年金缴费、职工基本医疗保险缴费、公务员医疗补助缴费（在职和退休）、其他社会保障缴费、住房公积金、医疗费、离休费;</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公用经费</w:t>
      </w:r>
      <w:r>
        <w:rPr>
          <w:rFonts w:hint="eastAsia" w:ascii="仿宋" w:hAnsi="仿宋" w:eastAsia="仿宋" w:cs="仿宋"/>
          <w:sz w:val="32"/>
          <w:szCs w:val="32"/>
          <w:lang w:val="en-US" w:eastAsia="zh-CN"/>
        </w:rPr>
        <w:t>38.38</w:t>
      </w:r>
      <w:r>
        <w:rPr>
          <w:rFonts w:hint="eastAsia" w:ascii="仿宋" w:hAnsi="仿宋" w:eastAsia="仿宋" w:cs="仿宋"/>
          <w:sz w:val="32"/>
          <w:szCs w:val="32"/>
        </w:rPr>
        <w:t>万元，主要包括：办公费、印刷费、邮电费、</w:t>
      </w:r>
    </w:p>
    <w:p>
      <w:pPr>
        <w:spacing w:line="578" w:lineRule="exact"/>
        <w:rPr>
          <w:rFonts w:hint="eastAsia" w:ascii="仿宋" w:hAnsi="仿宋" w:eastAsia="仿宋" w:cs="仿宋"/>
          <w:sz w:val="32"/>
          <w:szCs w:val="32"/>
        </w:rPr>
      </w:pPr>
      <w:r>
        <w:rPr>
          <w:rFonts w:hint="eastAsia" w:ascii="仿宋" w:hAnsi="仿宋" w:eastAsia="仿宋" w:cs="仿宋"/>
          <w:sz w:val="32"/>
          <w:szCs w:val="32"/>
        </w:rPr>
        <w:t>差旅费、维修（护）费、培训费、工会经费、公务用车运行维护费、其他交通费用。</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四、中共白沙黎族自治县委政法委员会</w:t>
      </w:r>
      <w:r>
        <w:rPr>
          <w:rFonts w:hint="eastAsia" w:ascii="黑体" w:hAnsi="黑体" w:eastAsia="黑体" w:cs="Times New Roman"/>
          <w:sz w:val="32"/>
          <w:shd w:val="clear" w:color="auto" w:fill="FFFFFF"/>
          <w:lang w:val="en-US" w:eastAsia="zh-CN"/>
        </w:rPr>
        <w:t>2025</w:t>
      </w:r>
      <w:r>
        <w:rPr>
          <w:rFonts w:hint="eastAsia" w:ascii="黑体" w:hAnsi="黑体" w:eastAsia="黑体" w:cs="Times New Roman"/>
          <w:sz w:val="32"/>
          <w:shd w:val="clear" w:color="auto" w:fill="FFFFFF"/>
        </w:rPr>
        <w:t>年</w:t>
      </w:r>
      <w:r>
        <w:rPr>
          <w:rFonts w:ascii="黑体" w:hAnsi="黑体" w:eastAsia="黑体" w:cs="Times New Roman"/>
          <w:sz w:val="32"/>
          <w:shd w:val="clear" w:color="auto" w:fill="FFFFFF"/>
        </w:rPr>
        <w:t>“三公”经费预算情况</w:t>
      </w:r>
      <w:r>
        <w:rPr>
          <w:rFonts w:hint="eastAsia" w:ascii="黑体" w:hAnsi="黑体" w:eastAsia="黑体" w:cs="Times New Roman"/>
          <w:sz w:val="32"/>
          <w:shd w:val="clear" w:color="auto" w:fill="FFFFFF"/>
        </w:rPr>
        <w:t>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（一）中共白沙黎族自治县委政法委员会2025年一般公共预算“三公”经费预算数为</w:t>
      </w:r>
      <w:r>
        <w:rPr>
          <w:rFonts w:hint="eastAsia" w:ascii="仿宋" w:hAnsi="仿宋" w:eastAsia="仿宋" w:cs="仿宋"/>
          <w:sz w:val="32"/>
          <w:szCs w:val="32"/>
          <w:lang w:val="en-US" w:eastAsia="zh-CN"/>
        </w:rPr>
        <w:t>2.9</w:t>
      </w:r>
      <w:r>
        <w:rPr>
          <w:rFonts w:hint="eastAsia" w:ascii="仿宋" w:hAnsi="仿宋" w:eastAsia="仿宋" w:cs="仿宋"/>
          <w:sz w:val="32"/>
          <w:szCs w:val="32"/>
        </w:rPr>
        <w:t>万元，其中：</w:t>
      </w:r>
    </w:p>
    <w:p>
      <w:pPr>
        <w:spacing w:line="578" w:lineRule="exact"/>
        <w:ind w:firstLine="630"/>
        <w:rPr>
          <w:rFonts w:hint="eastAsia" w:ascii="仿宋" w:hAnsi="仿宋" w:eastAsia="仿宋" w:cs="仿宋"/>
          <w:sz w:val="32"/>
          <w:shd w:val="clear" w:color="auto" w:fill="FFFFFF"/>
        </w:rPr>
      </w:pPr>
      <w:r>
        <w:rPr>
          <w:rFonts w:hint="eastAsia" w:ascii="仿宋" w:hAnsi="仿宋" w:eastAsia="仿宋" w:cs="仿宋"/>
          <w:sz w:val="32"/>
          <w:shd w:val="clear" w:color="auto" w:fill="FFFFFF"/>
        </w:rPr>
        <w:t>2025年没有安排因公出国（境）经费。公务用车购置及运行费</w:t>
      </w:r>
      <w:r>
        <w:rPr>
          <w:rFonts w:hint="eastAsia" w:ascii="仿宋" w:hAnsi="仿宋" w:eastAsia="仿宋" w:cs="仿宋"/>
          <w:sz w:val="32"/>
          <w:szCs w:val="32"/>
          <w:lang w:val="en-US" w:eastAsia="zh-CN"/>
        </w:rPr>
        <w:t>2.3</w:t>
      </w:r>
      <w:r>
        <w:rPr>
          <w:rFonts w:hint="eastAsia" w:ascii="仿宋" w:hAnsi="仿宋" w:eastAsia="仿宋" w:cs="仿宋"/>
          <w:sz w:val="32"/>
          <w:szCs w:val="32"/>
        </w:rPr>
        <w:t>万元（其中，</w:t>
      </w:r>
      <w:r>
        <w:rPr>
          <w:rFonts w:hint="eastAsia" w:ascii="仿宋" w:hAnsi="仿宋" w:eastAsia="仿宋" w:cs="仿宋"/>
          <w:sz w:val="32"/>
          <w:shd w:val="clear" w:color="auto" w:fill="FFFFFF"/>
        </w:rPr>
        <w:t>公务用车购置费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，公务用车运行</w:t>
      </w:r>
      <w:r>
        <w:rPr>
          <w:rFonts w:hint="eastAsia" w:ascii="仿宋" w:hAnsi="仿宋" w:eastAsia="仿宋" w:cs="仿宋"/>
          <w:sz w:val="32"/>
          <w:shd w:val="clear" w:color="auto" w:fill="FFFFFF"/>
          <w:lang w:eastAsia="zh-CN"/>
        </w:rPr>
        <w:t>维护</w:t>
      </w:r>
      <w:r>
        <w:rPr>
          <w:rFonts w:hint="eastAsia" w:ascii="仿宋" w:hAnsi="仿宋" w:eastAsia="仿宋" w:cs="仿宋"/>
          <w:sz w:val="32"/>
          <w:shd w:val="clear" w:color="auto" w:fill="FFFFFF"/>
        </w:rPr>
        <w:t>费</w:t>
      </w:r>
      <w:r>
        <w:rPr>
          <w:rFonts w:hint="eastAsia" w:ascii="仿宋" w:hAnsi="仿宋" w:eastAsia="仿宋" w:cs="仿宋"/>
          <w:sz w:val="32"/>
          <w:szCs w:val="32"/>
          <w:lang w:val="en-US" w:eastAsia="zh-CN"/>
        </w:rPr>
        <w:t>2.3</w:t>
      </w:r>
      <w:r>
        <w:rPr>
          <w:rFonts w:hint="eastAsia" w:ascii="仿宋" w:hAnsi="仿宋" w:eastAsia="仿宋" w:cs="仿宋"/>
          <w:sz w:val="32"/>
          <w:szCs w:val="32"/>
        </w:rPr>
        <w:t>万元）</w:t>
      </w:r>
      <w:r>
        <w:rPr>
          <w:rFonts w:hint="eastAsia" w:ascii="仿宋" w:hAnsi="仿宋" w:eastAsia="仿宋" w:cs="仿宋"/>
          <w:sz w:val="32"/>
          <w:shd w:val="clear" w:color="auto" w:fill="FFFFFF"/>
        </w:rPr>
        <w:t>，与上年预算持平。</w:t>
      </w:r>
      <w:r>
        <w:rPr>
          <w:rFonts w:hint="eastAsia" w:ascii="仿宋" w:hAnsi="仿宋" w:eastAsia="仿宋" w:cs="仿宋"/>
          <w:sz w:val="32"/>
          <w:szCs w:val="32"/>
        </w:rPr>
        <w:t>公务接待费</w:t>
      </w:r>
      <w:r>
        <w:rPr>
          <w:rFonts w:hint="eastAsia" w:ascii="仿宋" w:hAnsi="仿宋" w:eastAsia="仿宋" w:cs="仿宋"/>
          <w:sz w:val="32"/>
          <w:szCs w:val="32"/>
          <w:lang w:val="en-US" w:eastAsia="zh-CN"/>
        </w:rPr>
        <w:t>0.6</w:t>
      </w:r>
      <w:r>
        <w:rPr>
          <w:rFonts w:hint="eastAsia" w:ascii="仿宋" w:hAnsi="仿宋" w:eastAsia="仿宋" w:cs="仿宋"/>
          <w:sz w:val="32"/>
          <w:shd w:val="clear" w:color="auto" w:fill="FFFFFF"/>
        </w:rPr>
        <w:t>万元，与上年预算持平。2025年我单位计划接待</w:t>
      </w:r>
      <w:r>
        <w:rPr>
          <w:rFonts w:hint="eastAsia" w:ascii="仿宋" w:hAnsi="仿宋" w:eastAsia="仿宋" w:cs="仿宋"/>
          <w:sz w:val="32"/>
          <w:shd w:val="clear" w:color="auto" w:fill="FFFFFF"/>
          <w:lang w:val="en-US" w:eastAsia="zh-CN"/>
        </w:rPr>
        <w:t>4</w:t>
      </w:r>
      <w:r>
        <w:rPr>
          <w:rFonts w:hint="eastAsia" w:ascii="仿宋" w:hAnsi="仿宋" w:eastAsia="仿宋" w:cs="仿宋"/>
          <w:sz w:val="32"/>
          <w:shd w:val="clear" w:color="auto" w:fill="FFFFFF"/>
        </w:rPr>
        <w:t>批</w:t>
      </w:r>
      <w:r>
        <w:rPr>
          <w:rFonts w:hint="eastAsia" w:ascii="仿宋" w:hAnsi="仿宋" w:eastAsia="仿宋" w:cs="仿宋"/>
          <w:sz w:val="32"/>
          <w:shd w:val="clear" w:color="auto" w:fill="FFFFFF"/>
          <w:lang w:eastAsia="zh-CN"/>
        </w:rPr>
        <w:t>次</w:t>
      </w:r>
      <w:r>
        <w:rPr>
          <w:rFonts w:hint="eastAsia" w:ascii="仿宋" w:hAnsi="仿宋" w:eastAsia="仿宋" w:cs="仿宋"/>
          <w:sz w:val="32"/>
          <w:shd w:val="clear" w:color="auto" w:fill="FFFFFF"/>
          <w:lang w:val="en-US" w:eastAsia="zh-CN"/>
        </w:rPr>
        <w:t>16</w:t>
      </w:r>
      <w:r>
        <w:rPr>
          <w:rFonts w:hint="eastAsia" w:ascii="仿宋" w:hAnsi="仿宋" w:eastAsia="仿宋" w:cs="仿宋"/>
          <w:sz w:val="32"/>
          <w:shd w:val="clear" w:color="auto" w:fill="FFFFFF"/>
        </w:rPr>
        <w:t>人。</w:t>
      </w:r>
    </w:p>
    <w:p>
      <w:pPr>
        <w:spacing w:line="578" w:lineRule="exact"/>
        <w:ind w:firstLine="640" w:firstLineChars="200"/>
        <w:rPr>
          <w:rFonts w:hint="eastAsia" w:ascii="仿宋" w:hAnsi="仿宋" w:eastAsia="仿宋" w:cs="仿宋"/>
          <w:sz w:val="32"/>
          <w:shd w:val="clear" w:color="auto" w:fill="FFFFFF"/>
          <w:lang w:val="en-US" w:eastAsia="zh-CN"/>
        </w:rPr>
      </w:pPr>
      <w:r>
        <w:rPr>
          <w:rFonts w:hint="eastAsia" w:ascii="仿宋" w:hAnsi="仿宋" w:eastAsia="仿宋" w:cs="仿宋"/>
          <w:sz w:val="32"/>
          <w:szCs w:val="32"/>
        </w:rPr>
        <w:t>（二）中共白沙黎族自治县委政法委员会2025年政府性基金预算“三公”经费预算数为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五、关于中共白沙黎族自治县委政法委员会2025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spacing w:line="578" w:lineRule="exact"/>
        <w:ind w:firstLine="640"/>
        <w:jc w:val="left"/>
        <w:rPr>
          <w:rFonts w:hint="eastAsia" w:ascii="仿宋" w:hAnsi="仿宋" w:eastAsia="仿宋" w:cs="仿宋"/>
          <w:sz w:val="32"/>
          <w:szCs w:val="32"/>
        </w:rPr>
      </w:pPr>
      <w:r>
        <w:rPr>
          <w:rFonts w:hint="eastAsia" w:ascii="仿宋" w:hAnsi="仿宋" w:eastAsia="仿宋" w:cs="仿宋"/>
          <w:sz w:val="32"/>
          <w:szCs w:val="32"/>
        </w:rPr>
        <w:t>本单位202</w:t>
      </w:r>
      <w:r>
        <w:rPr>
          <w:rFonts w:hint="eastAsia" w:ascii="仿宋" w:hAnsi="仿宋" w:eastAsia="仿宋" w:cs="仿宋"/>
          <w:sz w:val="32"/>
          <w:szCs w:val="32"/>
          <w:lang w:val="en-US" w:eastAsia="zh-CN"/>
        </w:rPr>
        <w:t>5</w:t>
      </w:r>
      <w:r>
        <w:rPr>
          <w:rFonts w:hint="eastAsia" w:ascii="仿宋" w:hAnsi="仿宋" w:eastAsia="仿宋" w:cs="仿宋"/>
          <w:sz w:val="32"/>
          <w:szCs w:val="32"/>
        </w:rPr>
        <w:t>年无政府性基金预算。</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六、关于中共白沙黎族自治县委政法委员会2025年收支预算情况的总体说明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按照综合预算原则，中共白沙黎族自治县委政法委员会所有收入和支出均纳入部门预算管理。收入包括：一般公共预算收入；支出包括：一般公共服务支出、社会保障和就业支出、卫生健康支出、住房保障支出。中共白沙黎族自治县委政法委员会</w:t>
      </w:r>
      <w:r>
        <w:rPr>
          <w:rFonts w:hint="eastAsia" w:ascii="仿宋" w:hAnsi="仿宋" w:eastAsia="仿宋" w:cs="仿宋"/>
          <w:sz w:val="32"/>
          <w:szCs w:val="32"/>
          <w:lang w:val="en-US" w:eastAsia="zh-CN"/>
        </w:rPr>
        <w:t>2025</w:t>
      </w:r>
      <w:r>
        <w:rPr>
          <w:rFonts w:hint="eastAsia" w:ascii="仿宋" w:hAnsi="仿宋" w:eastAsia="仿宋" w:cs="仿宋"/>
          <w:sz w:val="32"/>
          <w:szCs w:val="32"/>
        </w:rPr>
        <w:t>年收支总预算1,013.34万元。</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七、关于中共白沙黎族自治县委政法委员会2025年收入预算情况说明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中共白沙黎族自治县委政法委员会2025年收入预算1,013.34万元，其中：上年结转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%；经费拨款收入1,013.34万元，占</w:t>
      </w:r>
      <w:r>
        <w:rPr>
          <w:rFonts w:hint="eastAsia" w:ascii="仿宋" w:hAnsi="仿宋" w:eastAsia="仿宋" w:cs="仿宋"/>
          <w:sz w:val="32"/>
          <w:szCs w:val="32"/>
          <w:lang w:val="en-US" w:eastAsia="zh-CN"/>
        </w:rPr>
        <w:t>100</w:t>
      </w:r>
      <w:r>
        <w:rPr>
          <w:rFonts w:hint="eastAsia" w:ascii="仿宋" w:hAnsi="仿宋" w:eastAsia="仿宋" w:cs="仿宋"/>
          <w:sz w:val="32"/>
          <w:szCs w:val="32"/>
        </w:rPr>
        <w:t>%；政府性基金收入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%；专项收入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%。比上年预算数增加497.25万元，主要是</w:t>
      </w:r>
      <w:r>
        <w:rPr>
          <w:rFonts w:hint="eastAsia" w:ascii="仿宋" w:hAnsi="仿宋" w:eastAsia="仿宋" w:cs="仿宋"/>
          <w:sz w:val="32"/>
          <w:szCs w:val="32"/>
          <w:lang w:eastAsia="zh-CN"/>
        </w:rPr>
        <w:t>有新项目增加，导致预算增加</w:t>
      </w:r>
      <w:r>
        <w:rPr>
          <w:rFonts w:hint="eastAsia" w:ascii="仿宋" w:hAnsi="仿宋" w:eastAsia="仿宋" w:cs="仿宋"/>
          <w:sz w:val="32"/>
          <w:szCs w:val="32"/>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八、关于中共白沙黎族自治县委政法委员会2025年支出预算情况说明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中共白沙黎族自治县委政法委员会2025年支出预算</w:t>
      </w:r>
      <w:r>
        <w:rPr>
          <w:rFonts w:hint="eastAsia" w:ascii="仿宋" w:hAnsi="仿宋" w:eastAsia="仿宋" w:cs="仿宋"/>
          <w:sz w:val="32"/>
          <w:szCs w:val="32"/>
          <w:lang w:val="en-US" w:eastAsia="zh-CN"/>
        </w:rPr>
        <w:t>1,013.34</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446.46</w:t>
      </w:r>
      <w:r>
        <w:rPr>
          <w:rFonts w:hint="eastAsia" w:ascii="仿宋" w:hAnsi="仿宋" w:eastAsia="仿宋" w:cs="仿宋"/>
          <w:sz w:val="32"/>
          <w:szCs w:val="32"/>
        </w:rPr>
        <w:t>万元，占</w:t>
      </w:r>
      <w:r>
        <w:rPr>
          <w:rFonts w:hint="eastAsia" w:ascii="仿宋" w:hAnsi="仿宋" w:eastAsia="仿宋" w:cs="仿宋"/>
          <w:sz w:val="32"/>
          <w:szCs w:val="32"/>
          <w:lang w:val="en-US" w:eastAsia="zh-CN"/>
        </w:rPr>
        <w:t>44.06</w:t>
      </w:r>
      <w:r>
        <w:rPr>
          <w:rFonts w:hint="eastAsia" w:ascii="仿宋" w:hAnsi="仿宋" w:eastAsia="仿宋" w:cs="仿宋"/>
          <w:sz w:val="32"/>
          <w:szCs w:val="32"/>
        </w:rPr>
        <w:t>%；项目支出566.87万元，占</w:t>
      </w:r>
      <w:r>
        <w:rPr>
          <w:rFonts w:hint="eastAsia" w:ascii="仿宋" w:hAnsi="仿宋" w:eastAsia="仿宋" w:cs="仿宋"/>
          <w:sz w:val="32"/>
          <w:szCs w:val="32"/>
          <w:lang w:val="en-US" w:eastAsia="zh-CN"/>
        </w:rPr>
        <w:t>55.94</w:t>
      </w:r>
      <w:r>
        <w:rPr>
          <w:rFonts w:hint="eastAsia" w:ascii="仿宋" w:hAnsi="仿宋" w:eastAsia="仿宋" w:cs="仿宋"/>
          <w:sz w:val="32"/>
          <w:szCs w:val="32"/>
        </w:rPr>
        <w:t>%。比上年预算数增加497.25万元，主要是有新项目增加，导致预算增加。</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（一）机关运行经费</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2025</w:t>
      </w:r>
      <w:r>
        <w:rPr>
          <w:rFonts w:hint="eastAsia" w:ascii="仿宋" w:hAnsi="仿宋" w:eastAsia="仿宋" w:cs="仿宋"/>
          <w:sz w:val="32"/>
          <w:szCs w:val="32"/>
        </w:rPr>
        <w:t>年中共白沙黎族自治县委政法委员会机关运行经费预算</w:t>
      </w:r>
      <w:r>
        <w:rPr>
          <w:rFonts w:hint="eastAsia" w:ascii="仿宋" w:hAnsi="仿宋" w:eastAsia="仿宋" w:cs="仿宋"/>
          <w:sz w:val="32"/>
          <w:szCs w:val="32"/>
          <w:lang w:val="en-US" w:eastAsia="zh-CN"/>
        </w:rPr>
        <w:t>38.38</w:t>
      </w:r>
      <w:r>
        <w:rPr>
          <w:rFonts w:hint="eastAsia" w:ascii="仿宋" w:hAnsi="仿宋" w:eastAsia="仿宋" w:cs="仿宋"/>
          <w:sz w:val="32"/>
          <w:szCs w:val="32"/>
        </w:rPr>
        <w:t>万元。</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（二）政府采购情况</w:t>
      </w:r>
    </w:p>
    <w:p>
      <w:pPr>
        <w:spacing w:line="578" w:lineRule="exact"/>
        <w:ind w:firstLine="640"/>
        <w:rPr>
          <w:rFonts w:hint="eastAsia" w:ascii="仿宋" w:hAnsi="仿宋" w:eastAsia="仿宋" w:cs="仿宋"/>
          <w:sz w:val="32"/>
          <w:szCs w:val="32"/>
        </w:rPr>
      </w:pPr>
      <w:r>
        <w:rPr>
          <w:rFonts w:hint="eastAsia" w:ascii="仿宋" w:hAnsi="仿宋" w:eastAsia="仿宋" w:cs="仿宋"/>
          <w:sz w:val="32"/>
          <w:szCs w:val="32"/>
          <w:lang w:val="en-US" w:eastAsia="zh-CN"/>
        </w:rPr>
        <w:t>2025</w:t>
      </w:r>
      <w:r>
        <w:rPr>
          <w:rFonts w:hint="eastAsia" w:ascii="仿宋" w:hAnsi="仿宋" w:eastAsia="仿宋" w:cs="仿宋"/>
          <w:sz w:val="32"/>
          <w:szCs w:val="32"/>
        </w:rPr>
        <w:t>年中共白沙黎族自治县委政法委员会政府采购预算总额</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截至</w:t>
      </w:r>
      <w:r>
        <w:rPr>
          <w:rFonts w:hint="eastAsia" w:ascii="仿宋" w:hAnsi="仿宋" w:eastAsia="仿宋" w:cs="仿宋"/>
          <w:sz w:val="32"/>
          <w:szCs w:val="32"/>
          <w:lang w:val="en-US" w:eastAsia="zh-CN"/>
        </w:rPr>
        <w:t>2024</w:t>
      </w:r>
      <w:r>
        <w:rPr>
          <w:rFonts w:hint="eastAsia" w:ascii="仿宋" w:hAnsi="仿宋" w:eastAsia="仿宋" w:cs="仿宋"/>
          <w:sz w:val="32"/>
          <w:szCs w:val="32"/>
        </w:rPr>
        <w:t>年12月31日，中共白沙黎族自治县委政法委员会本级及下属各预算单位共有车辆</w:t>
      </w:r>
      <w:r>
        <w:rPr>
          <w:rFonts w:hint="eastAsia" w:ascii="仿宋" w:hAnsi="仿宋" w:eastAsia="仿宋" w:cs="仿宋"/>
          <w:sz w:val="32"/>
          <w:szCs w:val="32"/>
          <w:lang w:val="en-US" w:eastAsia="zh-CN"/>
        </w:rPr>
        <w:t>1</w:t>
      </w:r>
      <w:r>
        <w:rPr>
          <w:rFonts w:hint="eastAsia" w:ascii="仿宋" w:hAnsi="仿宋" w:eastAsia="仿宋" w:cs="仿宋"/>
          <w:sz w:val="32"/>
          <w:szCs w:val="32"/>
        </w:rPr>
        <w:t>辆，其中，领导干部用车</w:t>
      </w:r>
      <w:r>
        <w:rPr>
          <w:rFonts w:hint="eastAsia" w:ascii="仿宋" w:hAnsi="仿宋" w:eastAsia="仿宋" w:cs="仿宋"/>
          <w:sz w:val="32"/>
          <w:szCs w:val="32"/>
          <w:lang w:val="en-US" w:eastAsia="zh-CN"/>
        </w:rPr>
        <w:t>0</w:t>
      </w:r>
      <w:r>
        <w:rPr>
          <w:rFonts w:hint="eastAsia" w:ascii="仿宋" w:hAnsi="仿宋" w:eastAsia="仿宋" w:cs="仿宋"/>
          <w:sz w:val="32"/>
          <w:szCs w:val="32"/>
        </w:rPr>
        <w:t>辆，机要通信应急用车</w:t>
      </w:r>
      <w:r>
        <w:rPr>
          <w:rFonts w:hint="eastAsia" w:ascii="仿宋" w:hAnsi="仿宋" w:eastAsia="仿宋" w:cs="仿宋"/>
          <w:sz w:val="32"/>
          <w:szCs w:val="32"/>
          <w:lang w:val="en-US" w:eastAsia="zh-CN"/>
        </w:rPr>
        <w:t>1</w:t>
      </w:r>
      <w:r>
        <w:rPr>
          <w:rFonts w:hint="eastAsia" w:ascii="仿宋" w:hAnsi="仿宋" w:eastAsia="仿宋" w:cs="仿宋"/>
          <w:sz w:val="32"/>
          <w:szCs w:val="32"/>
        </w:rPr>
        <w:t>辆、一般执法执勤用车</w:t>
      </w:r>
      <w:r>
        <w:rPr>
          <w:rFonts w:hint="eastAsia" w:ascii="仿宋" w:hAnsi="仿宋" w:eastAsia="仿宋" w:cs="仿宋"/>
          <w:sz w:val="32"/>
          <w:szCs w:val="32"/>
          <w:lang w:val="en-US" w:eastAsia="zh-CN"/>
        </w:rPr>
        <w:t>0</w:t>
      </w:r>
      <w:r>
        <w:rPr>
          <w:rFonts w:hint="eastAsia" w:ascii="仿宋" w:hAnsi="仿宋" w:eastAsia="仿宋" w:cs="仿宋"/>
          <w:sz w:val="32"/>
          <w:szCs w:val="32"/>
        </w:rPr>
        <w:t>辆、特种专业技术用车</w:t>
      </w:r>
      <w:r>
        <w:rPr>
          <w:rFonts w:hint="eastAsia" w:ascii="仿宋" w:hAnsi="仿宋" w:eastAsia="仿宋" w:cs="仿宋"/>
          <w:sz w:val="32"/>
          <w:szCs w:val="32"/>
          <w:lang w:val="en-US" w:eastAsia="zh-CN"/>
        </w:rPr>
        <w:t>0</w:t>
      </w:r>
      <w:r>
        <w:rPr>
          <w:rFonts w:hint="eastAsia" w:ascii="仿宋" w:hAnsi="仿宋" w:eastAsia="仿宋" w:cs="仿宋"/>
          <w:sz w:val="32"/>
          <w:szCs w:val="32"/>
        </w:rPr>
        <w:t>辆、其他用车</w:t>
      </w:r>
      <w:r>
        <w:rPr>
          <w:rFonts w:hint="eastAsia" w:ascii="仿宋" w:hAnsi="仿宋" w:eastAsia="仿宋" w:cs="仿宋"/>
          <w:sz w:val="32"/>
          <w:szCs w:val="32"/>
          <w:lang w:val="en-US" w:eastAsia="zh-CN"/>
        </w:rPr>
        <w:t>0</w:t>
      </w:r>
      <w:r>
        <w:rPr>
          <w:rFonts w:hint="eastAsia" w:ascii="仿宋" w:hAnsi="仿宋" w:eastAsia="仿宋" w:cs="仿宋"/>
          <w:sz w:val="32"/>
          <w:szCs w:val="32"/>
        </w:rPr>
        <w:t>辆。单位价值100万元以上设备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（四）绩效目标设置情况</w:t>
      </w:r>
    </w:p>
    <w:p>
      <w:pPr>
        <w:spacing w:line="578"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2025</w:t>
      </w:r>
      <w:r>
        <w:rPr>
          <w:rFonts w:hint="eastAsia" w:ascii="仿宋" w:hAnsi="仿宋" w:eastAsia="仿宋" w:cs="仿宋"/>
          <w:sz w:val="32"/>
          <w:szCs w:val="32"/>
        </w:rPr>
        <w:t>年中共白沙黎族自治县委政法委员</w:t>
      </w:r>
      <w:r>
        <w:rPr>
          <w:rFonts w:hint="eastAsia" w:ascii="仿宋" w:hAnsi="仿宋" w:eastAsia="仿宋" w:cs="仿宋"/>
          <w:sz w:val="32"/>
          <w:szCs w:val="32"/>
          <w:lang w:val="en-US" w:eastAsia="zh-CN"/>
        </w:rPr>
        <w:t>30</w:t>
      </w:r>
      <w:r>
        <w:rPr>
          <w:rFonts w:hint="eastAsia" w:ascii="仿宋" w:hAnsi="仿宋" w:eastAsia="仿宋" w:cs="仿宋"/>
          <w:sz w:val="32"/>
          <w:szCs w:val="32"/>
        </w:rPr>
        <w:t>个项目实行绩效目标管理，涉及一般公共预算</w:t>
      </w:r>
      <w:r>
        <w:rPr>
          <w:rFonts w:hint="eastAsia" w:ascii="仿宋" w:hAnsi="仿宋" w:eastAsia="仿宋" w:cs="仿宋"/>
          <w:sz w:val="32"/>
          <w:szCs w:val="32"/>
          <w:lang w:val="en-US" w:eastAsia="zh-CN"/>
        </w:rPr>
        <w:t>1013.34</w:t>
      </w:r>
      <w:r>
        <w:rPr>
          <w:rFonts w:hint="eastAsia" w:ascii="仿宋" w:hAnsi="仿宋" w:eastAsia="仿宋" w:cs="仿宋"/>
          <w:sz w:val="32"/>
          <w:szCs w:val="32"/>
        </w:rPr>
        <w:t>万元</w:t>
      </w:r>
      <w:r>
        <w:rPr>
          <w:rFonts w:hint="eastAsia" w:ascii="仿宋" w:hAnsi="仿宋" w:eastAsia="仿宋" w:cs="仿宋"/>
          <w:sz w:val="32"/>
          <w:szCs w:val="32"/>
          <w:lang w:eastAsia="zh-CN"/>
        </w:rPr>
        <w:t>。</w:t>
      </w:r>
    </w:p>
    <w:p>
      <w:pPr>
        <w:spacing w:line="578" w:lineRule="exact"/>
        <w:jc w:val="center"/>
        <w:rPr>
          <w:rFonts w:hint="eastAsia" w:ascii="仿宋" w:hAnsi="仿宋" w:eastAsia="仿宋" w:cs="仿宋"/>
          <w:sz w:val="32"/>
          <w:szCs w:val="32"/>
        </w:rPr>
      </w:pPr>
    </w:p>
    <w:p>
      <w:pPr>
        <w:spacing w:line="578" w:lineRule="exact"/>
        <w:jc w:val="left"/>
        <w:rPr>
          <w:rFonts w:hint="eastAsia" w:ascii="仿宋" w:hAnsi="仿宋" w:eastAsia="仿宋" w:cs="仿宋"/>
          <w:color w:val="000000"/>
          <w:kern w:val="0"/>
          <w:sz w:val="32"/>
          <w:szCs w:val="30"/>
        </w:rPr>
      </w:pPr>
      <w:bookmarkStart w:id="0" w:name="_GoBack"/>
      <w:bookmarkEnd w:id="0"/>
    </w:p>
    <w:p>
      <w:pPr>
        <w:spacing w:line="578" w:lineRule="exact"/>
        <w:jc w:val="center"/>
        <w:rPr>
          <w:rFonts w:ascii="黑体" w:hAnsi="黑体" w:eastAsia="黑体"/>
          <w:b w:val="0"/>
          <w:bCs/>
          <w:sz w:val="32"/>
          <w:szCs w:val="32"/>
        </w:rPr>
      </w:pPr>
      <w:r>
        <w:rPr>
          <w:rFonts w:hint="eastAsia" w:ascii="黑体" w:hAnsi="黑体" w:eastAsia="黑体"/>
          <w:b w:val="0"/>
          <w:bCs/>
          <w:sz w:val="32"/>
          <w:szCs w:val="32"/>
        </w:rPr>
        <w:t>第四部分  名词解释</w:t>
      </w:r>
    </w:p>
    <w:p>
      <w:pPr>
        <w:spacing w:line="578" w:lineRule="exact"/>
        <w:ind w:firstLine="640" w:firstLineChars="200"/>
        <w:jc w:val="left"/>
        <w:rPr>
          <w:rFonts w:ascii="仿宋_GB2312" w:eastAsia="仿宋_GB2312" w:cs="宋体"/>
          <w:bCs/>
          <w:color w:val="000000"/>
          <w:kern w:val="0"/>
          <w:sz w:val="32"/>
          <w:szCs w:val="32"/>
          <w:lang w:val="zh-CN"/>
        </w:rPr>
      </w:pP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一、财政拨款收入：指本级财政当年拨付的资金。</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二、事业收入：指事业单位开展专业业务活动及辅助活动取得的收入。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三、经营收入：指事业单位在专业业务活动及其辅助活动之外开展非独立核算经营活动取得的收入。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四、其他收入：指除上述“财政拨款收入”“事业收入”“经营收入”等以外的收入。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五、年初结转和结余：指以前年度尚未完成、结转到本年按有关规定继续使用的资金。</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 xml:space="preserve">六、基本支出：指行政事业单位用于为保障其机构正常运转、完成日常工作任务而发生的人员支出和公用支出。   </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七、工资福利支出：反映单位开支的在职职工和编制外长期聘用人员的各类劳动报酬，以及为上述人员缴纳的各项社会保险费等。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 w:hAnsi="仿宋" w:eastAsia="仿宋" w:cs="仿宋"/>
          <w:color w:val="000000"/>
          <w:kern w:val="0"/>
          <w:sz w:val="32"/>
          <w:szCs w:val="30"/>
          <w:lang w:eastAsia="zh-CN"/>
        </w:rPr>
        <w:t>个人农业生产补贴、代缴社会保险费、</w:t>
      </w:r>
      <w:r>
        <w:rPr>
          <w:rFonts w:hint="eastAsia" w:ascii="仿宋" w:hAnsi="仿宋" w:eastAsia="仿宋" w:cs="仿宋"/>
          <w:color w:val="000000"/>
          <w:kern w:val="0"/>
          <w:sz w:val="32"/>
          <w:szCs w:val="30"/>
        </w:rPr>
        <w:t>其他等。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九、商品和服务支出：反映单位购买商品和服务的支出，包括办公费、</w:t>
      </w:r>
      <w:r>
        <w:rPr>
          <w:rFonts w:hint="eastAsia" w:ascii="仿宋" w:hAnsi="仿宋" w:eastAsia="仿宋" w:cs="仿宋"/>
          <w:color w:val="000000"/>
          <w:kern w:val="0"/>
          <w:sz w:val="32"/>
          <w:szCs w:val="30"/>
          <w:lang w:eastAsia="zh-CN"/>
        </w:rPr>
        <w:t>印刷费、咨询费、手续费、</w:t>
      </w:r>
      <w:r>
        <w:rPr>
          <w:rFonts w:hint="eastAsia" w:ascii="仿宋" w:hAnsi="仿宋" w:eastAsia="仿宋" w:cs="仿宋"/>
          <w:color w:val="000000"/>
          <w:kern w:val="0"/>
          <w:sz w:val="32"/>
          <w:szCs w:val="30"/>
        </w:rPr>
        <w:t>水费、电费、邮电费、</w:t>
      </w:r>
      <w:r>
        <w:rPr>
          <w:rFonts w:hint="eastAsia" w:ascii="仿宋" w:hAnsi="仿宋" w:eastAsia="仿宋" w:cs="仿宋"/>
          <w:color w:val="000000"/>
          <w:kern w:val="0"/>
          <w:sz w:val="32"/>
          <w:szCs w:val="30"/>
          <w:lang w:eastAsia="zh-CN"/>
        </w:rPr>
        <w:t>取暖费、物业管理费、</w:t>
      </w:r>
      <w:r>
        <w:rPr>
          <w:rFonts w:hint="eastAsia" w:ascii="仿宋" w:hAnsi="仿宋" w:eastAsia="仿宋" w:cs="仿宋"/>
          <w:color w:val="000000"/>
          <w:kern w:val="0"/>
          <w:sz w:val="32"/>
          <w:szCs w:val="30"/>
        </w:rPr>
        <w:t>差旅费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因公出国（境）费用</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维修（护）费、</w:t>
      </w:r>
      <w:r>
        <w:rPr>
          <w:rFonts w:hint="eastAsia" w:ascii="仿宋" w:hAnsi="仿宋" w:eastAsia="仿宋" w:cs="仿宋"/>
          <w:color w:val="000000"/>
          <w:kern w:val="0"/>
          <w:sz w:val="32"/>
          <w:szCs w:val="30"/>
          <w:lang w:eastAsia="zh-CN"/>
        </w:rPr>
        <w:t>租赁费、</w:t>
      </w:r>
      <w:r>
        <w:rPr>
          <w:rFonts w:hint="eastAsia" w:ascii="仿宋" w:hAnsi="仿宋" w:eastAsia="仿宋" w:cs="仿宋"/>
          <w:color w:val="000000"/>
          <w:kern w:val="0"/>
          <w:sz w:val="32"/>
          <w:szCs w:val="30"/>
        </w:rPr>
        <w:t>会议费、培训费、公务接待费、</w:t>
      </w:r>
      <w:r>
        <w:rPr>
          <w:rFonts w:hint="eastAsia" w:ascii="仿宋" w:hAnsi="仿宋" w:eastAsia="仿宋" w:cs="仿宋"/>
          <w:color w:val="000000"/>
          <w:kern w:val="0"/>
          <w:sz w:val="32"/>
          <w:szCs w:val="30"/>
          <w:lang w:eastAsia="zh-CN"/>
        </w:rPr>
        <w:t>专用材料费、被装购置费、专用燃料费、劳务费、委托业务费</w:t>
      </w:r>
      <w:r>
        <w:rPr>
          <w:rFonts w:hint="eastAsia" w:ascii="仿宋" w:hAnsi="仿宋" w:eastAsia="仿宋" w:cs="仿宋"/>
          <w:color w:val="000000"/>
          <w:kern w:val="0"/>
          <w:sz w:val="32"/>
          <w:szCs w:val="30"/>
        </w:rPr>
        <w:t>、工会经费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福利费、公务用车运行维护费、</w:t>
      </w:r>
      <w:r>
        <w:rPr>
          <w:rFonts w:hint="eastAsia" w:ascii="仿宋" w:hAnsi="仿宋" w:eastAsia="仿宋" w:cs="仿宋"/>
          <w:color w:val="000000"/>
          <w:kern w:val="0"/>
          <w:sz w:val="32"/>
          <w:szCs w:val="30"/>
          <w:lang w:eastAsia="zh-CN"/>
        </w:rPr>
        <w:t>其他交通费用、税金及附加费用、</w:t>
      </w:r>
      <w:r>
        <w:rPr>
          <w:rFonts w:hint="eastAsia" w:ascii="仿宋" w:hAnsi="仿宋" w:eastAsia="仿宋" w:cs="仿宋"/>
          <w:color w:val="000000"/>
          <w:kern w:val="0"/>
          <w:sz w:val="32"/>
          <w:szCs w:val="30"/>
        </w:rPr>
        <w:t>其他</w:t>
      </w:r>
      <w:r>
        <w:rPr>
          <w:rFonts w:hint="eastAsia" w:ascii="仿宋" w:hAnsi="仿宋" w:eastAsia="仿宋" w:cs="仿宋"/>
          <w:color w:val="000000"/>
          <w:kern w:val="0"/>
          <w:sz w:val="32"/>
          <w:szCs w:val="30"/>
          <w:lang w:eastAsia="zh-CN"/>
        </w:rPr>
        <w:t>商品和服务支出</w:t>
      </w:r>
      <w:r>
        <w:rPr>
          <w:rFonts w:hint="eastAsia" w:ascii="仿宋" w:hAnsi="仿宋" w:eastAsia="仿宋" w:cs="仿宋"/>
          <w:color w:val="000000"/>
          <w:kern w:val="0"/>
          <w:sz w:val="32"/>
          <w:szCs w:val="30"/>
        </w:rPr>
        <w:t>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十、项目支出：指各部门、各单位为完成其特定的工作任务和事业发展目标所发生的支出。</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 w:hAnsi="仿宋" w:eastAsia="仿宋" w:cs="仿宋"/>
          <w:color w:val="000000"/>
          <w:kern w:val="0"/>
          <w:sz w:val="32"/>
          <w:szCs w:val="30"/>
          <w:lang w:eastAsia="zh-CN"/>
        </w:rPr>
        <w:t>、牌照费</w:t>
      </w:r>
      <w:r>
        <w:rPr>
          <w:rFonts w:hint="eastAsia" w:ascii="仿宋" w:hAnsi="仿宋" w:eastAsia="仿宋" w:cs="仿宋"/>
          <w:color w:val="000000"/>
          <w:kern w:val="0"/>
          <w:sz w:val="32"/>
          <w:szCs w:val="30"/>
        </w:rPr>
        <w:t>）及燃料费、维修费、过路过桥费、保险费、安全奖励费用等支出；公务接待费指单位按规定开支的各类公务接待（含外宾接待）</w:t>
      </w:r>
      <w:r>
        <w:rPr>
          <w:rFonts w:hint="eastAsia" w:ascii="仿宋" w:hAnsi="仿宋" w:eastAsia="仿宋" w:cs="仿宋"/>
          <w:color w:val="000000"/>
          <w:kern w:val="0"/>
          <w:sz w:val="32"/>
          <w:szCs w:val="30"/>
          <w:lang w:eastAsia="zh-CN"/>
        </w:rPr>
        <w:t>费用等支出</w:t>
      </w:r>
      <w:r>
        <w:rPr>
          <w:rFonts w:hint="eastAsia" w:ascii="仿宋" w:hAnsi="仿宋" w:eastAsia="仿宋" w:cs="仿宋"/>
          <w:color w:val="000000"/>
          <w:kern w:val="0"/>
          <w:sz w:val="32"/>
          <w:szCs w:val="30"/>
        </w:rPr>
        <w:t>。</w:t>
      </w:r>
    </w:p>
    <w:p>
      <w:pPr>
        <w:spacing w:line="578" w:lineRule="exact"/>
        <w:ind w:firstLine="640" w:firstLineChars="200"/>
        <w:jc w:val="left"/>
        <w:rPr>
          <w:rFonts w:ascii="仿宋_GB2312" w:hAnsi="黑体" w:eastAsia="仿宋_GB2312" w:cs="仿宋_GB2312"/>
          <w:sz w:val="32"/>
          <w:szCs w:val="32"/>
        </w:rPr>
      </w:pPr>
      <w:r>
        <w:rPr>
          <w:rFonts w:hint="eastAsia" w:ascii="仿宋" w:hAnsi="仿宋" w:eastAsia="仿宋" w:cs="仿宋"/>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sectPr>
      <w:footerReference r:id="rId5" w:type="default"/>
      <w:pgSz w:w="11906" w:h="16838"/>
      <w:pgMar w:top="2098" w:right="1474" w:bottom="1984" w:left="1587" w:header="851" w:footer="1587"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2498F"/>
    <w:rsid w:val="00086CD1"/>
    <w:rsid w:val="001747B4"/>
    <w:rsid w:val="002C6CD8"/>
    <w:rsid w:val="00521116"/>
    <w:rsid w:val="00597B80"/>
    <w:rsid w:val="00A4778B"/>
    <w:rsid w:val="00BB1A3F"/>
    <w:rsid w:val="01980114"/>
    <w:rsid w:val="01F42A41"/>
    <w:rsid w:val="021C1A07"/>
    <w:rsid w:val="024E43D4"/>
    <w:rsid w:val="02680801"/>
    <w:rsid w:val="02831388"/>
    <w:rsid w:val="0298354F"/>
    <w:rsid w:val="029C1F55"/>
    <w:rsid w:val="02A42BE4"/>
    <w:rsid w:val="02CD5FA7"/>
    <w:rsid w:val="02F922EE"/>
    <w:rsid w:val="02FC3273"/>
    <w:rsid w:val="03362153"/>
    <w:rsid w:val="034858F1"/>
    <w:rsid w:val="03B7592C"/>
    <w:rsid w:val="03EB097D"/>
    <w:rsid w:val="03F04E05"/>
    <w:rsid w:val="044F2C20"/>
    <w:rsid w:val="0456002C"/>
    <w:rsid w:val="046B474E"/>
    <w:rsid w:val="04730C2E"/>
    <w:rsid w:val="04A01725"/>
    <w:rsid w:val="04AB70F7"/>
    <w:rsid w:val="04B019C0"/>
    <w:rsid w:val="04E85937"/>
    <w:rsid w:val="05137F5A"/>
    <w:rsid w:val="056E5276"/>
    <w:rsid w:val="058B2628"/>
    <w:rsid w:val="06102C87"/>
    <w:rsid w:val="067F41B9"/>
    <w:rsid w:val="068176BD"/>
    <w:rsid w:val="069F6C6D"/>
    <w:rsid w:val="06A50B76"/>
    <w:rsid w:val="06CD64B7"/>
    <w:rsid w:val="06D61345"/>
    <w:rsid w:val="0708017A"/>
    <w:rsid w:val="0750320D"/>
    <w:rsid w:val="076B50BC"/>
    <w:rsid w:val="078E2CF2"/>
    <w:rsid w:val="07D102E3"/>
    <w:rsid w:val="08223565"/>
    <w:rsid w:val="08313B80"/>
    <w:rsid w:val="08423ADC"/>
    <w:rsid w:val="084859A3"/>
    <w:rsid w:val="084F3130"/>
    <w:rsid w:val="0886328A"/>
    <w:rsid w:val="08887952"/>
    <w:rsid w:val="08AB5A48"/>
    <w:rsid w:val="08EE00FB"/>
    <w:rsid w:val="08F66DC1"/>
    <w:rsid w:val="092C729B"/>
    <w:rsid w:val="093211A4"/>
    <w:rsid w:val="09727A0F"/>
    <w:rsid w:val="097B46F6"/>
    <w:rsid w:val="09CA5EA0"/>
    <w:rsid w:val="09F337E1"/>
    <w:rsid w:val="0A1914A2"/>
    <w:rsid w:val="0A1A36A0"/>
    <w:rsid w:val="0A3906D2"/>
    <w:rsid w:val="0A3F005D"/>
    <w:rsid w:val="0A9877F2"/>
    <w:rsid w:val="0ABB3229"/>
    <w:rsid w:val="0AD0794C"/>
    <w:rsid w:val="0B067E26"/>
    <w:rsid w:val="0B5F5F36"/>
    <w:rsid w:val="0BCF1A6D"/>
    <w:rsid w:val="0C314090"/>
    <w:rsid w:val="0C41432A"/>
    <w:rsid w:val="0C911B2B"/>
    <w:rsid w:val="0C950531"/>
    <w:rsid w:val="0C9D33BF"/>
    <w:rsid w:val="0CAC0156"/>
    <w:rsid w:val="0CF705D6"/>
    <w:rsid w:val="0D1C170F"/>
    <w:rsid w:val="0D2C77AB"/>
    <w:rsid w:val="0D471659"/>
    <w:rsid w:val="0D475DD6"/>
    <w:rsid w:val="0D670889"/>
    <w:rsid w:val="0DDD75CE"/>
    <w:rsid w:val="0E722040"/>
    <w:rsid w:val="0E737AC2"/>
    <w:rsid w:val="0EAB7F23"/>
    <w:rsid w:val="0ED92CE9"/>
    <w:rsid w:val="0EDE4BF3"/>
    <w:rsid w:val="0F0D7CC0"/>
    <w:rsid w:val="0F0E1EBF"/>
    <w:rsid w:val="0F2D2774"/>
    <w:rsid w:val="0F347B80"/>
    <w:rsid w:val="0F50049E"/>
    <w:rsid w:val="0F65034F"/>
    <w:rsid w:val="0F6C7CDA"/>
    <w:rsid w:val="0F8021FE"/>
    <w:rsid w:val="0FA311DA"/>
    <w:rsid w:val="0FAD6545"/>
    <w:rsid w:val="10763A0F"/>
    <w:rsid w:val="10786F12"/>
    <w:rsid w:val="10BA0C81"/>
    <w:rsid w:val="10F13359"/>
    <w:rsid w:val="11177D15"/>
    <w:rsid w:val="117D67C0"/>
    <w:rsid w:val="11A77604"/>
    <w:rsid w:val="11AE2812"/>
    <w:rsid w:val="11D23CCC"/>
    <w:rsid w:val="11DE5560"/>
    <w:rsid w:val="11DF775E"/>
    <w:rsid w:val="11F2097D"/>
    <w:rsid w:val="12026A19"/>
    <w:rsid w:val="122D30E1"/>
    <w:rsid w:val="123F687E"/>
    <w:rsid w:val="1299424E"/>
    <w:rsid w:val="129D4699"/>
    <w:rsid w:val="12DA5BE3"/>
    <w:rsid w:val="1321787C"/>
    <w:rsid w:val="13CF028E"/>
    <w:rsid w:val="13CF248D"/>
    <w:rsid w:val="140A08FA"/>
    <w:rsid w:val="14113D73"/>
    <w:rsid w:val="141476FE"/>
    <w:rsid w:val="144B7858"/>
    <w:rsid w:val="146F4594"/>
    <w:rsid w:val="14CA5031"/>
    <w:rsid w:val="14D72CBF"/>
    <w:rsid w:val="14E90674"/>
    <w:rsid w:val="14F75772"/>
    <w:rsid w:val="14F831F4"/>
    <w:rsid w:val="15392139"/>
    <w:rsid w:val="1554390E"/>
    <w:rsid w:val="15BA6B35"/>
    <w:rsid w:val="15CD7A9E"/>
    <w:rsid w:val="16294BEB"/>
    <w:rsid w:val="163F0F8C"/>
    <w:rsid w:val="16597938"/>
    <w:rsid w:val="167801ED"/>
    <w:rsid w:val="16B40F4B"/>
    <w:rsid w:val="16E4751C"/>
    <w:rsid w:val="170A3ED8"/>
    <w:rsid w:val="17494CC2"/>
    <w:rsid w:val="174F6BCB"/>
    <w:rsid w:val="17606E66"/>
    <w:rsid w:val="17B0376D"/>
    <w:rsid w:val="17BA1AFE"/>
    <w:rsid w:val="17E470BF"/>
    <w:rsid w:val="182F6239"/>
    <w:rsid w:val="18340143"/>
    <w:rsid w:val="183A204C"/>
    <w:rsid w:val="183F1ED5"/>
    <w:rsid w:val="186A061D"/>
    <w:rsid w:val="188A6953"/>
    <w:rsid w:val="18904FD9"/>
    <w:rsid w:val="18951461"/>
    <w:rsid w:val="18DC7657"/>
    <w:rsid w:val="18DD1382"/>
    <w:rsid w:val="18FE560D"/>
    <w:rsid w:val="192432CE"/>
    <w:rsid w:val="19512E99"/>
    <w:rsid w:val="19533227"/>
    <w:rsid w:val="196056B2"/>
    <w:rsid w:val="19CB14DE"/>
    <w:rsid w:val="19D5DA33"/>
    <w:rsid w:val="19DC71FA"/>
    <w:rsid w:val="1A027DA2"/>
    <w:rsid w:val="1A19705E"/>
    <w:rsid w:val="1A35698F"/>
    <w:rsid w:val="1A597E48"/>
    <w:rsid w:val="1A992E30"/>
    <w:rsid w:val="1AA25CBE"/>
    <w:rsid w:val="1AD4308C"/>
    <w:rsid w:val="1B0424DF"/>
    <w:rsid w:val="1B59326E"/>
    <w:rsid w:val="1B77281E"/>
    <w:rsid w:val="1BC34E9C"/>
    <w:rsid w:val="1BC5039F"/>
    <w:rsid w:val="1BD47334"/>
    <w:rsid w:val="1BE240CC"/>
    <w:rsid w:val="1C010930"/>
    <w:rsid w:val="1C117199"/>
    <w:rsid w:val="1C186B24"/>
    <w:rsid w:val="1C2C57C5"/>
    <w:rsid w:val="1C3715D7"/>
    <w:rsid w:val="1C4353EA"/>
    <w:rsid w:val="1C6646A5"/>
    <w:rsid w:val="1C9706F7"/>
    <w:rsid w:val="1CEA6E7C"/>
    <w:rsid w:val="1CF60711"/>
    <w:rsid w:val="1D091930"/>
    <w:rsid w:val="1D3D0A6C"/>
    <w:rsid w:val="1D3E4388"/>
    <w:rsid w:val="1D625841"/>
    <w:rsid w:val="1DB60B4F"/>
    <w:rsid w:val="1DE37094"/>
    <w:rsid w:val="1DE67B5E"/>
    <w:rsid w:val="1DE90F9E"/>
    <w:rsid w:val="1E3E0AF3"/>
    <w:rsid w:val="1E4E1FC7"/>
    <w:rsid w:val="1E5209CD"/>
    <w:rsid w:val="1E851DDC"/>
    <w:rsid w:val="1E9B6843"/>
    <w:rsid w:val="1EF501D6"/>
    <w:rsid w:val="1F3025BA"/>
    <w:rsid w:val="1F427367"/>
    <w:rsid w:val="1F485A62"/>
    <w:rsid w:val="1F796231"/>
    <w:rsid w:val="1FBF8E30"/>
    <w:rsid w:val="1FC73DB2"/>
    <w:rsid w:val="1FCB49B6"/>
    <w:rsid w:val="2012495D"/>
    <w:rsid w:val="201F1F8E"/>
    <w:rsid w:val="203159E0"/>
    <w:rsid w:val="20820C62"/>
    <w:rsid w:val="2092466C"/>
    <w:rsid w:val="209A6308"/>
    <w:rsid w:val="20E144FE"/>
    <w:rsid w:val="210843BE"/>
    <w:rsid w:val="21533539"/>
    <w:rsid w:val="217E5682"/>
    <w:rsid w:val="21CC797F"/>
    <w:rsid w:val="21D06385"/>
    <w:rsid w:val="22177DFE"/>
    <w:rsid w:val="224A3AD1"/>
    <w:rsid w:val="224E6D9F"/>
    <w:rsid w:val="227D77A3"/>
    <w:rsid w:val="227F2CA6"/>
    <w:rsid w:val="22902419"/>
    <w:rsid w:val="229F5759"/>
    <w:rsid w:val="22E22D4A"/>
    <w:rsid w:val="236751A2"/>
    <w:rsid w:val="23723533"/>
    <w:rsid w:val="23827050"/>
    <w:rsid w:val="23A83A0D"/>
    <w:rsid w:val="23BA4FAC"/>
    <w:rsid w:val="243E0148"/>
    <w:rsid w:val="24404E85"/>
    <w:rsid w:val="24454B90"/>
    <w:rsid w:val="24EA3120"/>
    <w:rsid w:val="25396722"/>
    <w:rsid w:val="253A41A3"/>
    <w:rsid w:val="2556244F"/>
    <w:rsid w:val="25EE15AD"/>
    <w:rsid w:val="26394109"/>
    <w:rsid w:val="26421153"/>
    <w:rsid w:val="26742C26"/>
    <w:rsid w:val="267E3536"/>
    <w:rsid w:val="267E5734"/>
    <w:rsid w:val="2697085D"/>
    <w:rsid w:val="269F5C69"/>
    <w:rsid w:val="26C6392A"/>
    <w:rsid w:val="26E22B39"/>
    <w:rsid w:val="27110526"/>
    <w:rsid w:val="274B1605"/>
    <w:rsid w:val="274C4E88"/>
    <w:rsid w:val="27532138"/>
    <w:rsid w:val="276969B7"/>
    <w:rsid w:val="27810704"/>
    <w:rsid w:val="27821E7F"/>
    <w:rsid w:val="27B35B31"/>
    <w:rsid w:val="27CA5756"/>
    <w:rsid w:val="280E7144"/>
    <w:rsid w:val="281335CC"/>
    <w:rsid w:val="2833607F"/>
    <w:rsid w:val="28400C18"/>
    <w:rsid w:val="28407E8F"/>
    <w:rsid w:val="28A22930"/>
    <w:rsid w:val="28C27EED"/>
    <w:rsid w:val="28D14C84"/>
    <w:rsid w:val="28D50A2D"/>
    <w:rsid w:val="28DE3F9A"/>
    <w:rsid w:val="28E611AD"/>
    <w:rsid w:val="29025453"/>
    <w:rsid w:val="291A637D"/>
    <w:rsid w:val="294626C4"/>
    <w:rsid w:val="29560760"/>
    <w:rsid w:val="29652F79"/>
    <w:rsid w:val="2973448D"/>
    <w:rsid w:val="29BD1409"/>
    <w:rsid w:val="29FA346D"/>
    <w:rsid w:val="2A1E297B"/>
    <w:rsid w:val="2A642E9C"/>
    <w:rsid w:val="2AA270FE"/>
    <w:rsid w:val="2ADE7C21"/>
    <w:rsid w:val="2AF15F83"/>
    <w:rsid w:val="2B272BDA"/>
    <w:rsid w:val="2B5327A4"/>
    <w:rsid w:val="2B676628"/>
    <w:rsid w:val="2B7042D3"/>
    <w:rsid w:val="2BAF7B59"/>
    <w:rsid w:val="2BB24D3C"/>
    <w:rsid w:val="2BD177EF"/>
    <w:rsid w:val="2BDA3ECD"/>
    <w:rsid w:val="2BDF0DC0"/>
    <w:rsid w:val="2C197D81"/>
    <w:rsid w:val="2C233D76"/>
    <w:rsid w:val="2C36322C"/>
    <w:rsid w:val="2C7E6A0F"/>
    <w:rsid w:val="2C812864"/>
    <w:rsid w:val="2CA5304B"/>
    <w:rsid w:val="2CAC29D6"/>
    <w:rsid w:val="2CFE27E0"/>
    <w:rsid w:val="2D452F54"/>
    <w:rsid w:val="2D832A39"/>
    <w:rsid w:val="2DA873F6"/>
    <w:rsid w:val="2DAF6D80"/>
    <w:rsid w:val="2DFB7200"/>
    <w:rsid w:val="2E21163E"/>
    <w:rsid w:val="2E316055"/>
    <w:rsid w:val="2E81295C"/>
    <w:rsid w:val="2EAC599E"/>
    <w:rsid w:val="2ECF405A"/>
    <w:rsid w:val="2ED72066"/>
    <w:rsid w:val="2EDE19F1"/>
    <w:rsid w:val="2F2965ED"/>
    <w:rsid w:val="2F2C7572"/>
    <w:rsid w:val="2F41372D"/>
    <w:rsid w:val="2F6354CD"/>
    <w:rsid w:val="2F653D5F"/>
    <w:rsid w:val="2F9A15D9"/>
    <w:rsid w:val="2F9E1E2F"/>
    <w:rsid w:val="2FCB3BF8"/>
    <w:rsid w:val="2FF7110D"/>
    <w:rsid w:val="2FFFCED3"/>
    <w:rsid w:val="301C26FD"/>
    <w:rsid w:val="30347DA4"/>
    <w:rsid w:val="306A027E"/>
    <w:rsid w:val="30704386"/>
    <w:rsid w:val="307C3A1B"/>
    <w:rsid w:val="30E07EBD"/>
    <w:rsid w:val="30F00157"/>
    <w:rsid w:val="313E0256"/>
    <w:rsid w:val="31453464"/>
    <w:rsid w:val="31696B1C"/>
    <w:rsid w:val="31CA58BC"/>
    <w:rsid w:val="31D574D0"/>
    <w:rsid w:val="31FC7390"/>
    <w:rsid w:val="32697D44"/>
    <w:rsid w:val="32732851"/>
    <w:rsid w:val="328827F7"/>
    <w:rsid w:val="32C37159"/>
    <w:rsid w:val="33223149"/>
    <w:rsid w:val="3359184A"/>
    <w:rsid w:val="335C6052"/>
    <w:rsid w:val="33604A58"/>
    <w:rsid w:val="33627F5C"/>
    <w:rsid w:val="3364345F"/>
    <w:rsid w:val="33B62584"/>
    <w:rsid w:val="33BA3A4A"/>
    <w:rsid w:val="33C40EFA"/>
    <w:rsid w:val="33F81754"/>
    <w:rsid w:val="33FB6E55"/>
    <w:rsid w:val="340D03F4"/>
    <w:rsid w:val="34316ACF"/>
    <w:rsid w:val="348A3241"/>
    <w:rsid w:val="348B0CC3"/>
    <w:rsid w:val="34951FE2"/>
    <w:rsid w:val="34B82A8C"/>
    <w:rsid w:val="34DE2CCB"/>
    <w:rsid w:val="34EE0243"/>
    <w:rsid w:val="35052B8B"/>
    <w:rsid w:val="350B742E"/>
    <w:rsid w:val="350E1BDA"/>
    <w:rsid w:val="3554618D"/>
    <w:rsid w:val="355D101B"/>
    <w:rsid w:val="35894B92"/>
    <w:rsid w:val="35CC4B52"/>
    <w:rsid w:val="35EB1B84"/>
    <w:rsid w:val="36273F67"/>
    <w:rsid w:val="36362EFD"/>
    <w:rsid w:val="36BC445A"/>
    <w:rsid w:val="36C066E4"/>
    <w:rsid w:val="36CC24F7"/>
    <w:rsid w:val="36E36898"/>
    <w:rsid w:val="36ED4C29"/>
    <w:rsid w:val="36FA6D78"/>
    <w:rsid w:val="37250607"/>
    <w:rsid w:val="373C022C"/>
    <w:rsid w:val="37416BB7"/>
    <w:rsid w:val="374259B8"/>
    <w:rsid w:val="37504CCE"/>
    <w:rsid w:val="37691B50"/>
    <w:rsid w:val="379231B9"/>
    <w:rsid w:val="37D0718F"/>
    <w:rsid w:val="37DD7DB5"/>
    <w:rsid w:val="38022573"/>
    <w:rsid w:val="380D0904"/>
    <w:rsid w:val="38111509"/>
    <w:rsid w:val="381F40A2"/>
    <w:rsid w:val="38417ADA"/>
    <w:rsid w:val="384719E3"/>
    <w:rsid w:val="38550CF9"/>
    <w:rsid w:val="385641FC"/>
    <w:rsid w:val="38697999"/>
    <w:rsid w:val="386A541B"/>
    <w:rsid w:val="387A58E0"/>
    <w:rsid w:val="387B3137"/>
    <w:rsid w:val="387B69BA"/>
    <w:rsid w:val="38830543"/>
    <w:rsid w:val="38866F49"/>
    <w:rsid w:val="389F616B"/>
    <w:rsid w:val="38DC1ED6"/>
    <w:rsid w:val="38FC020D"/>
    <w:rsid w:val="38FC2B25"/>
    <w:rsid w:val="39297DD7"/>
    <w:rsid w:val="393C0FF6"/>
    <w:rsid w:val="39832503"/>
    <w:rsid w:val="39A86F0F"/>
    <w:rsid w:val="39A877B8"/>
    <w:rsid w:val="39C57C56"/>
    <w:rsid w:val="39F83C4E"/>
    <w:rsid w:val="39F913A9"/>
    <w:rsid w:val="3A274477"/>
    <w:rsid w:val="3A684EE0"/>
    <w:rsid w:val="3A8B0918"/>
    <w:rsid w:val="3A9202A3"/>
    <w:rsid w:val="3ABD23EC"/>
    <w:rsid w:val="3AE21327"/>
    <w:rsid w:val="3AED09BD"/>
    <w:rsid w:val="3B2C04A1"/>
    <w:rsid w:val="3B323BFB"/>
    <w:rsid w:val="3B4C2F55"/>
    <w:rsid w:val="3BA50AE5"/>
    <w:rsid w:val="3BEF1864"/>
    <w:rsid w:val="3C1B5BAC"/>
    <w:rsid w:val="3C666F24"/>
    <w:rsid w:val="3CB57546"/>
    <w:rsid w:val="3CBF2E36"/>
    <w:rsid w:val="3CCF30D1"/>
    <w:rsid w:val="3D320BF7"/>
    <w:rsid w:val="3DCC34D3"/>
    <w:rsid w:val="3E012549"/>
    <w:rsid w:val="3E13537A"/>
    <w:rsid w:val="3E271104"/>
    <w:rsid w:val="3E315296"/>
    <w:rsid w:val="3E741759"/>
    <w:rsid w:val="3E7B660F"/>
    <w:rsid w:val="3EAF5B65"/>
    <w:rsid w:val="3EB47A6E"/>
    <w:rsid w:val="3EC80C8D"/>
    <w:rsid w:val="3ED612A7"/>
    <w:rsid w:val="3EF94CDF"/>
    <w:rsid w:val="3F204B9F"/>
    <w:rsid w:val="3F212620"/>
    <w:rsid w:val="3F2E7738"/>
    <w:rsid w:val="3F5E2485"/>
    <w:rsid w:val="3F7810FB"/>
    <w:rsid w:val="3F7FB4B5"/>
    <w:rsid w:val="3F9C396C"/>
    <w:rsid w:val="3FAD4D11"/>
    <w:rsid w:val="3FB10C0A"/>
    <w:rsid w:val="3FCB5038"/>
    <w:rsid w:val="4000420D"/>
    <w:rsid w:val="401A063A"/>
    <w:rsid w:val="402A1C96"/>
    <w:rsid w:val="403533E2"/>
    <w:rsid w:val="40531A99"/>
    <w:rsid w:val="406364B0"/>
    <w:rsid w:val="40C874D9"/>
    <w:rsid w:val="40F55A1F"/>
    <w:rsid w:val="41636FC4"/>
    <w:rsid w:val="41654DD9"/>
    <w:rsid w:val="419249A3"/>
    <w:rsid w:val="421E6786"/>
    <w:rsid w:val="42202600"/>
    <w:rsid w:val="42685900"/>
    <w:rsid w:val="42A55765"/>
    <w:rsid w:val="42A86289"/>
    <w:rsid w:val="42DB5C3F"/>
    <w:rsid w:val="42E06844"/>
    <w:rsid w:val="42E63A08"/>
    <w:rsid w:val="42EE48FA"/>
    <w:rsid w:val="42F332E6"/>
    <w:rsid w:val="43372AD6"/>
    <w:rsid w:val="43F7188F"/>
    <w:rsid w:val="43FF251E"/>
    <w:rsid w:val="44007FA0"/>
    <w:rsid w:val="445554AC"/>
    <w:rsid w:val="445E2A97"/>
    <w:rsid w:val="447943E7"/>
    <w:rsid w:val="448E3087"/>
    <w:rsid w:val="44AF103D"/>
    <w:rsid w:val="45054E10"/>
    <w:rsid w:val="451E70F3"/>
    <w:rsid w:val="454F3145"/>
    <w:rsid w:val="45A715D5"/>
    <w:rsid w:val="45B52AE9"/>
    <w:rsid w:val="45C9178A"/>
    <w:rsid w:val="45D27E9B"/>
    <w:rsid w:val="46132E83"/>
    <w:rsid w:val="46267333"/>
    <w:rsid w:val="465B50CC"/>
    <w:rsid w:val="465D1FFE"/>
    <w:rsid w:val="46683C12"/>
    <w:rsid w:val="467960AA"/>
    <w:rsid w:val="46B63991"/>
    <w:rsid w:val="46C42CA7"/>
    <w:rsid w:val="46E74160"/>
    <w:rsid w:val="47056F93"/>
    <w:rsid w:val="47413586"/>
    <w:rsid w:val="47446A78"/>
    <w:rsid w:val="47521611"/>
    <w:rsid w:val="477E5958"/>
    <w:rsid w:val="47BB79BB"/>
    <w:rsid w:val="47FE172A"/>
    <w:rsid w:val="486523D3"/>
    <w:rsid w:val="48703FE7"/>
    <w:rsid w:val="48CA33FC"/>
    <w:rsid w:val="48D77FF8"/>
    <w:rsid w:val="48E13021"/>
    <w:rsid w:val="48E51A27"/>
    <w:rsid w:val="48E561A4"/>
    <w:rsid w:val="49734B0E"/>
    <w:rsid w:val="4984282A"/>
    <w:rsid w:val="499F0E56"/>
    <w:rsid w:val="49ED69D6"/>
    <w:rsid w:val="49F53DE3"/>
    <w:rsid w:val="49F61864"/>
    <w:rsid w:val="4A3B4557"/>
    <w:rsid w:val="4A52417C"/>
    <w:rsid w:val="4AB2329C"/>
    <w:rsid w:val="4AFA7E0D"/>
    <w:rsid w:val="4B1331CA"/>
    <w:rsid w:val="4B400582"/>
    <w:rsid w:val="4B46248B"/>
    <w:rsid w:val="4B526349"/>
    <w:rsid w:val="4B851076"/>
    <w:rsid w:val="4BA018A0"/>
    <w:rsid w:val="4BB949C8"/>
    <w:rsid w:val="4BDE7186"/>
    <w:rsid w:val="4C54044A"/>
    <w:rsid w:val="4C9718E2"/>
    <w:rsid w:val="4CBA3672"/>
    <w:rsid w:val="4CD20D18"/>
    <w:rsid w:val="4D062959"/>
    <w:rsid w:val="4D322037"/>
    <w:rsid w:val="4D3919C1"/>
    <w:rsid w:val="4D7C3730"/>
    <w:rsid w:val="4D933355"/>
    <w:rsid w:val="4DC5673B"/>
    <w:rsid w:val="4DCB2C88"/>
    <w:rsid w:val="4DE6755C"/>
    <w:rsid w:val="4E0A4298"/>
    <w:rsid w:val="4E10291E"/>
    <w:rsid w:val="4E493D7D"/>
    <w:rsid w:val="4E4C7BB1"/>
    <w:rsid w:val="4E53210E"/>
    <w:rsid w:val="4E6A1D33"/>
    <w:rsid w:val="4EC201C3"/>
    <w:rsid w:val="4ED513E2"/>
    <w:rsid w:val="4F252466"/>
    <w:rsid w:val="4F323CFA"/>
    <w:rsid w:val="4F5145AF"/>
    <w:rsid w:val="4F9B372A"/>
    <w:rsid w:val="4FB158CE"/>
    <w:rsid w:val="4FB80849"/>
    <w:rsid w:val="4FC43269"/>
    <w:rsid w:val="4FF4763C"/>
    <w:rsid w:val="506E5C81"/>
    <w:rsid w:val="509327CF"/>
    <w:rsid w:val="50A306D9"/>
    <w:rsid w:val="50DF2ABC"/>
    <w:rsid w:val="50E449C6"/>
    <w:rsid w:val="51455CE4"/>
    <w:rsid w:val="51627812"/>
    <w:rsid w:val="516D3625"/>
    <w:rsid w:val="51735385"/>
    <w:rsid w:val="51C44034"/>
    <w:rsid w:val="51E46AE7"/>
    <w:rsid w:val="51ED4BFC"/>
    <w:rsid w:val="520B69A6"/>
    <w:rsid w:val="52391A74"/>
    <w:rsid w:val="523B4F77"/>
    <w:rsid w:val="526D6A4B"/>
    <w:rsid w:val="52711BCE"/>
    <w:rsid w:val="52BE1CCD"/>
    <w:rsid w:val="52D70679"/>
    <w:rsid w:val="52E72E92"/>
    <w:rsid w:val="52EB5425"/>
    <w:rsid w:val="530949F9"/>
    <w:rsid w:val="53294C00"/>
    <w:rsid w:val="534A5134"/>
    <w:rsid w:val="53723EDF"/>
    <w:rsid w:val="537D2167"/>
    <w:rsid w:val="53994EB3"/>
    <w:rsid w:val="539A2935"/>
    <w:rsid w:val="539B3C3A"/>
    <w:rsid w:val="53F342C8"/>
    <w:rsid w:val="545B07F5"/>
    <w:rsid w:val="54745B1B"/>
    <w:rsid w:val="55163126"/>
    <w:rsid w:val="553D0DE7"/>
    <w:rsid w:val="55914FEE"/>
    <w:rsid w:val="55A84C13"/>
    <w:rsid w:val="55BF4839"/>
    <w:rsid w:val="55F0410E"/>
    <w:rsid w:val="55FE5622"/>
    <w:rsid w:val="56727B5F"/>
    <w:rsid w:val="56A64B36"/>
    <w:rsid w:val="56CE0279"/>
    <w:rsid w:val="5758495A"/>
    <w:rsid w:val="57821021"/>
    <w:rsid w:val="57A411D6"/>
    <w:rsid w:val="57DE00B6"/>
    <w:rsid w:val="57EC2C4F"/>
    <w:rsid w:val="57EE6152"/>
    <w:rsid w:val="57F80C60"/>
    <w:rsid w:val="58090325"/>
    <w:rsid w:val="58113D88"/>
    <w:rsid w:val="583E3953"/>
    <w:rsid w:val="587F7C40"/>
    <w:rsid w:val="59047E99"/>
    <w:rsid w:val="5970084D"/>
    <w:rsid w:val="59AE28B0"/>
    <w:rsid w:val="59AF2530"/>
    <w:rsid w:val="59BF5379"/>
    <w:rsid w:val="59DB4679"/>
    <w:rsid w:val="59EA4C93"/>
    <w:rsid w:val="59F50AA6"/>
    <w:rsid w:val="5A0148B9"/>
    <w:rsid w:val="5A062F3F"/>
    <w:rsid w:val="5A170C5A"/>
    <w:rsid w:val="5A176A5C"/>
    <w:rsid w:val="5A2C317E"/>
    <w:rsid w:val="5A363A8E"/>
    <w:rsid w:val="5AD53BEC"/>
    <w:rsid w:val="5AE90FB3"/>
    <w:rsid w:val="5B532BE1"/>
    <w:rsid w:val="5B88343B"/>
    <w:rsid w:val="5B8930BB"/>
    <w:rsid w:val="5B9047A4"/>
    <w:rsid w:val="5BD844BF"/>
    <w:rsid w:val="5C11209A"/>
    <w:rsid w:val="5C402BE9"/>
    <w:rsid w:val="5C4A56F7"/>
    <w:rsid w:val="5C4D667C"/>
    <w:rsid w:val="5CA8355D"/>
    <w:rsid w:val="5CDB71E4"/>
    <w:rsid w:val="5CEB5280"/>
    <w:rsid w:val="5D1F2257"/>
    <w:rsid w:val="5D4B0B1D"/>
    <w:rsid w:val="5D4F1722"/>
    <w:rsid w:val="5DB7E539"/>
    <w:rsid w:val="5DE4329A"/>
    <w:rsid w:val="5E1E5EED"/>
    <w:rsid w:val="5E5003CB"/>
    <w:rsid w:val="5E687C70"/>
    <w:rsid w:val="5E6B0BF4"/>
    <w:rsid w:val="5EF6586C"/>
    <w:rsid w:val="5F006EEA"/>
    <w:rsid w:val="5F12521B"/>
    <w:rsid w:val="5F125F0A"/>
    <w:rsid w:val="5F1E649A"/>
    <w:rsid w:val="5F303AA6"/>
    <w:rsid w:val="5F3215AC"/>
    <w:rsid w:val="5F330F86"/>
    <w:rsid w:val="5F451BDC"/>
    <w:rsid w:val="5F857143"/>
    <w:rsid w:val="5FC66615"/>
    <w:rsid w:val="5FCC5339"/>
    <w:rsid w:val="5FD27242"/>
    <w:rsid w:val="5FE03FD9"/>
    <w:rsid w:val="600D5798"/>
    <w:rsid w:val="604B6F0C"/>
    <w:rsid w:val="60541D9A"/>
    <w:rsid w:val="606232AE"/>
    <w:rsid w:val="60AE372D"/>
    <w:rsid w:val="60C62FD2"/>
    <w:rsid w:val="60F32B9D"/>
    <w:rsid w:val="61747C73"/>
    <w:rsid w:val="61803A85"/>
    <w:rsid w:val="618D7518"/>
    <w:rsid w:val="61967E27"/>
    <w:rsid w:val="61CE3805"/>
    <w:rsid w:val="620B7DE6"/>
    <w:rsid w:val="62B372FA"/>
    <w:rsid w:val="62C9149E"/>
    <w:rsid w:val="62DD39C2"/>
    <w:rsid w:val="63130619"/>
    <w:rsid w:val="63793840"/>
    <w:rsid w:val="63BA20AB"/>
    <w:rsid w:val="63FF151B"/>
    <w:rsid w:val="6441108B"/>
    <w:rsid w:val="646856C7"/>
    <w:rsid w:val="64710555"/>
    <w:rsid w:val="64BF1959"/>
    <w:rsid w:val="64F14763"/>
    <w:rsid w:val="6510045E"/>
    <w:rsid w:val="651D3EF1"/>
    <w:rsid w:val="65305110"/>
    <w:rsid w:val="65724C80"/>
    <w:rsid w:val="65A645AF"/>
    <w:rsid w:val="66541127"/>
    <w:rsid w:val="66720F9F"/>
    <w:rsid w:val="66B14307"/>
    <w:rsid w:val="66B87515"/>
    <w:rsid w:val="66B97195"/>
    <w:rsid w:val="66C95231"/>
    <w:rsid w:val="66DACB0B"/>
    <w:rsid w:val="674C6704"/>
    <w:rsid w:val="6754171A"/>
    <w:rsid w:val="67CA3F5C"/>
    <w:rsid w:val="67F33A1A"/>
    <w:rsid w:val="67FD1DAB"/>
    <w:rsid w:val="68220CE6"/>
    <w:rsid w:val="684C53AD"/>
    <w:rsid w:val="685272B7"/>
    <w:rsid w:val="686D58E2"/>
    <w:rsid w:val="68953223"/>
    <w:rsid w:val="689A4838"/>
    <w:rsid w:val="68A04E37"/>
    <w:rsid w:val="68A6703D"/>
    <w:rsid w:val="68DD1419"/>
    <w:rsid w:val="68FF4E51"/>
    <w:rsid w:val="694F5ED5"/>
    <w:rsid w:val="695F06ED"/>
    <w:rsid w:val="69706409"/>
    <w:rsid w:val="697BF56A"/>
    <w:rsid w:val="69A27EDD"/>
    <w:rsid w:val="69C14F0F"/>
    <w:rsid w:val="69C16311"/>
    <w:rsid w:val="69E179C2"/>
    <w:rsid w:val="69E25443"/>
    <w:rsid w:val="6A037436"/>
    <w:rsid w:val="6A241853"/>
    <w:rsid w:val="6A285BB8"/>
    <w:rsid w:val="6A5F0290"/>
    <w:rsid w:val="6B5F36B6"/>
    <w:rsid w:val="6B627EBE"/>
    <w:rsid w:val="6B6CE30F"/>
    <w:rsid w:val="6B9C351B"/>
    <w:rsid w:val="6BC333DB"/>
    <w:rsid w:val="6BF02FA5"/>
    <w:rsid w:val="6C6E0039"/>
    <w:rsid w:val="6C7F1319"/>
    <w:rsid w:val="6C943AB3"/>
    <w:rsid w:val="6D162D88"/>
    <w:rsid w:val="6D293FA7"/>
    <w:rsid w:val="6D4425D2"/>
    <w:rsid w:val="6D783D26"/>
    <w:rsid w:val="6DDF74AC"/>
    <w:rsid w:val="6DF758F9"/>
    <w:rsid w:val="6E1A189A"/>
    <w:rsid w:val="6E2F12D6"/>
    <w:rsid w:val="6E324C1E"/>
    <w:rsid w:val="6E5E2D1F"/>
    <w:rsid w:val="6E655F2D"/>
    <w:rsid w:val="6E744EC2"/>
    <w:rsid w:val="6E7838C8"/>
    <w:rsid w:val="6E8468DA"/>
    <w:rsid w:val="6E992F04"/>
    <w:rsid w:val="6EB724B4"/>
    <w:rsid w:val="6F034B31"/>
    <w:rsid w:val="6F262767"/>
    <w:rsid w:val="6F2E7B74"/>
    <w:rsid w:val="6F89280C"/>
    <w:rsid w:val="6F9B2726"/>
    <w:rsid w:val="6FAF0D8D"/>
    <w:rsid w:val="6FCFCADC"/>
    <w:rsid w:val="6FFA4FE6"/>
    <w:rsid w:val="6FFB3825"/>
    <w:rsid w:val="70206203"/>
    <w:rsid w:val="70213C84"/>
    <w:rsid w:val="70500F50"/>
    <w:rsid w:val="70915369"/>
    <w:rsid w:val="70CD3D9D"/>
    <w:rsid w:val="70E64CC7"/>
    <w:rsid w:val="70FE7DEF"/>
    <w:rsid w:val="71033AE0"/>
    <w:rsid w:val="712A66B5"/>
    <w:rsid w:val="71411B5D"/>
    <w:rsid w:val="71681A1D"/>
    <w:rsid w:val="71737DAE"/>
    <w:rsid w:val="718421E7"/>
    <w:rsid w:val="71F81B46"/>
    <w:rsid w:val="72422A05"/>
    <w:rsid w:val="72A439A3"/>
    <w:rsid w:val="72EA668A"/>
    <w:rsid w:val="72EC1B99"/>
    <w:rsid w:val="73372F12"/>
    <w:rsid w:val="73532842"/>
    <w:rsid w:val="73730B78"/>
    <w:rsid w:val="73843011"/>
    <w:rsid w:val="738D54BA"/>
    <w:rsid w:val="73912327"/>
    <w:rsid w:val="739E42E4"/>
    <w:rsid w:val="739F4EC0"/>
    <w:rsid w:val="73A47BD6"/>
    <w:rsid w:val="73AF5389"/>
    <w:rsid w:val="73CE218C"/>
    <w:rsid w:val="743047AF"/>
    <w:rsid w:val="745436E9"/>
    <w:rsid w:val="746C550D"/>
    <w:rsid w:val="74B47D52"/>
    <w:rsid w:val="7506350D"/>
    <w:rsid w:val="75763EA7"/>
    <w:rsid w:val="758A3766"/>
    <w:rsid w:val="758D46EB"/>
    <w:rsid w:val="75C15E3F"/>
    <w:rsid w:val="75FB0B04"/>
    <w:rsid w:val="763D100B"/>
    <w:rsid w:val="767B40A9"/>
    <w:rsid w:val="76B64EC4"/>
    <w:rsid w:val="76E35B18"/>
    <w:rsid w:val="7728668A"/>
    <w:rsid w:val="7776200D"/>
    <w:rsid w:val="77BD4980"/>
    <w:rsid w:val="78094853"/>
    <w:rsid w:val="780961C3"/>
    <w:rsid w:val="78476AE2"/>
    <w:rsid w:val="78686F1E"/>
    <w:rsid w:val="789C1DEF"/>
    <w:rsid w:val="78CD346B"/>
    <w:rsid w:val="78D31F49"/>
    <w:rsid w:val="79017595"/>
    <w:rsid w:val="7954379C"/>
    <w:rsid w:val="796752B0"/>
    <w:rsid w:val="79813367"/>
    <w:rsid w:val="798E267C"/>
    <w:rsid w:val="79B00633"/>
    <w:rsid w:val="79BB4445"/>
    <w:rsid w:val="79F7B683"/>
    <w:rsid w:val="79F842AA"/>
    <w:rsid w:val="7A645B58"/>
    <w:rsid w:val="7AA9084B"/>
    <w:rsid w:val="7B683207"/>
    <w:rsid w:val="7BAD4BF5"/>
    <w:rsid w:val="7BD44AB5"/>
    <w:rsid w:val="7C2F194B"/>
    <w:rsid w:val="7C6D39AE"/>
    <w:rsid w:val="7C99137B"/>
    <w:rsid w:val="7D237C5A"/>
    <w:rsid w:val="7D73BCCE"/>
    <w:rsid w:val="7D861EFD"/>
    <w:rsid w:val="7D8B6384"/>
    <w:rsid w:val="7DBD65C0"/>
    <w:rsid w:val="7DC50AE8"/>
    <w:rsid w:val="7DE79FA0"/>
    <w:rsid w:val="7DEBCAFF"/>
    <w:rsid w:val="7DF0192C"/>
    <w:rsid w:val="7DF42531"/>
    <w:rsid w:val="7E2133D9"/>
    <w:rsid w:val="7E7F7BBE"/>
    <w:rsid w:val="7EC2663B"/>
    <w:rsid w:val="7ED60925"/>
    <w:rsid w:val="7EDD8B29"/>
    <w:rsid w:val="7F1D7072"/>
    <w:rsid w:val="7F683717"/>
    <w:rsid w:val="7F9F256C"/>
    <w:rsid w:val="7FA514C2"/>
    <w:rsid w:val="7FD717CD"/>
    <w:rsid w:val="7FE13B98"/>
    <w:rsid w:val="7FE28C02"/>
    <w:rsid w:val="7FE323AB"/>
    <w:rsid w:val="7FF73252"/>
    <w:rsid w:val="7FFDF15C"/>
    <w:rsid w:val="93F36975"/>
    <w:rsid w:val="AADF2E0B"/>
    <w:rsid w:val="AF3F5406"/>
    <w:rsid w:val="B9D2CE32"/>
    <w:rsid w:val="BB7F118A"/>
    <w:rsid w:val="BFDF760F"/>
    <w:rsid w:val="BFFBBED2"/>
    <w:rsid w:val="C7EB2CB0"/>
    <w:rsid w:val="CD2464D5"/>
    <w:rsid w:val="DE7FF6A4"/>
    <w:rsid w:val="DEFF07CB"/>
    <w:rsid w:val="E79BB625"/>
    <w:rsid w:val="EBFF8850"/>
    <w:rsid w:val="F3DAEB57"/>
    <w:rsid w:val="F5B519C8"/>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13</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2017-02-04T07:31:00Z</dcterms:created>
  <dc:creator>null,null,总收发</dc:creator>
  <cp:lastModifiedBy>admin</cp:lastModifiedBy>
  <dcterms:modified xsi:type="dcterms:W3CDTF">2025-02-25T07:36:14Z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44AB89CCE12A43A1B628C4AFF9C0F328</vt:lpwstr>
  </property>
</Properties>
</file>