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858BD">
      <w:pPr>
        <w:spacing w:line="560" w:lineRule="exact"/>
        <w:rPr>
          <w:sz w:val="84"/>
          <w:szCs w:val="84"/>
          <w:u w:val="none"/>
        </w:rPr>
      </w:pPr>
    </w:p>
    <w:p w14:paraId="5A199EF3">
      <w:pPr>
        <w:spacing w:line="560" w:lineRule="exact"/>
        <w:rPr>
          <w:sz w:val="84"/>
          <w:szCs w:val="84"/>
          <w:u w:val="none"/>
        </w:rPr>
      </w:pPr>
    </w:p>
    <w:p w14:paraId="2C669C7C">
      <w:pPr>
        <w:spacing w:line="560" w:lineRule="exact"/>
        <w:rPr>
          <w:sz w:val="84"/>
          <w:szCs w:val="84"/>
          <w:u w:val="none"/>
        </w:rPr>
      </w:pPr>
      <w:bookmarkStart w:id="0" w:name="_GoBack"/>
      <w:bookmarkEnd w:id="0"/>
    </w:p>
    <w:p w14:paraId="49D6B876">
      <w:pPr>
        <w:spacing w:line="560" w:lineRule="exact"/>
        <w:rPr>
          <w:sz w:val="84"/>
          <w:szCs w:val="84"/>
          <w:u w:val="none"/>
        </w:rPr>
      </w:pPr>
    </w:p>
    <w:p w14:paraId="7CA3497B">
      <w:pPr>
        <w:spacing w:line="560" w:lineRule="exact"/>
        <w:jc w:val="center"/>
        <w:rPr>
          <w:rFonts w:hint="eastAsia"/>
          <w:sz w:val="52"/>
          <w:szCs w:val="52"/>
          <w:u w:val="none"/>
          <w:lang w:val="en-US" w:eastAsia="zh-CN"/>
        </w:rPr>
      </w:pPr>
    </w:p>
    <w:p w14:paraId="5D022D53">
      <w:pPr>
        <w:spacing w:line="560" w:lineRule="exact"/>
        <w:jc w:val="center"/>
        <w:rPr>
          <w:rFonts w:hint="eastAsia"/>
          <w:sz w:val="52"/>
          <w:szCs w:val="52"/>
          <w:u w:val="none"/>
          <w:lang w:val="en-US" w:eastAsia="zh-CN"/>
        </w:rPr>
      </w:pPr>
    </w:p>
    <w:p w14:paraId="5082382A">
      <w:pPr>
        <w:spacing w:line="560" w:lineRule="exact"/>
        <w:jc w:val="center"/>
        <w:rPr>
          <w:rFonts w:hint="eastAsia"/>
          <w:sz w:val="52"/>
          <w:szCs w:val="52"/>
          <w:u w:val="none"/>
          <w:lang w:val="en-US" w:eastAsia="zh-CN"/>
        </w:rPr>
      </w:pPr>
    </w:p>
    <w:p w14:paraId="6D2F8000">
      <w:pPr>
        <w:spacing w:line="560" w:lineRule="exact"/>
        <w:jc w:val="center"/>
        <w:rPr>
          <w:rFonts w:hint="eastAsia"/>
          <w:sz w:val="52"/>
          <w:szCs w:val="52"/>
          <w:u w:val="none"/>
          <w:lang w:val="en-US" w:eastAsia="zh-CN"/>
        </w:rPr>
      </w:pPr>
    </w:p>
    <w:p w14:paraId="3FFB36A4">
      <w:pPr>
        <w:spacing w:line="560" w:lineRule="exact"/>
        <w:jc w:val="center"/>
        <w:rPr>
          <w:rFonts w:hint="eastAsia"/>
          <w:sz w:val="52"/>
          <w:szCs w:val="52"/>
          <w:u w:val="none"/>
          <w:lang w:val="en-US" w:eastAsia="zh-CN"/>
        </w:rPr>
      </w:pPr>
    </w:p>
    <w:p w14:paraId="3729148D">
      <w:pPr>
        <w:spacing w:line="560" w:lineRule="exact"/>
        <w:jc w:val="center"/>
        <w:rPr>
          <w:rFonts w:hint="eastAsia"/>
          <w:sz w:val="48"/>
          <w:szCs w:val="48"/>
          <w:u w:val="none"/>
          <w:lang w:val="en-US" w:eastAsia="zh-CN"/>
        </w:rPr>
      </w:pPr>
    </w:p>
    <w:p w14:paraId="77BFD7C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8"/>
          <w:szCs w:val="48"/>
          <w:u w:val="none"/>
        </w:rPr>
      </w:pPr>
      <w:r>
        <w:rPr>
          <w:rFonts w:hint="eastAsia" w:ascii="方正小标宋简体" w:hAnsi="方正小标宋简体" w:eastAsia="方正小标宋简体" w:cs="方正小标宋简体"/>
          <w:b w:val="0"/>
          <w:bCs w:val="0"/>
          <w:sz w:val="48"/>
          <w:szCs w:val="48"/>
          <w:u w:val="none"/>
          <w:lang w:val="en-US" w:eastAsia="zh-CN"/>
        </w:rPr>
        <w:t>白沙黎族自治县人民政府办公室综合事务中心</w:t>
      </w:r>
      <w:r>
        <w:rPr>
          <w:rFonts w:hint="eastAsia" w:ascii="方正小标宋简体" w:hAnsi="方正小标宋简体" w:eastAsia="方正小标宋简体" w:cs="方正小标宋简体"/>
          <w:b w:val="0"/>
          <w:bCs w:val="0"/>
          <w:i w:val="0"/>
          <w:caps w:val="0"/>
          <w:color w:val="auto"/>
          <w:spacing w:val="0"/>
          <w:sz w:val="48"/>
          <w:szCs w:val="48"/>
          <w:u w:val="none"/>
          <w:shd w:val="clear" w:fill="auto"/>
        </w:rPr>
        <w:t>2026年度预算公开报告</w:t>
      </w:r>
    </w:p>
    <w:p w14:paraId="1E4BA5C2">
      <w:pPr>
        <w:spacing w:line="560" w:lineRule="exact"/>
        <w:ind w:firstLine="1680"/>
        <w:jc w:val="center"/>
        <w:rPr>
          <w:sz w:val="84"/>
          <w:szCs w:val="84"/>
          <w:u w:val="none"/>
        </w:rPr>
      </w:pPr>
    </w:p>
    <w:p w14:paraId="05F32BF1">
      <w:pPr>
        <w:spacing w:line="560" w:lineRule="exact"/>
        <w:ind w:firstLine="1680"/>
        <w:jc w:val="center"/>
        <w:rPr>
          <w:sz w:val="84"/>
          <w:szCs w:val="84"/>
          <w:u w:val="none"/>
        </w:rPr>
      </w:pPr>
    </w:p>
    <w:p w14:paraId="7D03AFF0">
      <w:pPr>
        <w:spacing w:line="560" w:lineRule="exact"/>
        <w:ind w:firstLine="1680"/>
        <w:jc w:val="center"/>
        <w:rPr>
          <w:sz w:val="84"/>
          <w:szCs w:val="84"/>
          <w:u w:val="none"/>
        </w:rPr>
      </w:pPr>
    </w:p>
    <w:p w14:paraId="372FAC26">
      <w:pPr>
        <w:spacing w:line="560" w:lineRule="exact"/>
        <w:ind w:firstLine="1680"/>
        <w:jc w:val="center"/>
        <w:rPr>
          <w:sz w:val="84"/>
          <w:szCs w:val="84"/>
          <w:u w:val="none"/>
        </w:rPr>
      </w:pPr>
    </w:p>
    <w:p w14:paraId="7FC1777E">
      <w:pPr>
        <w:spacing w:line="560" w:lineRule="exact"/>
        <w:rPr>
          <w:sz w:val="84"/>
          <w:szCs w:val="84"/>
          <w:u w:val="none"/>
        </w:rPr>
      </w:pPr>
      <w:r>
        <w:rPr>
          <w:sz w:val="84"/>
          <w:szCs w:val="84"/>
          <w:u w:val="none"/>
        </w:rPr>
        <w:br w:type="page"/>
      </w:r>
    </w:p>
    <w:p w14:paraId="4A54CF1C">
      <w:pPr>
        <w:spacing w:line="560" w:lineRule="exact"/>
        <w:jc w:val="center"/>
        <w:rPr>
          <w:rFonts w:hint="eastAsia" w:ascii="黑体" w:hAnsi="黑体" w:eastAsia="黑体"/>
          <w:sz w:val="52"/>
          <w:szCs w:val="52"/>
          <w:u w:val="none"/>
        </w:rPr>
      </w:pPr>
      <w:r>
        <w:rPr>
          <w:rFonts w:hint="eastAsia" w:ascii="黑体" w:hAnsi="黑体" w:eastAsia="黑体"/>
          <w:sz w:val="52"/>
          <w:szCs w:val="52"/>
          <w:u w:val="none"/>
        </w:rPr>
        <w:t>目录</w:t>
      </w:r>
    </w:p>
    <w:p w14:paraId="252A7880">
      <w:pPr>
        <w:pStyle w:val="7"/>
        <w:numPr>
          <w:ilvl w:val="-1"/>
          <w:numId w:val="0"/>
        </w:numPr>
        <w:spacing w:line="560" w:lineRule="exact"/>
        <w:ind w:left="0" w:firstLine="0" w:firstLineChars="0"/>
        <w:jc w:val="left"/>
        <w:rPr>
          <w:rFonts w:hint="eastAsia" w:ascii="方正黑体_GBK" w:hAnsi="方正黑体_GBK" w:eastAsia="方正黑体_GBK" w:cs="方正黑体_GBK"/>
          <w:sz w:val="32"/>
          <w:szCs w:val="32"/>
          <w:u w:val="none"/>
        </w:rPr>
      </w:pPr>
    </w:p>
    <w:p w14:paraId="0914CAF9">
      <w:pPr>
        <w:pStyle w:val="7"/>
        <w:numPr>
          <w:ilvl w:val="0"/>
          <w:numId w:val="1"/>
        </w:numPr>
        <w:spacing w:line="560" w:lineRule="exact"/>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白沙黎族自治县人民政府办公室综合事务中心</w:t>
      </w:r>
      <w:r>
        <w:rPr>
          <w:rFonts w:hint="eastAsia" w:ascii="黑体" w:hAnsi="黑体" w:eastAsia="黑体" w:cs="黑体"/>
          <w:sz w:val="32"/>
          <w:szCs w:val="32"/>
          <w:u w:val="none"/>
        </w:rPr>
        <w:t>概况</w:t>
      </w:r>
    </w:p>
    <w:p w14:paraId="7428230E">
      <w:pPr>
        <w:pStyle w:val="7"/>
        <w:numPr>
          <w:ilvl w:val="-1"/>
          <w:numId w:val="0"/>
        </w:numPr>
        <w:spacing w:line="560" w:lineRule="exact"/>
        <w:ind w:left="0" w:firstLine="0" w:firstLineChars="0"/>
        <w:jc w:val="left"/>
        <w:rPr>
          <w:rFonts w:hint="eastAsia" w:ascii="黑体" w:hAnsi="黑体" w:eastAsia="黑体" w:cs="黑体"/>
          <w:sz w:val="32"/>
          <w:szCs w:val="32"/>
          <w:u w:val="none"/>
        </w:rPr>
      </w:pPr>
      <w:r>
        <w:rPr>
          <w:rFonts w:hint="eastAsia" w:ascii="黑体" w:hAnsi="黑体" w:eastAsia="黑体" w:cs="黑体"/>
          <w:sz w:val="32"/>
          <w:szCs w:val="32"/>
          <w:u w:val="none"/>
          <w:lang w:eastAsia="zh-CN"/>
        </w:rPr>
        <w:t>一、</w:t>
      </w:r>
      <w:r>
        <w:rPr>
          <w:rFonts w:hint="eastAsia" w:ascii="黑体" w:hAnsi="黑体" w:eastAsia="黑体" w:cs="黑体"/>
          <w:sz w:val="32"/>
          <w:szCs w:val="32"/>
          <w:u w:val="none"/>
        </w:rPr>
        <w:t>主要职能</w:t>
      </w:r>
    </w:p>
    <w:p w14:paraId="44D124CF">
      <w:pPr>
        <w:pStyle w:val="7"/>
        <w:numPr>
          <w:ilvl w:val="-1"/>
          <w:numId w:val="0"/>
        </w:numPr>
        <w:spacing w:line="560" w:lineRule="exact"/>
        <w:ind w:left="0" w:firstLine="0" w:firstLineChars="0"/>
        <w:jc w:val="left"/>
        <w:rPr>
          <w:rFonts w:hint="eastAsia" w:ascii="黑体" w:hAnsi="黑体" w:eastAsia="黑体"/>
          <w:sz w:val="32"/>
          <w:szCs w:val="32"/>
          <w:u w:val="none"/>
        </w:rPr>
      </w:pPr>
      <w:r>
        <w:rPr>
          <w:rFonts w:hint="eastAsia" w:ascii="黑体" w:hAnsi="黑体" w:eastAsia="黑体" w:cs="黑体"/>
          <w:sz w:val="32"/>
          <w:szCs w:val="32"/>
          <w:u w:val="none"/>
          <w:lang w:eastAsia="zh-CN"/>
        </w:rPr>
        <w:t>二、机构设置</w:t>
      </w:r>
    </w:p>
    <w:p w14:paraId="2181EC65">
      <w:pPr>
        <w:pStyle w:val="7"/>
        <w:numPr>
          <w:ilvl w:val="0"/>
          <w:numId w:val="1"/>
        </w:numPr>
        <w:spacing w:line="560" w:lineRule="exact"/>
        <w:ind w:firstLineChars="0"/>
        <w:jc w:val="left"/>
        <w:rPr>
          <w:rFonts w:hint="eastAsia" w:ascii="黑体" w:hAnsi="黑体" w:eastAsia="黑体" w:cs="黑体"/>
          <w:sz w:val="32"/>
          <w:szCs w:val="32"/>
          <w:u w:val="none"/>
        </w:rPr>
      </w:pPr>
      <w:r>
        <w:rPr>
          <w:rFonts w:hint="eastAsia" w:ascii="黑体" w:hAnsi="黑体" w:eastAsia="黑体"/>
          <w:sz w:val="32"/>
          <w:szCs w:val="32"/>
          <w:u w:val="none"/>
        </w:rPr>
        <w:t xml:space="preserve"> </w:t>
      </w:r>
      <w:r>
        <w:rPr>
          <w:rFonts w:hint="eastAsia" w:ascii="黑体" w:hAnsi="黑体" w:eastAsia="黑体" w:cs="黑体"/>
          <w:sz w:val="32"/>
          <w:szCs w:val="32"/>
          <w:u w:val="none"/>
          <w:lang w:val="en-US" w:eastAsia="zh-CN"/>
        </w:rPr>
        <w:t>2026</w:t>
      </w:r>
      <w:r>
        <w:rPr>
          <w:rFonts w:hint="eastAsia" w:ascii="黑体" w:hAnsi="黑体" w:eastAsia="黑体" w:cs="黑体"/>
          <w:sz w:val="32"/>
          <w:szCs w:val="32"/>
          <w:u w:val="none"/>
        </w:rPr>
        <w:t>年</w:t>
      </w:r>
      <w:r>
        <w:rPr>
          <w:rFonts w:hint="eastAsia" w:ascii="黑体" w:hAnsi="黑体" w:eastAsia="黑体"/>
          <w:sz w:val="32"/>
          <w:szCs w:val="32"/>
          <w:u w:val="none"/>
          <w:lang w:val="en-US" w:eastAsia="zh-CN"/>
        </w:rPr>
        <w:t>白沙黎族自治县人民政府办公室综合事务中心</w:t>
      </w:r>
      <w:r>
        <w:rPr>
          <w:rFonts w:hint="eastAsia" w:ascii="黑体" w:hAnsi="黑体" w:eastAsia="黑体" w:cs="黑体"/>
          <w:sz w:val="32"/>
          <w:szCs w:val="32"/>
          <w:u w:val="none"/>
        </w:rPr>
        <w:t>预算表</w:t>
      </w:r>
    </w:p>
    <w:p w14:paraId="56599BC2">
      <w:pPr>
        <w:pStyle w:val="7"/>
        <w:numPr>
          <w:ilvl w:val="0"/>
          <w:numId w:val="2"/>
        </w:numPr>
        <w:spacing w:line="560" w:lineRule="exact"/>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14:paraId="658600FD">
      <w:pPr>
        <w:pStyle w:val="7"/>
        <w:numPr>
          <w:ilvl w:val="0"/>
          <w:numId w:val="2"/>
        </w:numPr>
        <w:spacing w:line="560" w:lineRule="exact"/>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14:paraId="71C843D4">
      <w:pPr>
        <w:pStyle w:val="7"/>
        <w:numPr>
          <w:ilvl w:val="0"/>
          <w:numId w:val="2"/>
        </w:numPr>
        <w:spacing w:line="560" w:lineRule="exact"/>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14:paraId="02C18EE7">
      <w:pPr>
        <w:pStyle w:val="7"/>
        <w:numPr>
          <w:ilvl w:val="0"/>
          <w:numId w:val="2"/>
        </w:numPr>
        <w:spacing w:line="560" w:lineRule="exact"/>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14:paraId="3F0B21F9">
      <w:pPr>
        <w:pStyle w:val="7"/>
        <w:numPr>
          <w:ilvl w:val="0"/>
          <w:numId w:val="2"/>
        </w:numPr>
        <w:spacing w:line="560" w:lineRule="exact"/>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14:paraId="5138C22D">
      <w:pPr>
        <w:pStyle w:val="7"/>
        <w:numPr>
          <w:ilvl w:val="0"/>
          <w:numId w:val="2"/>
        </w:numPr>
        <w:spacing w:line="560" w:lineRule="exact"/>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14:paraId="7AE5C507">
      <w:pPr>
        <w:pStyle w:val="7"/>
        <w:numPr>
          <w:ilvl w:val="0"/>
          <w:numId w:val="2"/>
        </w:numPr>
        <w:spacing w:line="560" w:lineRule="exact"/>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788926E6">
      <w:pPr>
        <w:pStyle w:val="7"/>
        <w:numPr>
          <w:ilvl w:val="0"/>
          <w:numId w:val="2"/>
        </w:numPr>
        <w:spacing w:line="560" w:lineRule="exact"/>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单位</w:t>
      </w:r>
      <w:r>
        <w:rPr>
          <w:rFonts w:hint="eastAsia" w:ascii="仿宋_GB2312" w:hAnsi="仿宋_GB2312" w:eastAsia="仿宋_GB2312" w:cs="仿宋_GB2312"/>
          <w:sz w:val="32"/>
          <w:szCs w:val="32"/>
          <w:u w:val="none"/>
        </w:rPr>
        <w:t>收支总表</w:t>
      </w:r>
    </w:p>
    <w:p w14:paraId="2A3AA532">
      <w:pPr>
        <w:pStyle w:val="7"/>
        <w:numPr>
          <w:ilvl w:val="0"/>
          <w:numId w:val="2"/>
        </w:numPr>
        <w:spacing w:line="560" w:lineRule="exact"/>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14:paraId="45D82DDD">
      <w:pPr>
        <w:pStyle w:val="7"/>
        <w:numPr>
          <w:ilvl w:val="0"/>
          <w:numId w:val="2"/>
        </w:numPr>
        <w:spacing w:line="560" w:lineRule="exact"/>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14:paraId="3888B18C">
      <w:pPr>
        <w:pStyle w:val="7"/>
        <w:numPr>
          <w:ilvl w:val="0"/>
          <w:numId w:val="2"/>
        </w:numPr>
        <w:spacing w:line="560" w:lineRule="exact"/>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14:paraId="18D0636B">
      <w:pPr>
        <w:pStyle w:val="7"/>
        <w:numPr>
          <w:ilvl w:val="0"/>
          <w:numId w:val="0"/>
        </w:numPr>
        <w:spacing w:line="240" w:lineRule="auto"/>
        <w:ind w:left="1600" w:hanging="1600" w:hangingChars="500"/>
        <w:jc w:val="left"/>
        <w:rPr>
          <w:rFonts w:hint="eastAsia" w:ascii="黑体" w:hAnsi="黑体" w:eastAsia="黑体" w:cs="黑体"/>
          <w:sz w:val="32"/>
          <w:szCs w:val="32"/>
          <w:u w:val="none"/>
        </w:rPr>
      </w:pPr>
      <w:r>
        <w:rPr>
          <w:rFonts w:hint="eastAsia" w:ascii="黑体" w:hAnsi="黑体" w:eastAsia="黑体"/>
          <w:sz w:val="32"/>
          <w:szCs w:val="32"/>
          <w:u w:val="none"/>
          <w:lang w:val="en-US" w:eastAsia="zh-CN"/>
        </w:rPr>
        <w:t xml:space="preserve">第三部分  </w:t>
      </w:r>
      <w:r>
        <w:rPr>
          <w:rFonts w:hint="eastAsia" w:ascii="黑体" w:hAnsi="黑体" w:eastAsia="黑体" w:cs="黑体"/>
          <w:sz w:val="32"/>
          <w:szCs w:val="32"/>
          <w:u w:val="none"/>
          <w:lang w:val="en-US" w:eastAsia="zh-CN"/>
        </w:rPr>
        <w:t>2026</w:t>
      </w:r>
      <w:r>
        <w:rPr>
          <w:rFonts w:hint="eastAsia" w:ascii="黑体" w:hAnsi="黑体" w:eastAsia="黑体" w:cs="黑体"/>
          <w:sz w:val="32"/>
          <w:szCs w:val="32"/>
          <w:u w:val="none"/>
        </w:rPr>
        <w:t>年</w:t>
      </w:r>
      <w:r>
        <w:rPr>
          <w:rFonts w:hint="eastAsia" w:ascii="黑体" w:hAnsi="黑体" w:eastAsia="黑体"/>
          <w:sz w:val="32"/>
          <w:szCs w:val="32"/>
          <w:u w:val="none"/>
          <w:lang w:val="en-US" w:eastAsia="zh-CN"/>
        </w:rPr>
        <w:t>白沙黎族自治县人民政府办公室综合事务中  心</w:t>
      </w:r>
      <w:r>
        <w:rPr>
          <w:rFonts w:hint="eastAsia" w:ascii="黑体" w:hAnsi="黑体" w:eastAsia="黑体" w:cs="黑体"/>
          <w:sz w:val="32"/>
          <w:szCs w:val="32"/>
          <w:u w:val="none"/>
        </w:rPr>
        <w:t>预算情况说明</w:t>
      </w:r>
    </w:p>
    <w:p w14:paraId="2C391459">
      <w:pPr>
        <w:pStyle w:val="7"/>
        <w:numPr>
          <w:ilvl w:val="0"/>
          <w:numId w:val="0"/>
        </w:numPr>
        <w:spacing w:line="560" w:lineRule="exact"/>
        <w:ind w:left="0" w:firstLineChars="0"/>
        <w:jc w:val="left"/>
        <w:rPr>
          <w:rFonts w:hint="eastAsia" w:ascii="黑体" w:hAnsi="黑体" w:eastAsia="黑体" w:cs="黑体"/>
          <w:sz w:val="32"/>
          <w:szCs w:val="32"/>
          <w:u w:val="none"/>
        </w:rPr>
      </w:pPr>
      <w:r>
        <w:rPr>
          <w:rFonts w:hint="eastAsia" w:ascii="黑体" w:hAnsi="黑体" w:eastAsia="黑体"/>
          <w:sz w:val="32"/>
          <w:szCs w:val="32"/>
          <w:u w:val="none"/>
          <w:lang w:val="en-US" w:eastAsia="zh-CN"/>
        </w:rPr>
        <w:t>第四部分</w:t>
      </w:r>
      <w:r>
        <w:rPr>
          <w:rFonts w:hint="eastAsia" w:ascii="黑体" w:hAnsi="黑体" w:eastAsia="黑体"/>
          <w:sz w:val="32"/>
          <w:szCs w:val="32"/>
          <w:u w:val="none"/>
        </w:rPr>
        <w:t xml:space="preserve">  名词解释</w:t>
      </w:r>
    </w:p>
    <w:p w14:paraId="0602264E">
      <w:pPr>
        <w:spacing w:line="560" w:lineRule="exact"/>
        <w:jc w:val="left"/>
        <w:rPr>
          <w:rFonts w:ascii="黑体" w:hAnsi="黑体" w:eastAsia="黑体"/>
          <w:sz w:val="32"/>
          <w:szCs w:val="32"/>
          <w:u w:val="none"/>
        </w:rPr>
      </w:pPr>
    </w:p>
    <w:p w14:paraId="2465232A">
      <w:pPr>
        <w:spacing w:line="560" w:lineRule="exact"/>
        <w:jc w:val="left"/>
        <w:rPr>
          <w:rFonts w:ascii="黑体" w:hAnsi="黑体" w:eastAsia="黑体"/>
          <w:sz w:val="32"/>
          <w:szCs w:val="32"/>
          <w:u w:val="none"/>
        </w:rPr>
      </w:pPr>
    </w:p>
    <w:p w14:paraId="61B56167">
      <w:pPr>
        <w:spacing w:line="560" w:lineRule="exact"/>
        <w:jc w:val="left"/>
        <w:rPr>
          <w:rFonts w:ascii="黑体" w:hAnsi="黑体" w:eastAsia="黑体"/>
          <w:sz w:val="32"/>
          <w:szCs w:val="32"/>
          <w:u w:val="none"/>
        </w:rPr>
      </w:pPr>
    </w:p>
    <w:p w14:paraId="30E0559F">
      <w:pPr>
        <w:spacing w:line="560" w:lineRule="exact"/>
        <w:jc w:val="left"/>
        <w:rPr>
          <w:rFonts w:ascii="黑体" w:hAnsi="黑体" w:eastAsia="黑体"/>
          <w:sz w:val="32"/>
          <w:szCs w:val="32"/>
          <w:u w:val="none"/>
        </w:rPr>
      </w:pPr>
    </w:p>
    <w:p w14:paraId="46154119">
      <w:pPr>
        <w:spacing w:line="560" w:lineRule="exact"/>
        <w:jc w:val="left"/>
        <w:rPr>
          <w:rFonts w:ascii="黑体" w:hAnsi="黑体" w:eastAsia="黑体"/>
          <w:sz w:val="32"/>
          <w:szCs w:val="32"/>
          <w:u w:val="none"/>
        </w:rPr>
      </w:pPr>
    </w:p>
    <w:p w14:paraId="6D0D116C">
      <w:pPr>
        <w:pStyle w:val="7"/>
        <w:numPr>
          <w:ilvl w:val="0"/>
          <w:numId w:val="3"/>
        </w:numPr>
        <w:spacing w:line="560" w:lineRule="exact"/>
        <w:ind w:firstLineChars="0"/>
        <w:jc w:val="center"/>
        <w:rPr>
          <w:rFonts w:ascii="仿宋_GB2312" w:hAnsi="仿宋_GB2312" w:eastAsia="仿宋_GB2312" w:cs="仿宋_GB2312"/>
          <w:sz w:val="32"/>
          <w:szCs w:val="32"/>
          <w:u w:val="none"/>
        </w:rPr>
      </w:pPr>
      <w:r>
        <w:rPr>
          <w:rFonts w:hint="eastAsia" w:ascii="方正黑体_GBK" w:hAnsi="方正黑体_GBK" w:eastAsia="方正黑体_GBK" w:cs="方正黑体_GBK"/>
          <w:sz w:val="32"/>
          <w:szCs w:val="32"/>
          <w:u w:val="none"/>
          <w:lang w:val="en-US" w:eastAsia="zh-CN"/>
        </w:rPr>
        <w:t xml:space="preserve"> 白沙黎族自治县人民政府办公室综合事务中心</w:t>
      </w:r>
      <w:r>
        <w:rPr>
          <w:rFonts w:hint="eastAsia" w:ascii="方正黑体_GBK" w:hAnsi="方正黑体_GBK" w:eastAsia="方正黑体_GBK" w:cs="方正黑体_GBK"/>
          <w:sz w:val="32"/>
          <w:szCs w:val="32"/>
          <w:u w:val="none"/>
        </w:rPr>
        <w:t>概况</w:t>
      </w:r>
    </w:p>
    <w:p w14:paraId="0629ECE3">
      <w:pPr>
        <w:pStyle w:val="7"/>
        <w:numPr>
          <w:ilvl w:val="-1"/>
          <w:numId w:val="0"/>
        </w:numPr>
        <w:spacing w:line="560" w:lineRule="exact"/>
        <w:ind w:left="0" w:firstLine="960" w:firstLineChars="300"/>
        <w:jc w:val="left"/>
        <w:rPr>
          <w:rFonts w:hint="eastAsia" w:ascii="黑体" w:hAnsi="黑体" w:eastAsia="黑体" w:cs="仿宋_GB2312"/>
          <w:sz w:val="32"/>
          <w:szCs w:val="32"/>
          <w:u w:val="none"/>
        </w:rPr>
      </w:pPr>
      <w:r>
        <w:rPr>
          <w:rFonts w:hint="eastAsia" w:ascii="黑体" w:hAnsi="黑体" w:eastAsia="黑体" w:cs="仿宋_GB2312"/>
          <w:sz w:val="32"/>
          <w:szCs w:val="32"/>
          <w:u w:val="none"/>
          <w:lang w:val="en-US" w:eastAsia="zh-CN"/>
        </w:rPr>
        <w:t>一、</w:t>
      </w:r>
      <w:r>
        <w:rPr>
          <w:rFonts w:hint="eastAsia" w:ascii="黑体" w:hAnsi="黑体" w:eastAsia="黑体" w:cs="仿宋_GB2312"/>
          <w:sz w:val="32"/>
          <w:szCs w:val="32"/>
          <w:u w:val="none"/>
        </w:rPr>
        <w:t>主要职能</w:t>
      </w:r>
    </w:p>
    <w:p w14:paraId="19DD419E">
      <w:pPr>
        <w:pStyle w:val="2"/>
        <w:keepNext w:val="0"/>
        <w:keepLines w:val="0"/>
        <w:pageBreakBefore w:val="0"/>
        <w:widowControl w:val="0"/>
        <w:kinsoku/>
        <w:wordWrap/>
        <w:overflowPunct/>
        <w:topLinePunct w:val="0"/>
        <w:autoSpaceDE/>
        <w:autoSpaceDN/>
        <w:bidi w:val="0"/>
        <w:adjustRightInd/>
        <w:snapToGrid/>
        <w:spacing w:before="0" w:afterLines="0" w:line="560" w:lineRule="exact"/>
        <w:ind w:right="0" w:firstLine="676"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(一)贯彻执行国家、省关于金融工作的方针政</w:t>
      </w:r>
      <w:r>
        <w:rPr>
          <w:rFonts w:hint="eastAsia" w:ascii="仿宋_GB2312" w:hAnsi="仿宋_GB2312" w:eastAsia="仿宋_GB2312" w:cs="仿宋_GB2312"/>
          <w:spacing w:val="8"/>
          <w:sz w:val="32"/>
          <w:szCs w:val="32"/>
        </w:rPr>
        <w:t>策和法律法</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规，执行县委、县政府关于发展地方金融业的意见和部署。</w:t>
      </w:r>
    </w:p>
    <w:p w14:paraId="30D66B6E">
      <w:pPr>
        <w:pStyle w:val="2"/>
        <w:keepNext w:val="0"/>
        <w:keepLines w:val="0"/>
        <w:pageBreakBefore w:val="0"/>
        <w:widowControl w:val="0"/>
        <w:kinsoku/>
        <w:wordWrap/>
        <w:overflowPunct/>
        <w:topLinePunct w:val="0"/>
        <w:autoSpaceDE/>
        <w:autoSpaceDN/>
        <w:bidi w:val="0"/>
        <w:adjustRightInd/>
        <w:snapToGrid/>
        <w:spacing w:before="0" w:beforeLines="0" w:afterLines="0" w:line="560" w:lineRule="exact"/>
        <w:ind w:firstLine="648"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(二)协助县政府办公室指导金融企业党建、“7+4”类金融</w:t>
      </w:r>
      <w:r>
        <w:rPr>
          <w:rFonts w:hint="eastAsia" w:ascii="仿宋_GB2312" w:hAnsi="仿宋_GB2312" w:eastAsia="仿宋_GB2312" w:cs="仿宋_GB2312"/>
          <w:spacing w:val="18"/>
          <w:sz w:val="32"/>
          <w:szCs w:val="32"/>
        </w:rPr>
        <w:t xml:space="preserve"> </w:t>
      </w:r>
      <w:r>
        <w:rPr>
          <w:rFonts w:hint="eastAsia" w:ascii="仿宋_GB2312" w:hAnsi="仿宋_GB2312" w:eastAsia="仿宋_GB2312" w:cs="仿宋_GB2312"/>
          <w:spacing w:val="-4"/>
          <w:sz w:val="32"/>
          <w:szCs w:val="32"/>
        </w:rPr>
        <w:t>机构监管、防范处置金融风险、营造健康优质的金融环境等工作。</w:t>
      </w:r>
    </w:p>
    <w:p w14:paraId="31408A9F">
      <w:pPr>
        <w:pStyle w:val="2"/>
        <w:keepNext w:val="0"/>
        <w:keepLines w:val="0"/>
        <w:pageBreakBefore w:val="0"/>
        <w:widowControl w:val="0"/>
        <w:kinsoku/>
        <w:wordWrap/>
        <w:overflowPunct/>
        <w:topLinePunct w:val="0"/>
        <w:autoSpaceDE/>
        <w:autoSpaceDN/>
        <w:bidi w:val="0"/>
        <w:adjustRightInd/>
        <w:snapToGrid/>
        <w:spacing w:before="0" w:beforeLines="0" w:afterLines="0" w:line="560" w:lineRule="exact"/>
        <w:ind w:firstLine="688"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(三)负责银行业、保险业等金融机构的联系</w:t>
      </w:r>
      <w:r>
        <w:rPr>
          <w:rFonts w:hint="eastAsia" w:ascii="仿宋_GB2312" w:hAnsi="仿宋_GB2312" w:eastAsia="仿宋_GB2312" w:cs="仿宋_GB2312"/>
          <w:spacing w:val="11"/>
          <w:sz w:val="32"/>
          <w:szCs w:val="32"/>
        </w:rPr>
        <w:t>和服务。</w:t>
      </w:r>
    </w:p>
    <w:p w14:paraId="7F4D46CC">
      <w:pPr>
        <w:pStyle w:val="2"/>
        <w:keepNext w:val="0"/>
        <w:keepLines w:val="0"/>
        <w:pageBreakBefore w:val="0"/>
        <w:widowControl w:val="0"/>
        <w:kinsoku/>
        <w:wordWrap/>
        <w:overflowPunct/>
        <w:topLinePunct w:val="0"/>
        <w:autoSpaceDE/>
        <w:autoSpaceDN/>
        <w:bidi w:val="0"/>
        <w:adjustRightInd/>
        <w:snapToGrid/>
        <w:spacing w:before="0" w:beforeLines="0" w:afterLines="0" w:line="560" w:lineRule="exact"/>
        <w:ind w:firstLine="684"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(四)协助推进政府、银行、企业合作关系的深化。</w:t>
      </w:r>
    </w:p>
    <w:p w14:paraId="603EB269">
      <w:pPr>
        <w:pStyle w:val="2"/>
        <w:keepNext w:val="0"/>
        <w:keepLines w:val="0"/>
        <w:pageBreakBefore w:val="0"/>
        <w:widowControl w:val="0"/>
        <w:kinsoku/>
        <w:wordWrap/>
        <w:overflowPunct/>
        <w:topLinePunct w:val="0"/>
        <w:autoSpaceDE/>
        <w:autoSpaceDN/>
        <w:bidi w:val="0"/>
        <w:adjustRightInd/>
        <w:snapToGrid/>
        <w:spacing w:before="0" w:beforeLines="0" w:afterLines="0" w:line="560" w:lineRule="exact"/>
        <w:ind w:firstLine="676"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(五)协助全县政务信息的采编、分析、上报，协助《白沙</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4"/>
          <w:sz w:val="32"/>
          <w:szCs w:val="32"/>
        </w:rPr>
        <w:t>信息》的编辑。</w:t>
      </w:r>
    </w:p>
    <w:p w14:paraId="27702C70">
      <w:pPr>
        <w:pStyle w:val="2"/>
        <w:keepNext w:val="0"/>
        <w:keepLines w:val="0"/>
        <w:pageBreakBefore w:val="0"/>
        <w:widowControl w:val="0"/>
        <w:kinsoku/>
        <w:wordWrap/>
        <w:overflowPunct/>
        <w:topLinePunct w:val="0"/>
        <w:autoSpaceDE/>
        <w:autoSpaceDN/>
        <w:bidi w:val="0"/>
        <w:adjustRightInd/>
        <w:snapToGrid/>
        <w:spacing w:before="0" w:beforeLines="0" w:afterLines="0" w:line="560" w:lineRule="exact"/>
        <w:ind w:right="91" w:firstLine="680" w:firstLineChars="200"/>
        <w:jc w:val="left"/>
        <w:textAlignment w:val="auto"/>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10"/>
          <w:sz w:val="32"/>
          <w:szCs w:val="32"/>
        </w:rPr>
        <w:t>(六)负责政府门户网站政府信息公开发布工作，协助开展</w:t>
      </w:r>
      <w:r>
        <w:rPr>
          <w:rFonts w:hint="eastAsia" w:ascii="仿宋_GB2312" w:hAnsi="仿宋_GB2312" w:eastAsia="仿宋_GB2312" w:cs="仿宋_GB2312"/>
          <w:spacing w:val="2"/>
          <w:sz w:val="32"/>
          <w:szCs w:val="32"/>
        </w:rPr>
        <w:t xml:space="preserve"> </w:t>
      </w:r>
      <w:r>
        <w:rPr>
          <w:rFonts w:hint="eastAsia" w:ascii="仿宋_GB2312" w:hAnsi="仿宋_GB2312" w:eastAsia="仿宋_GB2312" w:cs="仿宋_GB2312"/>
          <w:spacing w:val="4"/>
          <w:sz w:val="32"/>
          <w:szCs w:val="32"/>
        </w:rPr>
        <w:t>全县政务公开监督指导工作。</w:t>
      </w:r>
    </w:p>
    <w:p w14:paraId="64CACF8D">
      <w:pPr>
        <w:pStyle w:val="2"/>
        <w:keepNext w:val="0"/>
        <w:keepLines w:val="0"/>
        <w:pageBreakBefore w:val="0"/>
        <w:widowControl w:val="0"/>
        <w:kinsoku/>
        <w:wordWrap/>
        <w:overflowPunct/>
        <w:topLinePunct w:val="0"/>
        <w:autoSpaceDE/>
        <w:autoSpaceDN/>
        <w:bidi w:val="0"/>
        <w:adjustRightInd/>
        <w:snapToGrid/>
        <w:spacing w:before="0" w:beforeLines="0" w:line="560" w:lineRule="exact"/>
        <w:ind w:right="91" w:firstLine="692"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13"/>
          <w:sz w:val="32"/>
          <w:szCs w:val="32"/>
        </w:rPr>
        <w:t>(七)协助县政府网站运维管理与技术服务的相关工</w:t>
      </w:r>
      <w:r>
        <w:rPr>
          <w:rFonts w:hint="eastAsia" w:ascii="仿宋_GB2312" w:hAnsi="仿宋_GB2312" w:eastAsia="仿宋_GB2312" w:cs="仿宋_GB2312"/>
          <w:spacing w:val="12"/>
          <w:sz w:val="32"/>
          <w:szCs w:val="32"/>
        </w:rPr>
        <w:t>作。</w:t>
      </w:r>
    </w:p>
    <w:p w14:paraId="55CC9355">
      <w:pPr>
        <w:pStyle w:val="7"/>
        <w:numPr>
          <w:ilvl w:val="0"/>
          <w:numId w:val="0"/>
        </w:numPr>
        <w:spacing w:line="560" w:lineRule="exact"/>
        <w:ind w:left="0" w:leftChars="0" w:firstLine="692" w:firstLineChars="200"/>
        <w:jc w:val="left"/>
        <w:rPr>
          <w:rFonts w:hint="eastAsia" w:ascii="黑体" w:hAnsi="黑体" w:eastAsia="黑体" w:cs="仿宋_GB2312"/>
          <w:sz w:val="32"/>
          <w:szCs w:val="32"/>
          <w:u w:val="none"/>
        </w:rPr>
      </w:pPr>
      <w:r>
        <w:rPr>
          <w:rFonts w:hint="eastAsia" w:ascii="仿宋_GB2312" w:hAnsi="仿宋_GB2312" w:eastAsia="仿宋_GB2312" w:cs="仿宋_GB2312"/>
          <w:spacing w:val="13"/>
          <w:kern w:val="2"/>
          <w:sz w:val="32"/>
          <w:szCs w:val="32"/>
          <w:lang w:val="en-US" w:eastAsia="en-US" w:bidi="ar-SA"/>
        </w:rPr>
        <w:t>(八)完成上级部门交办的其他工</w:t>
      </w:r>
      <w:r>
        <w:rPr>
          <w:rFonts w:hint="eastAsia" w:ascii="仿宋_GB2312" w:hAnsi="仿宋_GB2312" w:eastAsia="仿宋_GB2312" w:cs="仿宋_GB2312"/>
          <w:spacing w:val="13"/>
          <w:kern w:val="2"/>
          <w:sz w:val="32"/>
          <w:szCs w:val="32"/>
          <w:lang w:val="en-US" w:eastAsia="zh-CN" w:bidi="ar-SA"/>
        </w:rPr>
        <w:t>作。</w:t>
      </w:r>
    </w:p>
    <w:p w14:paraId="2A55666C">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181C1CE0">
      <w:pPr>
        <w:pStyle w:val="2"/>
        <w:spacing w:before="0" w:beforeLines="0" w:afterLines="0" w:line="560" w:lineRule="exact"/>
        <w:ind w:right="91" w:firstLine="656" w:firstLineChars="200"/>
        <w:jc w:val="left"/>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白沙黎族自治县人民政府办公室综合事务中心隶属白沙黎 族自治县人民政府办公室，为不定级公益一类事业单位。</w:t>
      </w:r>
    </w:p>
    <w:p w14:paraId="31F0058E">
      <w:pPr>
        <w:pStyle w:val="2"/>
        <w:spacing w:beforeLines="0" w:afterLines="0" w:line="560" w:lineRule="exact"/>
        <w:ind w:left="800" w:right="91" w:firstLine="656" w:firstLineChars="200"/>
        <w:jc w:val="left"/>
        <w:rPr>
          <w:rFonts w:hint="eastAsia" w:ascii="仿宋_GB2312" w:hAnsi="仿宋_GB2312" w:eastAsia="仿宋_GB2312" w:cs="仿宋_GB2312"/>
          <w:spacing w:val="4"/>
          <w:kern w:val="2"/>
          <w:sz w:val="32"/>
          <w:szCs w:val="32"/>
          <w:lang w:val="en-US" w:eastAsia="zh-CN" w:bidi="ar-SA"/>
        </w:rPr>
        <w:sectPr>
          <w:footerReference r:id="rId3" w:type="default"/>
          <w:pgSz w:w="11900" w:h="16820"/>
          <w:pgMar w:top="1429" w:right="1434" w:bottom="1007" w:left="1589" w:header="0" w:footer="699" w:gutter="0"/>
          <w:cols w:space="720" w:num="1"/>
        </w:sectPr>
      </w:pPr>
    </w:p>
    <w:p w14:paraId="11F874ED">
      <w:pPr>
        <w:pStyle w:val="7"/>
        <w:numPr>
          <w:ilvl w:val="-1"/>
          <w:numId w:val="0"/>
        </w:numPr>
        <w:spacing w:line="560" w:lineRule="exact"/>
        <w:ind w:left="0" w:firstLine="0" w:firstLineChars="0"/>
        <w:jc w:val="left"/>
        <w:rPr>
          <w:rFonts w:ascii="仿宋_GB2312" w:hAnsi="黑体" w:eastAsia="仿宋_GB2312" w:cs="仿宋_GB2312"/>
          <w:sz w:val="32"/>
          <w:szCs w:val="32"/>
          <w:highlight w:val="yellow"/>
          <w:u w:val="none"/>
        </w:rPr>
      </w:pPr>
    </w:p>
    <w:p w14:paraId="1142DB9C">
      <w:pPr>
        <w:numPr>
          <w:ilvl w:val="0"/>
          <w:numId w:val="0"/>
        </w:numPr>
        <w:spacing w:line="560" w:lineRule="exact"/>
        <w:ind w:left="0" w:firstLine="0" w:firstLineChars="0"/>
        <w:jc w:val="both"/>
        <w:rPr>
          <w:rFonts w:hint="eastAsia" w:ascii="黑体" w:hAnsi="黑体" w:eastAsia="黑体"/>
          <w:b w:val="0"/>
          <w:bCs/>
          <w:sz w:val="32"/>
          <w:szCs w:val="32"/>
          <w:u w:val="none"/>
        </w:rPr>
      </w:pPr>
      <w:r>
        <w:rPr>
          <w:rFonts w:hint="eastAsia" w:ascii="方正黑体_GBK" w:hAnsi="方正黑体_GBK" w:eastAsia="方正黑体_GBK" w:cs="方正黑体_GBK"/>
          <w:b w:val="0"/>
          <w:bCs w:val="0"/>
          <w:sz w:val="32"/>
          <w:szCs w:val="32"/>
          <w:u w:val="none"/>
          <w:lang w:eastAsia="zh-CN"/>
        </w:rPr>
        <w:t>第二部分</w:t>
      </w:r>
      <w:r>
        <w:rPr>
          <w:rFonts w:hint="eastAsia" w:ascii="方正黑体_GBK" w:hAnsi="方正黑体_GBK" w:eastAsia="方正黑体_GBK" w:cs="方正黑体_GBK"/>
          <w:b w:val="0"/>
          <w:bCs w:val="0"/>
          <w:sz w:val="32"/>
          <w:szCs w:val="32"/>
          <w:u w:val="none"/>
          <w:lang w:val="en-US" w:eastAsia="zh-CN"/>
        </w:rPr>
        <w:t xml:space="preserve">  2026</w:t>
      </w:r>
      <w:r>
        <w:rPr>
          <w:rFonts w:hint="eastAsia" w:ascii="方正黑体_GBK" w:hAnsi="方正黑体_GBK" w:eastAsia="方正黑体_GBK" w:cs="方正黑体_GBK"/>
          <w:b w:val="0"/>
          <w:bCs w:val="0"/>
          <w:sz w:val="32"/>
          <w:szCs w:val="32"/>
          <w:u w:val="none"/>
        </w:rPr>
        <w:t>年</w:t>
      </w:r>
      <w:r>
        <w:rPr>
          <w:rFonts w:hint="eastAsia" w:ascii="方正黑体_GBK" w:hAnsi="方正黑体_GBK" w:eastAsia="方正黑体_GBK" w:cs="方正黑体_GBK"/>
          <w:sz w:val="32"/>
          <w:szCs w:val="32"/>
          <w:u w:val="none"/>
          <w:lang w:val="en-US" w:eastAsia="zh-CN"/>
        </w:rPr>
        <w:t>白沙黎族自治县人民政府办公</w:t>
      </w:r>
      <w:r>
        <w:rPr>
          <w:rFonts w:hint="eastAsia" w:ascii="方正黑体_GBK" w:hAnsi="方正黑体_GBK" w:eastAsia="方正黑体_GBK" w:cs="方正黑体_GBK"/>
          <w:b w:val="0"/>
          <w:bCs w:val="0"/>
          <w:sz w:val="32"/>
          <w:szCs w:val="32"/>
          <w:u w:val="none"/>
          <w:lang w:val="en-US" w:eastAsia="zh-CN"/>
        </w:rPr>
        <w:t>室综合</w:t>
      </w:r>
    </w:p>
    <w:p w14:paraId="4ADFF534">
      <w:pPr>
        <w:spacing w:line="560" w:lineRule="exact"/>
        <w:ind w:left="0" w:firstLine="1600" w:firstLineChars="500"/>
        <w:jc w:val="both"/>
        <w:rPr>
          <w:rFonts w:hint="eastAsia" w:ascii="方正黑体_GBK" w:hAnsi="方正黑体_GBK" w:eastAsia="方正黑体_GBK" w:cs="方正黑体_GBK"/>
          <w:b w:val="0"/>
          <w:bCs w:val="0"/>
          <w:sz w:val="32"/>
          <w:szCs w:val="32"/>
          <w:u w:val="none"/>
        </w:rPr>
      </w:pPr>
      <w:r>
        <w:rPr>
          <w:rFonts w:hint="eastAsia" w:ascii="方正黑体_GBK" w:hAnsi="方正黑体_GBK" w:eastAsia="方正黑体_GBK" w:cs="方正黑体_GBK"/>
          <w:b w:val="0"/>
          <w:bCs w:val="0"/>
          <w:sz w:val="32"/>
          <w:szCs w:val="32"/>
          <w:u w:val="none"/>
          <w:lang w:val="en-US" w:eastAsia="zh-CN"/>
        </w:rPr>
        <w:t>事务中心</w:t>
      </w:r>
      <w:r>
        <w:rPr>
          <w:rFonts w:hint="eastAsia" w:ascii="方正黑体_GBK" w:hAnsi="方正黑体_GBK" w:eastAsia="方正黑体_GBK" w:cs="方正黑体_GBK"/>
          <w:b w:val="0"/>
          <w:bCs w:val="0"/>
          <w:sz w:val="32"/>
          <w:szCs w:val="32"/>
          <w:u w:val="none"/>
        </w:rPr>
        <w:t>预算</w:t>
      </w:r>
      <w:r>
        <w:rPr>
          <w:rFonts w:hint="eastAsia" w:ascii="方正黑体_GBK" w:hAnsi="方正黑体_GBK" w:eastAsia="方正黑体_GBK" w:cs="方正黑体_GBK"/>
          <w:b w:val="0"/>
          <w:bCs w:val="0"/>
          <w:sz w:val="32"/>
          <w:szCs w:val="32"/>
          <w:u w:val="none"/>
          <w:lang w:val="en-US" w:eastAsia="zh-CN"/>
        </w:rPr>
        <w:t>公开</w:t>
      </w:r>
      <w:r>
        <w:rPr>
          <w:rFonts w:hint="eastAsia" w:ascii="方正黑体_GBK" w:hAnsi="方正黑体_GBK" w:eastAsia="方正黑体_GBK" w:cs="方正黑体_GBK"/>
          <w:b w:val="0"/>
          <w:bCs w:val="0"/>
          <w:sz w:val="32"/>
          <w:szCs w:val="32"/>
          <w:u w:val="none"/>
        </w:rPr>
        <w:t>表</w:t>
      </w:r>
    </w:p>
    <w:p w14:paraId="5484FC75">
      <w:pPr>
        <w:spacing w:line="560" w:lineRule="exact"/>
        <w:ind w:left="800"/>
        <w:jc w:val="center"/>
        <w:rPr>
          <w:rFonts w:hint="eastAsia" w:ascii="黑体" w:hAnsi="黑体" w:eastAsia="黑体" w:cs="黑体"/>
          <w:b w:val="0"/>
          <w:bCs/>
          <w:sz w:val="32"/>
          <w:szCs w:val="32"/>
          <w:u w:val="none"/>
        </w:rPr>
      </w:pPr>
    </w:p>
    <w:p w14:paraId="20040C35">
      <w:pPr>
        <w:spacing w:line="560" w:lineRule="exact"/>
        <w:ind w:left="0"/>
        <w:jc w:val="center"/>
        <w:rPr>
          <w:rFonts w:hint="eastAsia" w:ascii="仿宋_GB2312" w:hAnsi="仿宋_GB2312" w:eastAsia="仿宋_GB2312" w:cs="仿宋_GB2312"/>
          <w:i w:val="0"/>
          <w:iCs w:val="0"/>
          <w:caps w:val="0"/>
          <w:color w:val="171A1D"/>
          <w:spacing w:val="0"/>
          <w:sz w:val="32"/>
          <w:szCs w:val="32"/>
          <w:shd w:val="clear" w:fill="FFFFFF"/>
          <w:woUserID w:val="1"/>
        </w:rPr>
      </w:pPr>
      <w:r>
        <w:rPr>
          <w:rFonts w:hint="eastAsia" w:ascii="仿宋_GB2312" w:hAnsi="仿宋_GB2312" w:eastAsia="仿宋_GB2312" w:cs="仿宋_GB2312"/>
          <w:i w:val="0"/>
          <w:iCs w:val="0"/>
          <w:caps w:val="0"/>
          <w:color w:val="171A1D"/>
          <w:spacing w:val="0"/>
          <w:sz w:val="32"/>
          <w:szCs w:val="32"/>
          <w:shd w:val="clear" w:fill="FFFFFF"/>
          <w:woUserID w:val="1"/>
        </w:rPr>
        <w:t>详见附件：白沙黎族自治县</w:t>
      </w:r>
      <w:r>
        <w:rPr>
          <w:rFonts w:hint="eastAsia" w:ascii="仿宋_GB2312" w:hAnsi="仿宋_GB2312" w:eastAsia="仿宋_GB2312" w:cs="仿宋_GB2312"/>
          <w:i w:val="0"/>
          <w:iCs w:val="0"/>
          <w:caps w:val="0"/>
          <w:color w:val="171A1D"/>
          <w:spacing w:val="0"/>
          <w:sz w:val="32"/>
          <w:szCs w:val="32"/>
          <w:shd w:val="clear" w:fill="FFFFFF"/>
          <w:woUserID w:val="1"/>
        </w:rPr>
        <w:t>人民政府办公室综合事务中心</w:t>
      </w:r>
      <w:r>
        <w:rPr>
          <w:rFonts w:hint="eastAsia" w:ascii="仿宋_GB2312" w:hAnsi="仿宋_GB2312" w:eastAsia="仿宋_GB2312" w:cs="仿宋_GB2312"/>
          <w:i w:val="0"/>
          <w:iCs w:val="0"/>
          <w:caps w:val="0"/>
          <w:color w:val="171A1D"/>
          <w:spacing w:val="0"/>
          <w:sz w:val="32"/>
          <w:szCs w:val="32"/>
          <w:shd w:val="clear" w:fill="FFFFFF"/>
          <w:woUserID w:val="1"/>
        </w:rPr>
        <w:t>2026年度预算公开表</w:t>
      </w:r>
    </w:p>
    <w:p w14:paraId="763F93F4">
      <w:pPr>
        <w:spacing w:line="560" w:lineRule="exact"/>
        <w:ind w:left="800"/>
        <w:jc w:val="center"/>
        <w:rPr>
          <w:rFonts w:hint="eastAsia" w:ascii="微软雅黑" w:hAnsi="微软雅黑" w:eastAsia="微软雅黑" w:cs="微软雅黑"/>
          <w:i w:val="0"/>
          <w:iCs w:val="0"/>
          <w:caps w:val="0"/>
          <w:color w:val="171A1D"/>
          <w:spacing w:val="0"/>
          <w:sz w:val="32"/>
          <w:szCs w:val="32"/>
          <w:shd w:val="clear" w:fill="FFFFFF"/>
          <w:woUserID w:val="1"/>
        </w:rPr>
      </w:pPr>
    </w:p>
    <w:p w14:paraId="320EEB3D">
      <w:pPr>
        <w:spacing w:line="560" w:lineRule="exact"/>
        <w:ind w:firstLine="0" w:firstLineChars="0"/>
        <w:jc w:val="left"/>
        <w:rPr>
          <w:rFonts w:hint="eastAsia" w:ascii="方正黑体_GBK" w:hAnsi="方正黑体_GBK" w:eastAsia="方正黑体_GBK" w:cs="方正黑体_GBK"/>
          <w:sz w:val="32"/>
          <w:szCs w:val="32"/>
          <w:u w:val="none"/>
          <w:lang w:val="en-US" w:eastAsia="zh-CN"/>
        </w:rPr>
      </w:pPr>
      <w:r>
        <w:rPr>
          <w:rFonts w:hint="eastAsia" w:ascii="方正黑体_GBK" w:hAnsi="方正黑体_GBK" w:eastAsia="方正黑体_GBK" w:cs="方正黑体_GBK"/>
          <w:b w:val="0"/>
          <w:bCs w:val="0"/>
          <w:sz w:val="32"/>
          <w:szCs w:val="32"/>
          <w:u w:val="none"/>
          <w:lang w:eastAsia="zh-CN"/>
        </w:rPr>
        <w:t>第</w:t>
      </w:r>
      <w:r>
        <w:rPr>
          <w:rFonts w:hint="eastAsia" w:ascii="方正黑体_GBK" w:hAnsi="方正黑体_GBK" w:eastAsia="方正黑体_GBK" w:cs="方正黑体_GBK"/>
          <w:b w:val="0"/>
          <w:bCs w:val="0"/>
          <w:sz w:val="32"/>
          <w:szCs w:val="32"/>
          <w:u w:val="none"/>
          <w:lang w:val="en-US" w:eastAsia="zh-CN"/>
        </w:rPr>
        <w:t>三</w:t>
      </w:r>
      <w:r>
        <w:rPr>
          <w:rFonts w:hint="eastAsia" w:ascii="方正黑体_GBK" w:hAnsi="方正黑体_GBK" w:eastAsia="方正黑体_GBK" w:cs="方正黑体_GBK"/>
          <w:b w:val="0"/>
          <w:bCs w:val="0"/>
          <w:sz w:val="32"/>
          <w:szCs w:val="32"/>
          <w:u w:val="none"/>
          <w:lang w:eastAsia="zh-CN"/>
        </w:rPr>
        <w:t>部分</w:t>
      </w:r>
      <w:r>
        <w:rPr>
          <w:rFonts w:hint="eastAsia" w:ascii="方正黑体_GBK" w:hAnsi="方正黑体_GBK" w:eastAsia="方正黑体_GBK" w:cs="方正黑体_GBK"/>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方正黑体_GBK" w:hAnsi="方正黑体_GBK" w:eastAsia="方正黑体_GBK" w:cs="方正黑体_GBK"/>
          <w:sz w:val="32"/>
          <w:szCs w:val="32"/>
          <w:u w:val="none"/>
          <w:lang w:val="en-US" w:eastAsia="zh-CN"/>
        </w:rPr>
        <w:t>白沙黎族自治县人民政府办公室综合</w:t>
      </w:r>
    </w:p>
    <w:p w14:paraId="1A43967D">
      <w:pPr>
        <w:spacing w:line="560" w:lineRule="exact"/>
        <w:ind w:firstLine="1600" w:firstLineChars="5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事务中心</w:t>
      </w:r>
      <w:r>
        <w:rPr>
          <w:rFonts w:hint="eastAsia" w:ascii="方正黑体_GBK" w:hAnsi="方正黑体_GBK" w:eastAsia="方正黑体_GBK" w:cs="方正黑体_GBK"/>
          <w:sz w:val="32"/>
          <w:szCs w:val="32"/>
          <w:u w:val="none"/>
        </w:rPr>
        <w:t>预算情况说明</w:t>
      </w:r>
    </w:p>
    <w:p w14:paraId="657E51E2">
      <w:pPr>
        <w:spacing w:line="560" w:lineRule="exact"/>
        <w:jc w:val="center"/>
        <w:rPr>
          <w:rFonts w:ascii="黑体" w:hAnsi="黑体" w:eastAsia="黑体"/>
          <w:sz w:val="32"/>
          <w:szCs w:val="32"/>
          <w:u w:val="none"/>
        </w:rPr>
      </w:pPr>
    </w:p>
    <w:p w14:paraId="68CCCC6A">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14:paraId="6C2DBB7F">
      <w:pPr>
        <w:numPr>
          <w:ilvl w:val="0"/>
          <w:numId w:val="0"/>
        </w:numPr>
        <w:spacing w:line="560" w:lineRule="exact"/>
        <w:ind w:firstLine="640" w:firstLineChars="200"/>
        <w:jc w:val="left"/>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白沙黎族自治县人民政府办公室综合事务中心</w:t>
      </w: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rPr>
        <w:t>936.88</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sz w:val="32"/>
          <w:szCs w:val="32"/>
          <w:u w:val="none"/>
          <w:lang w:val="en-US" w:eastAsia="zh-CN"/>
        </w:rPr>
        <w:t>增加</w:t>
      </w:r>
      <w:r>
        <w:rPr>
          <w:rFonts w:hint="eastAsia" w:ascii="仿宋_GB2312" w:hAnsi="黑体" w:eastAsia="仿宋_GB2312" w:cs="仿宋_GB2312"/>
          <w:sz w:val="32"/>
          <w:szCs w:val="32"/>
          <w:u w:val="none"/>
          <w:lang w:val="en-US" w:eastAsia="zh-CN"/>
        </w:rPr>
        <w:t>166.59</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农民小额贷款贴息资金增加</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sz w:val="32"/>
          <w:szCs w:val="32"/>
          <w:u w:val="none"/>
        </w:rPr>
        <w:t>936.88</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rPr>
        <w:t>886.67</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rPr>
        <w:t>50.22</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sz w:val="32"/>
          <w:szCs w:val="32"/>
          <w:u w:val="none"/>
        </w:rPr>
        <w:t>936.88</w:t>
      </w:r>
      <w:r>
        <w:rPr>
          <w:rFonts w:hint="eastAsia" w:ascii="仿宋_GB2312" w:hAnsi="黑体" w:eastAsia="仿宋_GB2312"/>
          <w:color w:val="auto"/>
          <w:sz w:val="32"/>
          <w:szCs w:val="32"/>
          <w:u w:val="none"/>
        </w:rPr>
        <w:t>万元，包括一般公共服务支出</w:t>
      </w:r>
      <w:r>
        <w:rPr>
          <w:rFonts w:hint="eastAsia" w:ascii="仿宋_GB2312" w:hAnsi="黑体" w:eastAsia="仿宋_GB2312" w:cs="仿宋_GB2312"/>
          <w:color w:val="auto"/>
          <w:sz w:val="32"/>
          <w:szCs w:val="32"/>
          <w:u w:val="none"/>
        </w:rPr>
        <w:t>61.09</w:t>
      </w:r>
      <w:r>
        <w:rPr>
          <w:rFonts w:hint="eastAsia" w:ascii="仿宋_GB2312" w:hAnsi="黑体" w:eastAsia="仿宋_GB2312"/>
          <w:color w:val="auto"/>
          <w:sz w:val="32"/>
          <w:szCs w:val="32"/>
          <w:u w:val="none"/>
        </w:rPr>
        <w:t>万元、 社会保障和就业支出9.57万元、 卫生健康支出8.75</w:t>
      </w:r>
      <w:r>
        <w:rPr>
          <w:rFonts w:hint="eastAsia" w:ascii="仿宋_GB2312" w:hAnsi="黑体" w:eastAsia="仿宋_GB2312"/>
          <w:sz w:val="32"/>
          <w:szCs w:val="32"/>
          <w:u w:val="none"/>
        </w:rPr>
        <w:t>万元、 农林水支出852.22</w:t>
      </w:r>
      <w:r>
        <w:rPr>
          <w:rFonts w:hint="eastAsia" w:ascii="仿宋_GB2312" w:hAnsi="黑体" w:eastAsia="仿宋_GB2312"/>
          <w:sz w:val="32"/>
          <w:szCs w:val="32"/>
          <w:u w:val="none"/>
          <w:lang w:val="en-US" w:eastAsia="zh-CN"/>
        </w:rPr>
        <w:t>万元、 住房保障支出5.26万元</w:t>
      </w:r>
      <w:r>
        <w:rPr>
          <w:rFonts w:hint="eastAsia" w:ascii="仿宋_GB2312" w:hAnsi="黑体" w:eastAsia="仿宋_GB2312"/>
          <w:sz w:val="32"/>
          <w:szCs w:val="32"/>
          <w:u w:val="none"/>
        </w:rPr>
        <w:t>。</w:t>
      </w:r>
    </w:p>
    <w:p w14:paraId="57B84FBA">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14:paraId="2B1C3A44">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14:paraId="269C847F">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白沙黎族自治县人民政府办公室综合事务中心2026</w:t>
      </w:r>
      <w:r>
        <w:rPr>
          <w:rFonts w:hint="eastAsia" w:ascii="仿宋_GB2312" w:hAnsi="黑体" w:eastAsia="仿宋_GB2312"/>
          <w:sz w:val="32"/>
          <w:szCs w:val="32"/>
          <w:u w:val="none"/>
        </w:rPr>
        <w:t>年一般公共预算当年拨款</w:t>
      </w:r>
      <w:r>
        <w:rPr>
          <w:rFonts w:hint="eastAsia" w:ascii="仿宋_GB2312" w:hAnsi="黑体" w:eastAsia="仿宋_GB2312" w:cs="仿宋_GB2312"/>
          <w:sz w:val="32"/>
          <w:szCs w:val="32"/>
          <w:u w:val="none"/>
        </w:rPr>
        <w:t>936.88</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166.59</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农民小额贷款贴息资金增加</w:t>
      </w:r>
      <w:r>
        <w:rPr>
          <w:rFonts w:hint="eastAsia" w:ascii="仿宋_GB2312" w:hAnsi="黑体" w:eastAsia="仿宋_GB2312"/>
          <w:sz w:val="32"/>
          <w:szCs w:val="32"/>
          <w:u w:val="none"/>
          <w:lang w:eastAsia="zh-CN"/>
        </w:rPr>
        <w:t>。</w:t>
      </w:r>
    </w:p>
    <w:p w14:paraId="60A606BA">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14:paraId="33C11019">
      <w:pPr>
        <w:spacing w:line="560" w:lineRule="exact"/>
        <w:ind w:firstLine="800" w:firstLineChars="250"/>
        <w:rPr>
          <w:rFonts w:ascii="仿宋_GB2312" w:hAnsi="黑体" w:eastAsia="仿宋_GB2312"/>
          <w:sz w:val="32"/>
          <w:szCs w:val="32"/>
          <w:u w:val="none"/>
        </w:rPr>
      </w:pPr>
      <w:r>
        <w:rPr>
          <w:rFonts w:hint="eastAsia" w:ascii="仿宋_GB2312" w:hAnsi="黑体" w:eastAsia="仿宋_GB2312" w:cs="仿宋_GB2312"/>
          <w:sz w:val="32"/>
          <w:szCs w:val="32"/>
          <w:u w:val="none"/>
        </w:rPr>
        <w:t>一般公共服务（类）支出61.09</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6.53</w:t>
      </w:r>
      <w:r>
        <w:rPr>
          <w:rFonts w:hint="eastAsia" w:ascii="仿宋_GB2312" w:hAnsi="黑体" w:eastAsia="仿宋_GB2312"/>
          <w:sz w:val="32"/>
          <w:szCs w:val="32"/>
          <w:u w:val="none"/>
        </w:rPr>
        <w:t>%；</w:t>
      </w:r>
      <w:r>
        <w:rPr>
          <w:rFonts w:hint="eastAsia" w:ascii="仿宋_GB2312" w:hAnsi="黑体" w:eastAsia="仿宋_GB2312"/>
          <w:color w:val="auto"/>
          <w:sz w:val="32"/>
          <w:szCs w:val="32"/>
          <w:u w:val="none"/>
        </w:rPr>
        <w:t> 社会保障和就业支出9.57万元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1.02</w:t>
      </w:r>
      <w:r>
        <w:rPr>
          <w:rFonts w:hint="eastAsia" w:ascii="仿宋_GB2312" w:hAnsi="黑体" w:eastAsia="仿宋_GB2312"/>
          <w:sz w:val="32"/>
          <w:szCs w:val="32"/>
          <w:u w:val="none"/>
        </w:rPr>
        <w:t>%；卫生健康</w:t>
      </w:r>
      <w:r>
        <w:rPr>
          <w:rFonts w:hint="eastAsia" w:ascii="仿宋_GB2312" w:hAnsi="黑体" w:eastAsia="仿宋_GB2312" w:cs="仿宋_GB2312"/>
          <w:sz w:val="32"/>
          <w:szCs w:val="32"/>
          <w:u w:val="none"/>
        </w:rPr>
        <w:t>（类）</w:t>
      </w:r>
      <w:r>
        <w:rPr>
          <w:rFonts w:hint="eastAsia" w:ascii="仿宋_GB2312" w:hAnsi="黑体" w:eastAsia="仿宋_GB2312"/>
          <w:sz w:val="32"/>
          <w:szCs w:val="32"/>
          <w:u w:val="none"/>
        </w:rPr>
        <w:t>支出</w:t>
      </w:r>
      <w:r>
        <w:rPr>
          <w:rFonts w:hint="eastAsia" w:ascii="仿宋_GB2312" w:hAnsi="黑体" w:eastAsia="仿宋_GB2312"/>
          <w:color w:val="auto"/>
          <w:sz w:val="32"/>
          <w:szCs w:val="32"/>
          <w:u w:val="none"/>
        </w:rPr>
        <w:t>8.75</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0.93</w:t>
      </w:r>
      <w:r>
        <w:rPr>
          <w:rFonts w:hint="eastAsia" w:ascii="仿宋_GB2312" w:hAnsi="黑体" w:eastAsia="仿宋_GB2312"/>
          <w:sz w:val="32"/>
          <w:szCs w:val="32"/>
          <w:u w:val="none"/>
        </w:rPr>
        <w:t>%；农林水</w:t>
      </w:r>
      <w:r>
        <w:rPr>
          <w:rFonts w:hint="eastAsia" w:ascii="仿宋_GB2312" w:hAnsi="黑体" w:eastAsia="仿宋_GB2312" w:cs="仿宋_GB2312"/>
          <w:sz w:val="32"/>
          <w:szCs w:val="32"/>
          <w:u w:val="none"/>
        </w:rPr>
        <w:t>（类）</w:t>
      </w:r>
      <w:r>
        <w:rPr>
          <w:rFonts w:hint="eastAsia" w:ascii="仿宋_GB2312" w:hAnsi="黑体" w:eastAsia="仿宋_GB2312"/>
          <w:sz w:val="32"/>
          <w:szCs w:val="32"/>
          <w:u w:val="none"/>
        </w:rPr>
        <w:t>支出852.22</w:t>
      </w:r>
      <w:r>
        <w:rPr>
          <w:rFonts w:hint="eastAsia" w:ascii="仿宋_GB2312" w:hAnsi="黑体" w:eastAsia="仿宋_GB2312"/>
          <w:sz w:val="32"/>
          <w:szCs w:val="32"/>
          <w:u w:val="none"/>
          <w:lang w:val="en-US" w:eastAsia="zh-CN"/>
        </w:rPr>
        <w:t>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90.96</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住房保障支出5.26万元，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0.56</w:t>
      </w:r>
      <w:r>
        <w:rPr>
          <w:rFonts w:hint="eastAsia" w:ascii="仿宋_GB2312" w:hAnsi="黑体" w:eastAsia="仿宋_GB2312"/>
          <w:sz w:val="32"/>
          <w:szCs w:val="32"/>
          <w:u w:val="none"/>
        </w:rPr>
        <w:t>%；</w:t>
      </w:r>
    </w:p>
    <w:p w14:paraId="2EA1C8C3">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686524F9">
      <w:pPr>
        <w:spacing w:line="560" w:lineRule="exact"/>
        <w:ind w:firstLine="800" w:firstLineChars="25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1.一般公共服务支出（类）政府办公厅（室）及相关机构事务（款）事业运行（项）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年预算数为61.09万元，比上年预算数增加</w:t>
      </w:r>
      <w:r>
        <w:rPr>
          <w:rFonts w:hint="eastAsia" w:ascii="仿宋_GB2312" w:hAnsi="黑体" w:eastAsia="仿宋_GB2312" w:cs="仿宋_GB2312"/>
          <w:sz w:val="32"/>
          <w:szCs w:val="32"/>
          <w:u w:val="none"/>
          <w:lang w:val="en-US" w:eastAsia="zh-CN"/>
        </w:rPr>
        <w:t>10.04</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新招聘一名事业编工作人员，在职人员增加</w:t>
      </w:r>
      <w:r>
        <w:rPr>
          <w:rFonts w:hint="eastAsia" w:ascii="仿宋_GB2312" w:hAnsi="黑体" w:eastAsia="仿宋_GB2312" w:cs="仿宋_GB2312"/>
          <w:sz w:val="32"/>
          <w:szCs w:val="32"/>
          <w:u w:val="none"/>
          <w:lang w:eastAsia="zh-CN"/>
        </w:rPr>
        <w:t>。</w:t>
      </w:r>
    </w:p>
    <w:p w14:paraId="2F609D86">
      <w:pPr>
        <w:spacing w:line="560" w:lineRule="exact"/>
        <w:ind w:firstLine="800" w:firstLineChars="25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 xml:space="preserve">2. </w:t>
      </w:r>
      <w:r>
        <w:rPr>
          <w:rFonts w:hint="eastAsia" w:ascii="仿宋_GB2312" w:hAnsi="仿宋_GB2312" w:eastAsia="仿宋_GB2312" w:cs="仿宋_GB2312"/>
          <w:spacing w:val="13"/>
          <w:kern w:val="2"/>
          <w:sz w:val="32"/>
          <w:szCs w:val="32"/>
          <w:lang w:val="en-US" w:eastAsia="zh-CN" w:bidi="ar-SA"/>
        </w:rPr>
        <w:t>社会保障和就业支出（类）行政事业单位养老支出（款）机关事业单位基本养老保险缴费支出（项）2026年预算数为</w:t>
      </w:r>
      <w:r>
        <w:rPr>
          <w:rFonts w:hint="eastAsia" w:ascii="仿宋_GB2312" w:hAnsi="黑体" w:eastAsia="仿宋_GB2312"/>
          <w:color w:val="auto"/>
          <w:sz w:val="32"/>
          <w:szCs w:val="32"/>
          <w:u w:val="none"/>
        </w:rPr>
        <w:t>6.38</w:t>
      </w:r>
      <w:r>
        <w:rPr>
          <w:rFonts w:hint="eastAsia" w:ascii="仿宋_GB2312" w:hAnsi="仿宋_GB2312" w:eastAsia="仿宋_GB2312" w:cs="仿宋_GB2312"/>
          <w:spacing w:val="13"/>
          <w:kern w:val="2"/>
          <w:sz w:val="32"/>
          <w:szCs w:val="32"/>
          <w:lang w:val="en-US" w:eastAsia="zh-CN" w:bidi="ar-SA"/>
        </w:rPr>
        <w:t>万元，比上年预算数增加1.13万元，主要是</w:t>
      </w:r>
      <w:r>
        <w:rPr>
          <w:rFonts w:hint="eastAsia" w:ascii="仿宋_GB2312" w:hAnsi="黑体" w:eastAsia="仿宋_GB2312" w:cs="仿宋_GB2312"/>
          <w:sz w:val="32"/>
          <w:szCs w:val="32"/>
          <w:u w:val="none"/>
          <w:lang w:val="en-US" w:eastAsia="zh-CN"/>
        </w:rPr>
        <w:t>新招聘一名事业编工作人员，在职人员增加</w:t>
      </w:r>
      <w:r>
        <w:rPr>
          <w:rFonts w:hint="eastAsia" w:ascii="仿宋_GB2312" w:hAnsi="黑体" w:eastAsia="仿宋_GB2312" w:cs="仿宋_GB2312"/>
          <w:sz w:val="32"/>
          <w:szCs w:val="32"/>
          <w:u w:val="none"/>
          <w:lang w:eastAsia="zh-CN"/>
        </w:rPr>
        <w:t>。</w:t>
      </w:r>
    </w:p>
    <w:p w14:paraId="21D3D4A8">
      <w:pPr>
        <w:spacing w:line="560" w:lineRule="exact"/>
        <w:ind w:firstLine="865" w:firstLineChars="250"/>
        <w:rPr>
          <w:rFonts w:hint="eastAsia" w:ascii="仿宋_GB2312" w:hAnsi="仿宋_GB2312" w:eastAsia="仿宋_GB2312" w:cs="仿宋_GB2312"/>
          <w:spacing w:val="13"/>
          <w:kern w:val="2"/>
          <w:sz w:val="32"/>
          <w:szCs w:val="32"/>
          <w:lang w:val="en-US" w:eastAsia="zh-CN" w:bidi="ar-SA"/>
        </w:rPr>
      </w:pPr>
      <w:r>
        <w:rPr>
          <w:rFonts w:hint="eastAsia" w:ascii="仿宋_GB2312" w:hAnsi="仿宋_GB2312" w:eastAsia="仿宋_GB2312" w:cs="仿宋_GB2312"/>
          <w:spacing w:val="13"/>
          <w:kern w:val="2"/>
          <w:sz w:val="32"/>
          <w:szCs w:val="32"/>
          <w:lang w:val="en-US" w:eastAsia="zh-CN" w:bidi="ar-SA"/>
        </w:rPr>
        <w:t>3.社会保障和就业支出（类）行政事业单位养老支出（款）机关事业单位职业年金缴费支出（项）2026年预算数为3.19万元，比上年预算数减少0.57万元，主要是</w:t>
      </w:r>
      <w:r>
        <w:rPr>
          <w:rFonts w:hint="eastAsia" w:ascii="仿宋_GB2312" w:hAnsi="黑体" w:eastAsia="仿宋_GB2312" w:cs="仿宋_GB2312"/>
          <w:sz w:val="32"/>
          <w:szCs w:val="32"/>
          <w:u w:val="none"/>
          <w:lang w:val="en-US" w:eastAsia="zh-CN"/>
        </w:rPr>
        <w:t>新招聘一名事业编工作人员，在职人员增加</w:t>
      </w:r>
      <w:r>
        <w:rPr>
          <w:rFonts w:hint="eastAsia" w:ascii="仿宋_GB2312" w:hAnsi="仿宋_GB2312" w:eastAsia="仿宋_GB2312" w:cs="仿宋_GB2312"/>
          <w:spacing w:val="13"/>
          <w:kern w:val="2"/>
          <w:sz w:val="32"/>
          <w:szCs w:val="32"/>
          <w:lang w:val="en-US" w:eastAsia="zh-CN" w:bidi="ar-SA"/>
        </w:rPr>
        <w:t>。</w:t>
      </w:r>
    </w:p>
    <w:p w14:paraId="61744747">
      <w:pPr>
        <w:numPr>
          <w:ilvl w:val="-1"/>
          <w:numId w:val="0"/>
        </w:numPr>
        <w:spacing w:line="578" w:lineRule="exact"/>
        <w:ind w:firstLine="692" w:firstLineChars="200"/>
        <w:jc w:val="left"/>
        <w:rPr>
          <w:rFonts w:hint="eastAsia" w:ascii="仿宋_GB2312" w:hAnsi="仿宋_GB2312" w:eastAsia="仿宋_GB2312" w:cs="仿宋_GB2312"/>
          <w:spacing w:val="13"/>
          <w:kern w:val="2"/>
          <w:sz w:val="32"/>
          <w:szCs w:val="32"/>
          <w:lang w:val="en-US" w:eastAsia="zh-CN" w:bidi="ar-SA"/>
        </w:rPr>
      </w:pPr>
      <w:r>
        <w:rPr>
          <w:rFonts w:hint="eastAsia" w:ascii="仿宋_GB2312" w:hAnsi="仿宋_GB2312" w:eastAsia="仿宋_GB2312" w:cs="仿宋_GB2312"/>
          <w:spacing w:val="13"/>
          <w:kern w:val="2"/>
          <w:sz w:val="32"/>
          <w:szCs w:val="32"/>
          <w:lang w:val="en-US" w:eastAsia="zh-CN" w:bidi="ar-SA"/>
        </w:rPr>
        <w:t>4.卫生健康支出（类）行政事业单位医疗（款）事业单位医疗（项）2026年预算数为2.02万元，比上年预算数增加0.42万元，主要是</w:t>
      </w:r>
      <w:r>
        <w:rPr>
          <w:rFonts w:hint="eastAsia" w:ascii="仿宋_GB2312" w:hAnsi="黑体" w:eastAsia="仿宋_GB2312" w:cs="仿宋_GB2312"/>
          <w:sz w:val="32"/>
          <w:szCs w:val="32"/>
          <w:u w:val="none"/>
          <w:lang w:val="en-US" w:eastAsia="zh-CN"/>
        </w:rPr>
        <w:t>新招聘一名事业编工作人员，在职人员增加</w:t>
      </w:r>
      <w:r>
        <w:rPr>
          <w:rFonts w:hint="eastAsia" w:ascii="仿宋_GB2312" w:hAnsi="仿宋_GB2312" w:eastAsia="仿宋_GB2312" w:cs="仿宋_GB2312"/>
          <w:spacing w:val="13"/>
          <w:kern w:val="2"/>
          <w:sz w:val="32"/>
          <w:szCs w:val="32"/>
          <w:lang w:val="en-US" w:eastAsia="zh-CN" w:bidi="ar-SA"/>
        </w:rPr>
        <w:t>。</w:t>
      </w:r>
    </w:p>
    <w:p w14:paraId="176412EA">
      <w:pPr>
        <w:numPr>
          <w:ilvl w:val="-1"/>
          <w:numId w:val="0"/>
        </w:numPr>
        <w:spacing w:line="578" w:lineRule="exact"/>
        <w:ind w:firstLine="692" w:firstLineChars="200"/>
        <w:jc w:val="left"/>
        <w:rPr>
          <w:rFonts w:hint="eastAsia" w:ascii="仿宋_GB2312" w:hAnsi="仿宋_GB2312" w:eastAsia="仿宋_GB2312" w:cs="仿宋_GB2312"/>
          <w:spacing w:val="13"/>
          <w:kern w:val="2"/>
          <w:sz w:val="32"/>
          <w:szCs w:val="32"/>
          <w:highlight w:val="none"/>
          <w:lang w:val="en-US" w:eastAsia="zh-CN" w:bidi="ar-SA"/>
        </w:rPr>
      </w:pPr>
      <w:r>
        <w:rPr>
          <w:rFonts w:hint="eastAsia" w:ascii="仿宋_GB2312" w:hAnsi="仿宋_GB2312" w:eastAsia="仿宋_GB2312" w:cs="仿宋_GB2312"/>
          <w:spacing w:val="13"/>
          <w:kern w:val="2"/>
          <w:sz w:val="32"/>
          <w:szCs w:val="32"/>
          <w:highlight w:val="none"/>
          <w:lang w:val="en-US" w:eastAsia="zh-CN" w:bidi="ar-SA"/>
        </w:rPr>
        <w:t>5.卫生健康支出（类）行政事业单位医疗（款）公务员医疗补助（项）2026年预算数为6.73万元，比上年预算数增加0.93万元，主要</w:t>
      </w:r>
      <w:r>
        <w:rPr>
          <w:rFonts w:hint="eastAsia" w:ascii="仿宋_GB2312" w:hAnsi="仿宋_GB2312" w:eastAsia="仿宋_GB2312" w:cs="仿宋_GB2312"/>
          <w:spacing w:val="13"/>
          <w:kern w:val="2"/>
          <w:sz w:val="32"/>
          <w:szCs w:val="32"/>
          <w:lang w:val="en-US" w:eastAsia="zh-CN" w:bidi="ar-SA"/>
        </w:rPr>
        <w:t>是</w:t>
      </w:r>
      <w:r>
        <w:rPr>
          <w:rFonts w:hint="eastAsia" w:ascii="仿宋_GB2312" w:hAnsi="黑体" w:eastAsia="仿宋_GB2312" w:cs="仿宋_GB2312"/>
          <w:sz w:val="32"/>
          <w:szCs w:val="32"/>
          <w:u w:val="none"/>
          <w:lang w:val="en-US" w:eastAsia="zh-CN"/>
        </w:rPr>
        <w:t>新招聘一名事业编工作人员，在职人员增加</w:t>
      </w:r>
      <w:r>
        <w:rPr>
          <w:rFonts w:hint="eastAsia" w:ascii="仿宋_GB2312" w:hAnsi="仿宋_GB2312" w:eastAsia="仿宋_GB2312" w:cs="仿宋_GB2312"/>
          <w:spacing w:val="13"/>
          <w:kern w:val="2"/>
          <w:sz w:val="32"/>
          <w:szCs w:val="32"/>
          <w:lang w:val="en-US" w:eastAsia="zh-CN" w:bidi="ar-SA"/>
        </w:rPr>
        <w:t>。</w:t>
      </w:r>
    </w:p>
    <w:p w14:paraId="5A6CFC53">
      <w:pPr>
        <w:numPr>
          <w:ilvl w:val="0"/>
          <w:numId w:val="0"/>
        </w:numPr>
        <w:spacing w:line="578" w:lineRule="exact"/>
        <w:ind w:firstLine="692" w:firstLineChars="200"/>
        <w:jc w:val="left"/>
        <w:rPr>
          <w:rFonts w:hint="eastAsia" w:ascii="仿宋_GB2312" w:hAnsi="仿宋_GB2312" w:eastAsia="仿宋_GB2312" w:cs="仿宋_GB2312"/>
          <w:spacing w:val="13"/>
          <w:kern w:val="2"/>
          <w:sz w:val="32"/>
          <w:szCs w:val="32"/>
          <w:highlight w:val="none"/>
          <w:lang w:val="en-US" w:eastAsia="zh-CN" w:bidi="ar-SA"/>
        </w:rPr>
      </w:pPr>
      <w:r>
        <w:rPr>
          <w:rFonts w:hint="eastAsia" w:ascii="仿宋_GB2312" w:hAnsi="仿宋_GB2312" w:eastAsia="仿宋_GB2312" w:cs="仿宋_GB2312"/>
          <w:spacing w:val="13"/>
          <w:kern w:val="2"/>
          <w:sz w:val="32"/>
          <w:szCs w:val="32"/>
          <w:highlight w:val="none"/>
          <w:lang w:val="en-US" w:eastAsia="zh-CN" w:bidi="ar-SA"/>
        </w:rPr>
        <w:t>6.农林水支出（类）普惠金融发展支出（款）其他普惠金融发展支出（项）2026年预算数为852.22万元，比上年预算数增加179.22万元，主要是2026年农民小额贷款贴息资金增加。</w:t>
      </w:r>
    </w:p>
    <w:p w14:paraId="5BCD10E9">
      <w:pPr>
        <w:numPr>
          <w:ilvl w:val="0"/>
          <w:numId w:val="0"/>
        </w:numPr>
        <w:spacing w:line="578" w:lineRule="exact"/>
        <w:ind w:firstLine="692" w:firstLineChars="200"/>
        <w:jc w:val="left"/>
        <w:rPr>
          <w:rFonts w:hint="eastAsia" w:ascii="仿宋_GB2312" w:hAnsi="仿宋_GB2312" w:eastAsia="仿宋_GB2312" w:cs="仿宋_GB2312"/>
          <w:spacing w:val="13"/>
          <w:kern w:val="2"/>
          <w:sz w:val="32"/>
          <w:szCs w:val="32"/>
          <w:lang w:val="en-US" w:eastAsia="zh-CN" w:bidi="ar-SA"/>
        </w:rPr>
      </w:pPr>
      <w:r>
        <w:rPr>
          <w:rFonts w:hint="eastAsia" w:ascii="仿宋_GB2312" w:hAnsi="仿宋_GB2312" w:eastAsia="仿宋_GB2312" w:cs="仿宋_GB2312"/>
          <w:spacing w:val="13"/>
          <w:kern w:val="2"/>
          <w:sz w:val="32"/>
          <w:szCs w:val="32"/>
          <w:highlight w:val="none"/>
          <w:lang w:val="en-US" w:eastAsia="zh-CN" w:bidi="ar-SA"/>
        </w:rPr>
        <w:t>6.住房保障支出（类）住房改革支出（款）住房公积金（项）2026年预算数为5.26万元，比上年预算数增加0.89万元，主要是</w:t>
      </w:r>
      <w:r>
        <w:rPr>
          <w:rFonts w:hint="eastAsia" w:ascii="仿宋_GB2312" w:hAnsi="黑体" w:eastAsia="仿宋_GB2312" w:cs="仿宋_GB2312"/>
          <w:sz w:val="32"/>
          <w:szCs w:val="32"/>
          <w:u w:val="none"/>
          <w:lang w:val="en-US" w:eastAsia="zh-CN"/>
        </w:rPr>
        <w:t>新招聘一名事业编工作人员，在职人员增加</w:t>
      </w:r>
      <w:r>
        <w:rPr>
          <w:rFonts w:hint="eastAsia" w:ascii="仿宋_GB2312" w:hAnsi="仿宋_GB2312" w:eastAsia="仿宋_GB2312" w:cs="仿宋_GB2312"/>
          <w:spacing w:val="13"/>
          <w:kern w:val="2"/>
          <w:sz w:val="32"/>
          <w:szCs w:val="32"/>
          <w:highlight w:val="none"/>
          <w:lang w:val="en-US" w:eastAsia="zh-CN" w:bidi="ar-SA"/>
        </w:rPr>
        <w:t>。</w:t>
      </w:r>
    </w:p>
    <w:p w14:paraId="540E0F5E">
      <w:pPr>
        <w:spacing w:line="240" w:lineRule="auto"/>
        <w:ind w:firstLine="640" w:firstLineChars="200"/>
        <w:rPr>
          <w:rFonts w:ascii="黑体" w:hAnsi="黑体" w:eastAsia="黑体"/>
          <w:sz w:val="32"/>
          <w:szCs w:val="32"/>
          <w:u w:val="none"/>
        </w:rPr>
      </w:pPr>
      <w:r>
        <w:rPr>
          <w:rFonts w:hint="eastAsia" w:ascii="黑体" w:hAnsi="黑体" w:eastAsia="黑体"/>
          <w:sz w:val="32"/>
          <w:szCs w:val="32"/>
          <w:u w:val="none"/>
        </w:rPr>
        <w:t>三、一般公共预算基本支出情况说明</w:t>
      </w:r>
    </w:p>
    <w:p w14:paraId="575BD4DF">
      <w:pPr>
        <w:spacing w:line="240" w:lineRule="auto"/>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白沙黎族自治县人民政府办公室综合事务中心</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年一般公共预算基本支出为</w:t>
      </w:r>
      <w:r>
        <w:rPr>
          <w:rFonts w:hint="eastAsia" w:ascii="仿宋_GB2312" w:hAnsi="仿宋_GB2312" w:eastAsia="仿宋_GB2312" w:cs="仿宋_GB2312"/>
          <w:sz w:val="32"/>
          <w:szCs w:val="32"/>
          <w:u w:val="none"/>
        </w:rPr>
        <w:t>79.67</w:t>
      </w:r>
      <w:r>
        <w:rPr>
          <w:rFonts w:hint="eastAsia" w:ascii="仿宋_GB2312" w:hAnsi="仿宋_GB2312" w:eastAsia="仿宋_GB2312" w:cs="仿宋_GB2312"/>
          <w:sz w:val="32"/>
          <w:szCs w:val="32"/>
          <w:u w:val="none"/>
        </w:rPr>
        <w:t>万元，其中：</w:t>
      </w:r>
    </w:p>
    <w:p w14:paraId="59AB1E39">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人员经费</w:t>
      </w:r>
      <w:r>
        <w:rPr>
          <w:rFonts w:hint="eastAsia" w:ascii="仿宋_GB2312" w:hAnsi="仿宋_GB2312" w:eastAsia="仿宋_GB2312" w:cs="仿宋_GB2312"/>
          <w:sz w:val="32"/>
          <w:szCs w:val="32"/>
          <w:u w:val="none"/>
        </w:rPr>
        <w:t>72.94</w:t>
      </w:r>
      <w:r>
        <w:rPr>
          <w:rFonts w:hint="eastAsia" w:ascii="仿宋_GB2312" w:hAnsi="仿宋_GB2312" w:eastAsia="仿宋_GB2312" w:cs="仿宋_GB2312"/>
          <w:sz w:val="32"/>
          <w:szCs w:val="32"/>
          <w:u w:val="none"/>
        </w:rPr>
        <w:t>万元，主要包括：</w:t>
      </w:r>
      <w:r>
        <w:rPr>
          <w:rFonts w:hint="eastAsia" w:ascii="仿宋_GB2312" w:hAnsi="仿宋_GB2312" w:eastAsia="仿宋_GB2312" w:cs="仿宋_GB2312"/>
          <w:spacing w:val="0"/>
          <w:kern w:val="2"/>
          <w:sz w:val="32"/>
          <w:szCs w:val="32"/>
          <w:u w:val="none"/>
          <w:lang w:val="en-US" w:eastAsia="zh-CN" w:bidi="ar-SA"/>
        </w:rPr>
        <w:t>基本工资、津贴补贴、奖金、绩效工资、机关事业单位基本养老保险缴费、职业年金缴费、职工基本医疗保险缴费、公务员医疗补助缴费、其他社会保障缴费、住房公积金、医疗费、邮电费;</w:t>
      </w:r>
    </w:p>
    <w:p w14:paraId="44E4E30E">
      <w:pPr>
        <w:numPr>
          <w:ilvl w:val="-1"/>
          <w:numId w:val="0"/>
        </w:numPr>
        <w:spacing w:line="560" w:lineRule="exact"/>
        <w:ind w:firstLine="640" w:firstLineChars="200"/>
        <w:jc w:val="left"/>
        <w:rPr>
          <w:rFonts w:hint="eastAsia" w:ascii="仿宋_GB2312" w:hAnsi="仿宋_GB2312" w:eastAsia="仿宋_GB2312" w:cs="仿宋_GB2312"/>
          <w:spacing w:val="0"/>
          <w:kern w:val="2"/>
          <w:sz w:val="32"/>
          <w:szCs w:val="32"/>
          <w:u w:val="none"/>
          <w:lang w:val="en-US" w:eastAsia="zh-CN" w:bidi="ar-SA"/>
        </w:rPr>
      </w:pPr>
      <w:r>
        <w:rPr>
          <w:rFonts w:hint="eastAsia" w:ascii="仿宋_GB2312" w:hAnsi="仿宋_GB2312" w:eastAsia="仿宋_GB2312" w:cs="仿宋_GB2312"/>
          <w:sz w:val="32"/>
          <w:szCs w:val="32"/>
          <w:u w:val="none"/>
        </w:rPr>
        <w:t>公用经费</w:t>
      </w:r>
      <w:r>
        <w:rPr>
          <w:rFonts w:hint="eastAsia" w:ascii="仿宋_GB2312" w:hAnsi="仿宋_GB2312" w:eastAsia="仿宋_GB2312" w:cs="仿宋_GB2312"/>
          <w:sz w:val="32"/>
          <w:szCs w:val="32"/>
          <w:u w:val="none"/>
        </w:rPr>
        <w:t>6.72</w:t>
      </w:r>
      <w:r>
        <w:rPr>
          <w:rFonts w:hint="eastAsia" w:ascii="仿宋_GB2312" w:hAnsi="仿宋_GB2312" w:eastAsia="仿宋_GB2312" w:cs="仿宋_GB2312"/>
          <w:sz w:val="32"/>
          <w:szCs w:val="32"/>
          <w:u w:val="none"/>
        </w:rPr>
        <w:t>万元，主要包括：</w:t>
      </w:r>
      <w:r>
        <w:rPr>
          <w:rFonts w:hint="eastAsia" w:ascii="仿宋_GB2312" w:hAnsi="仿宋_GB2312" w:eastAsia="仿宋_GB2312" w:cs="仿宋_GB2312"/>
          <w:spacing w:val="0"/>
          <w:kern w:val="2"/>
          <w:sz w:val="32"/>
          <w:szCs w:val="32"/>
          <w:u w:val="none"/>
          <w:lang w:val="en-US" w:eastAsia="zh-CN" w:bidi="ar-SA"/>
        </w:rPr>
        <w:t>其他工资福利支出、办公费、印刷费、水费、电费、差旅费、培训费、工会经费、其他商品和服务支出。</w:t>
      </w:r>
    </w:p>
    <w:p w14:paraId="42AAAC92">
      <w:pPr>
        <w:spacing w:line="560" w:lineRule="exact"/>
        <w:ind w:firstLine="640" w:firstLineChars="200"/>
        <w:rPr>
          <w:rFonts w:ascii="黑体" w:hAnsi="黑体" w:eastAsia="黑体" w:cs="Times New Roman"/>
          <w:sz w:val="32"/>
          <w:szCs w:val="32"/>
          <w:u w:val="none"/>
          <w:shd w:val="clear" w:color="auto" w:fill="FFFFFF"/>
        </w:rPr>
      </w:pPr>
      <w:r>
        <w:rPr>
          <w:rFonts w:hint="eastAsia" w:ascii="黑体" w:hAnsi="黑体" w:eastAsia="黑体" w:cs="Times New Roman"/>
          <w:sz w:val="32"/>
          <w:szCs w:val="32"/>
          <w:u w:val="none"/>
          <w:shd w:val="clear" w:color="auto" w:fill="FFFFFF"/>
        </w:rPr>
        <w:t>四、</w:t>
      </w:r>
      <w:r>
        <w:rPr>
          <w:rFonts w:ascii="黑体" w:hAnsi="黑体" w:eastAsia="黑体" w:cs="Times New Roman"/>
          <w:sz w:val="32"/>
          <w:szCs w:val="32"/>
          <w:u w:val="none"/>
          <w:shd w:val="clear" w:color="auto" w:fill="FFFFFF"/>
        </w:rPr>
        <w:t>“三公”经费预算情况</w:t>
      </w:r>
      <w:r>
        <w:rPr>
          <w:rFonts w:hint="eastAsia" w:ascii="黑体" w:hAnsi="黑体" w:eastAsia="黑体" w:cs="Times New Roman"/>
          <w:sz w:val="32"/>
          <w:szCs w:val="32"/>
          <w:u w:val="none"/>
          <w:shd w:val="clear" w:color="auto" w:fill="FFFFFF"/>
        </w:rPr>
        <w:t>说明</w:t>
      </w:r>
    </w:p>
    <w:p w14:paraId="58768B44">
      <w:pPr>
        <w:spacing w:line="560" w:lineRule="exact"/>
        <w:ind w:firstLine="640" w:firstLineChars="200"/>
        <w:rPr>
          <w:rFonts w:hint="eastAsia" w:ascii="仿宋_GB2312" w:hAnsi="仿宋_GB2312" w:eastAsia="仿宋_GB2312" w:cs="仿宋_GB2312"/>
          <w:sz w:val="32"/>
          <w:szCs w:val="32"/>
          <w:u w:val="none"/>
          <w:shd w:val="clear"/>
        </w:rPr>
      </w:pPr>
      <w:r>
        <w:rPr>
          <w:rFonts w:hint="eastAsia" w:ascii="仿宋_GB2312" w:hAnsi="仿宋_GB2312" w:eastAsia="仿宋_GB2312" w:cs="仿宋_GB2312"/>
          <w:sz w:val="32"/>
          <w:szCs w:val="32"/>
          <w:u w:val="none"/>
        </w:rPr>
        <w:t>（一）</w:t>
      </w:r>
      <w:r>
        <w:rPr>
          <w:rFonts w:hint="eastAsia" w:ascii="仿宋_GB2312" w:hAnsi="仿宋_GB2312" w:eastAsia="仿宋_GB2312" w:cs="仿宋_GB2312"/>
          <w:sz w:val="32"/>
          <w:szCs w:val="32"/>
          <w:u w:val="none"/>
          <w:lang w:val="en-US" w:eastAsia="zh-CN"/>
        </w:rPr>
        <w:t>白沙黎族自治县人民政府办公室综合事务中心</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年一般公共预算“三公”经费预算数为</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lang w:eastAsia="zh-CN"/>
        </w:rPr>
        <w:t>。</w:t>
      </w:r>
    </w:p>
    <w:p w14:paraId="5AFC5309">
      <w:pPr>
        <w:spacing w:line="578" w:lineRule="exact"/>
        <w:ind w:firstLine="640" w:firstLineChars="200"/>
        <w:rPr>
          <w:rFonts w:hint="eastAsia" w:ascii="仿宋_GB2312" w:hAnsi="黑体" w:eastAsia="仿宋_GB2312" w:cs="黑体"/>
          <w:sz w:val="32"/>
          <w:szCs w:val="32"/>
          <w:u w:val="none"/>
          <w:shd w:val="clear"/>
        </w:rPr>
      </w:pPr>
      <w:r>
        <w:rPr>
          <w:rFonts w:hint="eastAsia" w:ascii="仿宋_GB2312" w:hAnsi="仿宋_GB2312" w:eastAsia="仿宋_GB2312" w:cs="仿宋_GB2312"/>
          <w:sz w:val="32"/>
          <w:szCs w:val="32"/>
          <w:u w:val="none"/>
        </w:rPr>
        <w:t>（二）</w:t>
      </w:r>
      <w:r>
        <w:rPr>
          <w:rFonts w:hint="eastAsia" w:ascii="仿宋_GB2312" w:hAnsi="仿宋_GB2312" w:eastAsia="仿宋_GB2312" w:cs="仿宋_GB2312"/>
          <w:spacing w:val="0"/>
          <w:kern w:val="2"/>
          <w:sz w:val="32"/>
          <w:szCs w:val="32"/>
          <w:u w:val="none"/>
          <w:lang w:val="en-US" w:eastAsia="zh-CN" w:bidi="ar-SA"/>
        </w:rPr>
        <w:t>白沙黎族自治县人民政府办公室综合事务中心2026年</w:t>
      </w:r>
      <w:r>
        <w:rPr>
          <w:rFonts w:hint="eastAsia" w:ascii="仿宋_GB2312" w:hAnsi="仿宋_GB2312" w:eastAsia="仿宋_GB2312" w:cs="仿宋_GB2312"/>
          <w:sz w:val="32"/>
          <w:szCs w:val="32"/>
          <w:u w:val="none"/>
        </w:rPr>
        <w:t>政府性基金预算“三公”经费预算数为</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shd w:val="clear" w:color="auto" w:fill="auto"/>
        </w:rPr>
        <w:t>。</w:t>
      </w:r>
    </w:p>
    <w:p w14:paraId="3B225850">
      <w:pPr>
        <w:spacing w:line="560" w:lineRule="exact"/>
        <w:ind w:firstLine="640" w:firstLineChars="200"/>
        <w:rPr>
          <w:rFonts w:ascii="黑体" w:hAnsi="黑体" w:eastAsia="黑体" w:cs="Times New Roman"/>
          <w:sz w:val="32"/>
          <w:szCs w:val="32"/>
          <w:u w:val="none"/>
          <w:shd w:val="clear" w:color="auto" w:fill="FFFFFF"/>
        </w:rPr>
      </w:pPr>
      <w:r>
        <w:rPr>
          <w:rFonts w:hint="eastAsia" w:ascii="黑体" w:hAnsi="黑体" w:eastAsia="黑体" w:cs="Times New Roman"/>
          <w:sz w:val="32"/>
          <w:szCs w:val="32"/>
          <w:u w:val="none"/>
          <w:shd w:val="clear" w:color="auto" w:fill="FFFFFF"/>
        </w:rPr>
        <w:t>五、政府性基金预算当年拨款情况说明</w:t>
      </w:r>
    </w:p>
    <w:p w14:paraId="6CF6D305">
      <w:pPr>
        <w:spacing w:line="560" w:lineRule="exact"/>
        <w:ind w:firstLine="640" w:firstLineChars="20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（一）政府性基金预算当年规模变化情况</w:t>
      </w:r>
    </w:p>
    <w:p w14:paraId="4C397819">
      <w:pPr>
        <w:spacing w:line="560" w:lineRule="exact"/>
        <w:ind w:firstLine="1600" w:firstLineChars="500"/>
        <w:rPr>
          <w:rFonts w:hint="eastAsia" w:ascii="仿宋_GB2312" w:hAnsi="仿宋_GB2312" w:eastAsia="仿宋_GB2312" w:cs="仿宋_GB2312"/>
          <w:spacing w:val="0"/>
          <w:kern w:val="2"/>
          <w:sz w:val="32"/>
          <w:szCs w:val="32"/>
          <w:u w:val="none"/>
          <w:lang w:val="en-US" w:eastAsia="zh-CN" w:bidi="ar-SA"/>
        </w:rPr>
      </w:pPr>
      <w:r>
        <w:rPr>
          <w:rFonts w:hint="eastAsia" w:ascii="仿宋_GB2312" w:hAnsi="仿宋_GB2312" w:eastAsia="仿宋_GB2312" w:cs="仿宋_GB2312"/>
          <w:spacing w:val="0"/>
          <w:kern w:val="2"/>
          <w:sz w:val="32"/>
          <w:szCs w:val="32"/>
          <w:u w:val="none"/>
          <w:lang w:val="en-US" w:eastAsia="zh-CN" w:bidi="ar-SA"/>
        </w:rPr>
        <w:t>本单位无政府性基金预算。</w:t>
      </w:r>
    </w:p>
    <w:p w14:paraId="68A6E543">
      <w:pPr>
        <w:numPr>
          <w:ilvl w:val="-1"/>
          <w:numId w:val="0"/>
        </w:numPr>
        <w:spacing w:line="560" w:lineRule="exact"/>
        <w:ind w:firstLine="640" w:firstLineChars="20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二</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政府性基金预算当年拨款结构情况</w:t>
      </w:r>
    </w:p>
    <w:p w14:paraId="44A3CA96">
      <w:pPr>
        <w:spacing w:line="560" w:lineRule="exact"/>
        <w:ind w:firstLine="1600" w:firstLineChars="5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pacing w:val="0"/>
          <w:kern w:val="2"/>
          <w:sz w:val="32"/>
          <w:szCs w:val="32"/>
          <w:u w:val="none"/>
          <w:lang w:val="en-US" w:eastAsia="zh-CN" w:bidi="ar-SA"/>
        </w:rPr>
        <w:t>本单位无政府性基金预算。</w:t>
      </w:r>
    </w:p>
    <w:p w14:paraId="5D6462C8">
      <w:pPr>
        <w:spacing w:line="560" w:lineRule="exact"/>
        <w:ind w:firstLine="640" w:firstLineChars="20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（三）政府性基金预算当年拨款具体使用情况</w:t>
      </w:r>
    </w:p>
    <w:p w14:paraId="00A80B06">
      <w:pPr>
        <w:spacing w:line="560" w:lineRule="exact"/>
        <w:ind w:firstLine="1600" w:firstLineChars="500"/>
        <w:rPr>
          <w:rFonts w:hint="eastAsia" w:ascii="仿宋_GB2312" w:hAnsi="仿宋_GB2312" w:eastAsia="仿宋_GB2312" w:cs="仿宋_GB2312"/>
          <w:sz w:val="32"/>
          <w:szCs w:val="32"/>
          <w:u w:val="none"/>
          <w:shd w:val="clear" w:color="auto" w:fill="auto"/>
        </w:rPr>
      </w:pPr>
      <w:r>
        <w:rPr>
          <w:rFonts w:hint="eastAsia" w:ascii="仿宋_GB2312" w:hAnsi="仿宋_GB2312" w:eastAsia="仿宋_GB2312" w:cs="仿宋_GB2312"/>
          <w:spacing w:val="0"/>
          <w:kern w:val="2"/>
          <w:sz w:val="32"/>
          <w:szCs w:val="32"/>
          <w:u w:val="none"/>
          <w:lang w:val="en-US" w:eastAsia="zh-CN" w:bidi="ar-SA"/>
        </w:rPr>
        <w:t>本单位无政府性基金预算。</w:t>
      </w:r>
    </w:p>
    <w:p w14:paraId="0B8FC616">
      <w:pPr>
        <w:numPr>
          <w:ilvl w:val="0"/>
          <w:numId w:val="4"/>
        </w:numPr>
        <w:spacing w:line="560" w:lineRule="exact"/>
        <w:ind w:firstLine="640" w:firstLineChars="200"/>
        <w:rPr>
          <w:rFonts w:hint="eastAsia" w:ascii="黑体" w:hAnsi="黑体" w:eastAsia="黑体" w:cs="Times New Roman"/>
          <w:sz w:val="32"/>
          <w:szCs w:val="32"/>
          <w:u w:val="none"/>
          <w:shd w:val="clear" w:color="auto" w:fill="FFFFFF"/>
          <w:lang w:eastAsia="zh-CN"/>
        </w:rPr>
      </w:pPr>
      <w:r>
        <w:rPr>
          <w:rFonts w:hint="eastAsia" w:ascii="黑体" w:hAnsi="黑体" w:eastAsia="黑体" w:cs="Times New Roman"/>
          <w:sz w:val="32"/>
          <w:szCs w:val="32"/>
          <w:u w:val="none"/>
          <w:shd w:val="clear" w:color="auto" w:fill="FFFFFF"/>
          <w:lang w:eastAsia="zh-CN"/>
        </w:rPr>
        <w:t>国有资本经营预算当年拨款情况说明</w:t>
      </w:r>
    </w:p>
    <w:p w14:paraId="4719F417">
      <w:pPr>
        <w:spacing w:line="560" w:lineRule="exact"/>
        <w:ind w:firstLine="1600" w:firstLineChars="500"/>
        <w:rPr>
          <w:rFonts w:hint="eastAsia" w:ascii="黑体" w:hAnsi="黑体" w:eastAsia="黑体" w:cs="Times New Roman"/>
          <w:sz w:val="32"/>
          <w:szCs w:val="32"/>
          <w:u w:val="none"/>
          <w:shd w:val="clear" w:color="auto" w:fill="FFFFFF"/>
          <w:lang w:eastAsia="zh-CN"/>
        </w:rPr>
      </w:pPr>
      <w:r>
        <w:rPr>
          <w:rFonts w:hint="eastAsia" w:ascii="仿宋_GB2312" w:hAnsi="仿宋_GB2312" w:eastAsia="仿宋_GB2312" w:cs="仿宋_GB2312"/>
          <w:spacing w:val="0"/>
          <w:kern w:val="2"/>
          <w:sz w:val="32"/>
          <w:szCs w:val="32"/>
          <w:u w:val="none"/>
          <w:lang w:val="en-US" w:eastAsia="zh-CN" w:bidi="ar-SA"/>
        </w:rPr>
        <w:t>本单位无</w:t>
      </w:r>
      <w:r>
        <w:rPr>
          <w:rFonts w:hint="eastAsia" w:ascii="仿宋_GB2312" w:hAnsi="仿宋_GB2312" w:eastAsia="仿宋_GB2312" w:cs="仿宋_GB2312"/>
          <w:sz w:val="32"/>
          <w:szCs w:val="32"/>
          <w:u w:val="none"/>
          <w:shd w:val="clear" w:color="auto" w:fill="auto"/>
          <w:lang w:eastAsia="zh-CN"/>
        </w:rPr>
        <w:t>国有资本经营</w:t>
      </w:r>
      <w:r>
        <w:rPr>
          <w:rFonts w:hint="eastAsia" w:ascii="仿宋_GB2312" w:hAnsi="仿宋_GB2312" w:eastAsia="仿宋_GB2312" w:cs="仿宋_GB2312"/>
          <w:spacing w:val="0"/>
          <w:kern w:val="2"/>
          <w:sz w:val="32"/>
          <w:szCs w:val="32"/>
          <w:u w:val="none"/>
          <w:lang w:val="en-US" w:eastAsia="zh-CN" w:bidi="ar-SA"/>
        </w:rPr>
        <w:t>预算</w:t>
      </w:r>
    </w:p>
    <w:p w14:paraId="2DC1B906">
      <w:pPr>
        <w:spacing w:line="560" w:lineRule="exact"/>
        <w:ind w:firstLine="640" w:firstLineChars="200"/>
        <w:rPr>
          <w:rFonts w:ascii="黑体" w:hAnsi="黑体" w:eastAsia="黑体" w:cs="Times New Roman"/>
          <w:sz w:val="32"/>
          <w:szCs w:val="32"/>
          <w:u w:val="none"/>
          <w:shd w:val="clear" w:color="auto" w:fill="FFFFFF"/>
        </w:rPr>
      </w:pPr>
      <w:r>
        <w:rPr>
          <w:rFonts w:hint="eastAsia" w:ascii="黑体" w:hAnsi="黑体" w:eastAsia="黑体" w:cs="Times New Roman"/>
          <w:sz w:val="32"/>
          <w:szCs w:val="32"/>
          <w:u w:val="none"/>
          <w:shd w:val="clear" w:color="auto" w:fill="FFFFFF"/>
          <w:lang w:eastAsia="zh-CN"/>
        </w:rPr>
        <w:t>七、</w:t>
      </w:r>
      <w:r>
        <w:rPr>
          <w:rFonts w:hint="eastAsia" w:ascii="黑体" w:hAnsi="黑体" w:eastAsia="黑体" w:cs="Times New Roman"/>
          <w:sz w:val="32"/>
          <w:szCs w:val="32"/>
          <w:u w:val="none"/>
          <w:shd w:val="clear" w:color="auto" w:fill="FFFFFF"/>
        </w:rPr>
        <w:t>收支预算总体情况说明</w:t>
      </w:r>
    </w:p>
    <w:p w14:paraId="35DB754B">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仿宋_GB2312" w:eastAsia="仿宋_GB2312" w:cs="仿宋_GB2312"/>
          <w:spacing w:val="0"/>
          <w:kern w:val="2"/>
          <w:sz w:val="32"/>
          <w:szCs w:val="32"/>
          <w:u w:val="none"/>
          <w:lang w:val="en-US" w:eastAsia="zh-CN" w:bidi="ar-SA"/>
        </w:rPr>
        <w:t>白沙黎族自治县人民政府办公室综合事务中心</w:t>
      </w:r>
      <w:r>
        <w:rPr>
          <w:rFonts w:hint="eastAsia" w:ascii="仿宋_GB2312" w:hAnsi="黑体" w:eastAsia="仿宋_GB2312" w:cs="仿宋_GB2312"/>
          <w:sz w:val="32"/>
          <w:szCs w:val="32"/>
          <w:u w:val="none"/>
        </w:rPr>
        <w:t>所有收入和支出均纳入部门预算管理。</w:t>
      </w:r>
      <w:r>
        <w:rPr>
          <w:rFonts w:hint="eastAsia" w:ascii="仿宋_GB2312" w:hAnsi="仿宋_GB2312" w:eastAsia="仿宋_GB2312" w:cs="仿宋_GB2312"/>
          <w:spacing w:val="0"/>
          <w:kern w:val="2"/>
          <w:sz w:val="32"/>
          <w:szCs w:val="32"/>
          <w:u w:val="none"/>
          <w:lang w:val="en-US" w:eastAsia="zh-CN" w:bidi="ar-SA"/>
        </w:rPr>
        <w:t>白沙黎族自治县人民政府办公室综合事务中心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lang w:val="en-US" w:eastAsia="zh-CN"/>
        </w:rPr>
        <w:t>936.88</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w:t>
      </w:r>
      <w:r>
        <w:rPr>
          <w:rFonts w:hint="eastAsia" w:ascii="仿宋_GB2312" w:hAnsi="黑体" w:eastAsia="仿宋_GB2312"/>
          <w:sz w:val="32"/>
          <w:szCs w:val="32"/>
          <w:highlight w:val="none"/>
          <w:u w:val="none"/>
        </w:rPr>
        <w:t>；支出包括：一般公共服务支出</w:t>
      </w:r>
      <w:r>
        <w:rPr>
          <w:rFonts w:hint="eastAsia" w:ascii="仿宋_GB2312" w:hAnsi="黑体" w:eastAsia="仿宋_GB2312"/>
          <w:sz w:val="32"/>
          <w:szCs w:val="32"/>
          <w:u w:val="none"/>
        </w:rPr>
        <w:t>。</w:t>
      </w:r>
    </w:p>
    <w:p w14:paraId="19081592">
      <w:pPr>
        <w:spacing w:line="560" w:lineRule="exact"/>
        <w:ind w:firstLine="640" w:firstLineChars="200"/>
        <w:rPr>
          <w:rFonts w:ascii="黑体" w:hAnsi="黑体" w:eastAsia="黑体" w:cs="Times New Roman"/>
          <w:sz w:val="32"/>
          <w:szCs w:val="32"/>
          <w:u w:val="none"/>
          <w:shd w:val="clear" w:color="auto" w:fill="FFFFFF"/>
        </w:rPr>
      </w:pPr>
      <w:r>
        <w:rPr>
          <w:rFonts w:hint="eastAsia" w:ascii="黑体" w:hAnsi="黑体" w:eastAsia="黑体" w:cs="Times New Roman"/>
          <w:sz w:val="32"/>
          <w:szCs w:val="32"/>
          <w:u w:val="none"/>
          <w:shd w:val="clear" w:color="auto" w:fill="FFFFFF"/>
          <w:lang w:eastAsia="zh-CN"/>
        </w:rPr>
        <w:t>八</w:t>
      </w:r>
      <w:r>
        <w:rPr>
          <w:rFonts w:hint="eastAsia" w:ascii="黑体" w:hAnsi="黑体" w:eastAsia="黑体" w:cs="Times New Roman"/>
          <w:sz w:val="32"/>
          <w:szCs w:val="32"/>
          <w:u w:val="none"/>
          <w:shd w:val="clear" w:color="auto" w:fill="FFFFFF"/>
        </w:rPr>
        <w:t>、收入预算情况说明</w:t>
      </w:r>
    </w:p>
    <w:p w14:paraId="184E8F04">
      <w:pPr>
        <w:spacing w:line="560" w:lineRule="exact"/>
        <w:ind w:firstLine="640" w:firstLineChars="200"/>
        <w:rPr>
          <w:rFonts w:ascii="仿宋_GB2312" w:hAnsi="黑体" w:eastAsia="仿宋_GB2312"/>
          <w:sz w:val="32"/>
          <w:szCs w:val="32"/>
          <w:u w:val="none"/>
        </w:rPr>
      </w:pPr>
      <w:r>
        <w:rPr>
          <w:rFonts w:hint="eastAsia" w:ascii="仿宋_GB2312" w:hAnsi="仿宋_GB2312" w:eastAsia="仿宋_GB2312" w:cs="仿宋_GB2312"/>
          <w:spacing w:val="0"/>
          <w:kern w:val="2"/>
          <w:sz w:val="32"/>
          <w:szCs w:val="32"/>
          <w:u w:val="none"/>
          <w:lang w:val="en-US" w:eastAsia="zh-CN" w:bidi="ar-SA"/>
        </w:rPr>
        <w:t>白沙黎族自治县人民政府办公室综合事务中心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lang w:val="en-US" w:eastAsia="zh-CN"/>
        </w:rPr>
        <w:t>936.88</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lang w:val="en-US" w:eastAsia="zh-CN"/>
        </w:rPr>
        <w:t>50.22</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5.36</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rPr>
        <w:t>886.67</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94.64</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比</w:t>
      </w:r>
      <w:r>
        <w:rPr>
          <w:rFonts w:hint="eastAsia" w:ascii="仿宋_GB2312" w:hAnsi="黑体" w:eastAsia="仿宋_GB2312"/>
          <w:sz w:val="32"/>
          <w:szCs w:val="32"/>
          <w:u w:val="none"/>
        </w:rPr>
        <w:t>上年预算数</w:t>
      </w:r>
      <w:r>
        <w:rPr>
          <w:rFonts w:hint="eastAsia" w:ascii="仿宋_GB2312" w:hAnsi="黑体" w:eastAsia="仿宋_GB2312"/>
          <w:sz w:val="32"/>
          <w:szCs w:val="32"/>
          <w:u w:val="none"/>
          <w:lang w:val="en-US" w:eastAsia="zh-CN"/>
        </w:rPr>
        <w:t>增加</w:t>
      </w:r>
      <w:r>
        <w:rPr>
          <w:rFonts w:hint="eastAsia" w:ascii="仿宋_GB2312" w:hAnsi="黑体" w:eastAsia="仿宋_GB2312" w:cs="仿宋_GB2312"/>
          <w:sz w:val="32"/>
          <w:szCs w:val="32"/>
          <w:u w:val="none"/>
          <w:lang w:val="en-US" w:eastAsia="zh-CN"/>
        </w:rPr>
        <w:t>166.59</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农民小额贷款贴息资金增加</w:t>
      </w:r>
      <w:r>
        <w:rPr>
          <w:rFonts w:hint="eastAsia" w:ascii="仿宋_GB2312" w:hAnsi="黑体" w:eastAsia="仿宋_GB2312"/>
          <w:sz w:val="32"/>
          <w:szCs w:val="32"/>
          <w:u w:val="none"/>
        </w:rPr>
        <w:t>。</w:t>
      </w:r>
    </w:p>
    <w:p w14:paraId="03002B7B">
      <w:pPr>
        <w:spacing w:line="560" w:lineRule="exact"/>
        <w:ind w:firstLine="640" w:firstLineChars="200"/>
        <w:rPr>
          <w:rFonts w:ascii="黑体" w:hAnsi="黑体" w:eastAsia="黑体" w:cs="Times New Roman"/>
          <w:sz w:val="32"/>
          <w:szCs w:val="32"/>
          <w:u w:val="none"/>
          <w:shd w:val="clear" w:color="auto" w:fill="FFFFFF"/>
        </w:rPr>
      </w:pPr>
      <w:r>
        <w:rPr>
          <w:rFonts w:hint="eastAsia" w:ascii="黑体" w:hAnsi="黑体" w:eastAsia="黑体" w:cs="Times New Roman"/>
          <w:sz w:val="32"/>
          <w:szCs w:val="32"/>
          <w:u w:val="none"/>
          <w:shd w:val="clear" w:color="auto" w:fill="FFFFFF"/>
          <w:lang w:eastAsia="zh-CN"/>
        </w:rPr>
        <w:t>九</w:t>
      </w:r>
      <w:r>
        <w:rPr>
          <w:rFonts w:hint="eastAsia" w:ascii="黑体" w:hAnsi="黑体" w:eastAsia="黑体" w:cs="Times New Roman"/>
          <w:sz w:val="32"/>
          <w:szCs w:val="32"/>
          <w:u w:val="none"/>
          <w:shd w:val="clear" w:color="auto" w:fill="FFFFFF"/>
        </w:rPr>
        <w:t>、支出预算情况说明</w:t>
      </w:r>
    </w:p>
    <w:p w14:paraId="7E9A6D62">
      <w:pPr>
        <w:keepNext w:val="0"/>
        <w:keepLines w:val="0"/>
        <w:widowControl w:val="0"/>
        <w:suppressLineNumbers w:val="0"/>
        <w:spacing w:before="0" w:beforeAutospacing="0" w:after="0" w:afterAutospacing="0" w:line="560" w:lineRule="exact"/>
        <w:ind w:left="0" w:right="0"/>
        <w:jc w:val="both"/>
        <w:rPr>
          <w:sz w:val="32"/>
          <w:szCs w:val="32"/>
        </w:rPr>
      </w:pPr>
      <w:r>
        <w:rPr>
          <w:rFonts w:hint="eastAsia" w:ascii="仿宋_GB2312" w:hAnsi="仿宋_GB2312" w:eastAsia="仿宋_GB2312" w:cs="仿宋_GB2312"/>
          <w:spacing w:val="0"/>
          <w:kern w:val="2"/>
          <w:sz w:val="32"/>
          <w:szCs w:val="32"/>
          <w:u w:val="none"/>
          <w:lang w:val="en-US" w:eastAsia="zh-CN" w:bidi="ar-SA"/>
        </w:rPr>
        <w:t>白沙黎族自治县人民政府办公室综合事务中心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年支出预算</w:t>
      </w:r>
      <w:r>
        <w:rPr>
          <w:rFonts w:hint="eastAsia" w:ascii="仿宋_GB2312" w:hAnsi="黑体" w:eastAsia="仿宋_GB2312" w:cs="仿宋_GB2312"/>
          <w:sz w:val="32"/>
          <w:szCs w:val="32"/>
          <w:u w:val="none"/>
          <w:lang w:val="en-US" w:eastAsia="zh-CN"/>
        </w:rPr>
        <w:t>936.88</w:t>
      </w:r>
      <w:r>
        <w:rPr>
          <w:rFonts w:hint="eastAsia" w:ascii="仿宋_GB2312" w:hAnsi="黑体" w:eastAsia="仿宋_GB2312"/>
          <w:sz w:val="32"/>
          <w:szCs w:val="32"/>
          <w:u w:val="none"/>
        </w:rPr>
        <w:t>万元，其中：基本支出</w:t>
      </w:r>
      <w:r>
        <w:rPr>
          <w:rFonts w:hint="eastAsia" w:ascii="仿宋_GB2312" w:hAnsi="黑体" w:eastAsia="仿宋_GB2312" w:cs="仿宋_GB2312"/>
          <w:sz w:val="32"/>
          <w:szCs w:val="32"/>
          <w:u w:val="none"/>
        </w:rPr>
        <w:t>79.67</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8.5</w:t>
      </w:r>
      <w:r>
        <w:rPr>
          <w:rFonts w:hint="eastAsia" w:ascii="仿宋_GB2312" w:hAnsi="黑体" w:eastAsia="仿宋_GB2312"/>
          <w:sz w:val="32"/>
          <w:szCs w:val="32"/>
          <w:u w:val="none"/>
        </w:rPr>
        <w:t>%；项目支出</w:t>
      </w:r>
      <w:r>
        <w:rPr>
          <w:rFonts w:hint="eastAsia" w:ascii="仿宋_GB2312" w:hAnsi="黑体" w:eastAsia="仿宋_GB2312" w:cs="仿宋_GB2312"/>
          <w:sz w:val="32"/>
          <w:szCs w:val="32"/>
          <w:u w:val="none"/>
        </w:rPr>
        <w:t>857.22</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91.5</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比</w:t>
      </w:r>
      <w:r>
        <w:rPr>
          <w:rFonts w:hint="eastAsia" w:ascii="仿宋_GB2312" w:hAnsi="黑体" w:eastAsia="仿宋_GB2312"/>
          <w:sz w:val="32"/>
          <w:szCs w:val="32"/>
          <w:u w:val="none"/>
        </w:rPr>
        <w:t>上年预算数</w:t>
      </w:r>
      <w:r>
        <w:rPr>
          <w:rFonts w:hint="eastAsia" w:ascii="仿宋_GB2312" w:hAnsi="黑体" w:eastAsia="仿宋_GB2312"/>
          <w:sz w:val="32"/>
          <w:szCs w:val="32"/>
          <w:u w:val="none"/>
          <w:lang w:val="en-US" w:eastAsia="zh-CN"/>
        </w:rPr>
        <w:t>增加</w:t>
      </w:r>
      <w:r>
        <w:rPr>
          <w:rFonts w:hint="eastAsia" w:ascii="仿宋_GB2312" w:hAnsi="黑体" w:eastAsia="仿宋_GB2312" w:cs="仿宋_GB2312"/>
          <w:sz w:val="32"/>
          <w:szCs w:val="32"/>
          <w:u w:val="none"/>
          <w:lang w:val="en-US" w:eastAsia="zh-CN"/>
        </w:rPr>
        <w:t>166.59</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农民小额贷款贴息资金增加</w:t>
      </w:r>
      <w:r>
        <w:rPr>
          <w:rFonts w:hint="eastAsia" w:ascii="仿宋_GB2312" w:hAnsi="黑体" w:eastAsia="仿宋_GB2312"/>
          <w:sz w:val="32"/>
          <w:szCs w:val="32"/>
          <w:u w:val="none"/>
        </w:rPr>
        <w:t>。</w:t>
      </w:r>
      <w:r>
        <w:rPr>
          <w:rFonts w:hint="eastAsia" w:ascii="仿宋_GB2312" w:hAnsi="宋体" w:eastAsia="仿宋_GB2312" w:cs="仿宋_GB2312"/>
          <w:kern w:val="2"/>
          <w:sz w:val="32"/>
          <w:szCs w:val="32"/>
          <w:lang w:val="en-US" w:eastAsia="zh-CN" w:bidi="ar"/>
        </w:rPr>
        <w:t>其中委托业务费预算总额0万元，比上年预算数增加0万元。</w:t>
      </w:r>
    </w:p>
    <w:p w14:paraId="78B4CF75">
      <w:pPr>
        <w:spacing w:line="560" w:lineRule="exact"/>
        <w:ind w:firstLine="640" w:firstLineChars="200"/>
        <w:rPr>
          <w:rFonts w:ascii="黑体" w:hAnsi="黑体" w:eastAsia="黑体" w:cs="Times New Roman"/>
          <w:sz w:val="32"/>
          <w:szCs w:val="32"/>
          <w:u w:val="none"/>
          <w:shd w:val="clear" w:color="auto" w:fill="FFFFFF"/>
        </w:rPr>
      </w:pPr>
      <w:r>
        <w:rPr>
          <w:rFonts w:hint="eastAsia" w:ascii="黑体" w:hAnsi="黑体" w:eastAsia="黑体" w:cs="Times New Roman"/>
          <w:sz w:val="32"/>
          <w:szCs w:val="32"/>
          <w:u w:val="none"/>
          <w:shd w:val="clear" w:color="auto" w:fill="FFFFFF"/>
          <w:lang w:eastAsia="zh-CN"/>
        </w:rPr>
        <w:t>十</w:t>
      </w:r>
      <w:r>
        <w:rPr>
          <w:rFonts w:hint="eastAsia" w:ascii="黑体" w:hAnsi="黑体" w:eastAsia="黑体" w:cs="Times New Roman"/>
          <w:sz w:val="32"/>
          <w:szCs w:val="32"/>
          <w:u w:val="none"/>
          <w:shd w:val="clear" w:color="auto" w:fill="FFFFFF"/>
        </w:rPr>
        <w:t>、其他重要事项的情况说明</w:t>
      </w:r>
    </w:p>
    <w:p w14:paraId="0CBD4645">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14:paraId="2076D894">
      <w:pPr>
        <w:spacing w:line="560" w:lineRule="exact"/>
        <w:ind w:firstLine="960" w:firstLineChars="300"/>
        <w:rPr>
          <w:rFonts w:hint="default"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本单位为事业单位</w:t>
      </w:r>
      <w:r>
        <w:rPr>
          <w:rFonts w:hint="eastAsia" w:ascii="仿宋_GB2312" w:hAnsi="黑体" w:eastAsia="仿宋_GB2312" w:cs="仿宋_GB2312"/>
          <w:sz w:val="32"/>
          <w:szCs w:val="32"/>
          <w:u w:val="none"/>
          <w:lang w:val="en-US" w:eastAsia="zh-CN"/>
          <w:woUserID w:val="0"/>
        </w:rPr>
        <w:t>，</w:t>
      </w:r>
      <w:r>
        <w:rPr>
          <w:rFonts w:hint="eastAsia" w:ascii="仿宋_GB2312" w:hAnsi="黑体" w:eastAsia="仿宋_GB2312" w:cs="仿宋_GB2312"/>
          <w:i w:val="0"/>
          <w:iCs w:val="0"/>
          <w:caps w:val="0"/>
          <w:spacing w:val="0"/>
          <w:sz w:val="32"/>
          <w:szCs w:val="32"/>
          <w:u w:val="none"/>
          <w:shd w:val="clear"/>
          <w:woUserID w:val="0"/>
        </w:rPr>
        <w:t>无此项经费</w:t>
      </w:r>
      <w:r>
        <w:rPr>
          <w:rFonts w:hint="eastAsia" w:ascii="仿宋_GB2312" w:hAnsi="黑体" w:eastAsia="仿宋_GB2312" w:cs="仿宋_GB2312"/>
          <w:sz w:val="32"/>
          <w:szCs w:val="32"/>
          <w:u w:val="none"/>
          <w:lang w:val="en-US" w:eastAsia="zh-CN"/>
        </w:rPr>
        <w:t>。</w:t>
      </w:r>
    </w:p>
    <w:p w14:paraId="00BBABC0">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14:paraId="43B00BD7">
      <w:pPr>
        <w:spacing w:line="560" w:lineRule="exact"/>
        <w:ind w:firstLine="960" w:firstLineChars="300"/>
        <w:rPr>
          <w:rFonts w:hint="eastAsia" w:ascii="楷体" w:hAnsi="楷体" w:eastAsia="楷体"/>
          <w:sz w:val="32"/>
          <w:szCs w:val="32"/>
          <w:u w:val="none"/>
        </w:rPr>
      </w:pPr>
      <w:r>
        <w:rPr>
          <w:rFonts w:hint="eastAsia" w:ascii="仿宋_GB2312" w:hAnsi="黑体" w:eastAsia="仿宋_GB2312"/>
          <w:sz w:val="32"/>
          <w:szCs w:val="32"/>
          <w:lang w:val="en-US" w:eastAsia="zh-CN"/>
        </w:rPr>
        <w:t>2026年本单位无政府采购。</w:t>
      </w:r>
    </w:p>
    <w:p w14:paraId="7F360ED7">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14:paraId="5EEAEF67">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仿宋_GB2312" w:eastAsia="仿宋_GB2312" w:cs="仿宋_GB2312"/>
          <w:spacing w:val="0"/>
          <w:kern w:val="2"/>
          <w:sz w:val="32"/>
          <w:szCs w:val="32"/>
          <w:u w:val="none"/>
          <w:lang w:val="en-US" w:eastAsia="zh-CN" w:bidi="ar-SA"/>
        </w:rPr>
        <w:t>白沙黎族自治县人民政府办公室综合事务中心</w:t>
      </w:r>
      <w:r>
        <w:rPr>
          <w:rFonts w:hint="eastAsia" w:ascii="仿宋_GB2312" w:hAnsi="黑体" w:eastAsia="仿宋_GB2312" w:cs="仿宋_GB2312"/>
          <w:sz w:val="32"/>
          <w:szCs w:val="32"/>
          <w:u w:val="none"/>
        </w:rPr>
        <w:t>共有车辆</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台。</w:t>
      </w:r>
    </w:p>
    <w:p w14:paraId="41D49616">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14:paraId="1D623CB1">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仿宋_GB2312" w:eastAsia="仿宋_GB2312" w:cs="仿宋_GB2312"/>
          <w:spacing w:val="0"/>
          <w:kern w:val="2"/>
          <w:sz w:val="32"/>
          <w:szCs w:val="32"/>
          <w:u w:val="none"/>
          <w:lang w:val="en-US" w:eastAsia="zh-CN" w:bidi="ar-SA"/>
        </w:rPr>
        <w:t>白沙黎族自治县人民政府办公室综合事务中心</w:t>
      </w:r>
      <w:r>
        <w:rPr>
          <w:rFonts w:hint="eastAsia" w:ascii="仿宋_GB2312" w:hAnsi="黑体" w:eastAsia="仿宋_GB2312" w:cs="仿宋_GB2312"/>
          <w:sz w:val="32"/>
          <w:szCs w:val="32"/>
          <w:u w:val="none"/>
          <w:lang w:val="en-US" w:eastAsia="zh-CN"/>
        </w:rPr>
        <w:t>14</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886.67</w:t>
      </w:r>
      <w:r>
        <w:rPr>
          <w:rFonts w:hint="eastAsia" w:ascii="仿宋_GB2312" w:hAnsi="黑体" w:eastAsia="仿宋_GB2312"/>
          <w:sz w:val="32"/>
          <w:szCs w:val="32"/>
          <w:u w:val="none"/>
        </w:rPr>
        <w:t>万元。</w:t>
      </w:r>
    </w:p>
    <w:p w14:paraId="66199330">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14:paraId="5414CE51">
      <w:pPr>
        <w:spacing w:line="560" w:lineRule="exact"/>
        <w:ind w:firstLine="640" w:firstLineChars="200"/>
        <w:jc w:val="left"/>
        <w:rPr>
          <w:rFonts w:hint="eastAsia" w:ascii="黑体" w:hAnsi="黑体" w:eastAsia="黑体"/>
          <w:b w:val="0"/>
          <w:bCs/>
          <w:sz w:val="32"/>
          <w:szCs w:val="32"/>
          <w:u w:val="none"/>
          <w:lang w:eastAsia="zh-CN"/>
        </w:rPr>
      </w:pPr>
      <w:r>
        <w:rPr>
          <w:rFonts w:hint="eastAsia" w:ascii="仿宋_GB2312" w:hAnsi="黑体" w:eastAsia="仿宋_GB2312" w:cs="仿宋_GB2312"/>
          <w:sz w:val="32"/>
          <w:szCs w:val="32"/>
          <w:u w:val="none"/>
        </w:rPr>
        <w:t>金融发展专项资金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802</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lang w:val="en-US" w:eastAsia="zh-CN"/>
        </w:rPr>
        <w:t>农民小额贷款贴息</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lang w:val="en-US" w:eastAsia="zh-CN"/>
        </w:rPr>
        <w:t>97分</w:t>
      </w:r>
      <w:r>
        <w:rPr>
          <w:rFonts w:hint="eastAsia" w:ascii="仿宋_GB2312" w:hAnsi="黑体" w:eastAsia="仿宋_GB2312" w:cs="仿宋_GB2312"/>
          <w:sz w:val="32"/>
          <w:szCs w:val="32"/>
          <w:u w:val="none"/>
          <w:lang w:eastAsia="zh-CN"/>
        </w:rPr>
        <w:t>。</w:t>
      </w:r>
    </w:p>
    <w:p w14:paraId="4B929DF3">
      <w:pPr>
        <w:spacing w:line="560" w:lineRule="exact"/>
        <w:jc w:val="center"/>
        <w:rPr>
          <w:rFonts w:hint="eastAsia" w:ascii="黑体" w:hAnsi="黑体" w:eastAsia="黑体"/>
          <w:b w:val="0"/>
          <w:bCs/>
          <w:sz w:val="32"/>
          <w:szCs w:val="32"/>
          <w:u w:val="none"/>
        </w:rPr>
      </w:pPr>
    </w:p>
    <w:p w14:paraId="049CC85B">
      <w:pPr>
        <w:spacing w:line="560" w:lineRule="exact"/>
        <w:jc w:val="center"/>
        <w:rPr>
          <w:rFonts w:hint="eastAsia" w:ascii="黑体" w:hAnsi="黑体" w:eastAsia="黑体"/>
          <w:b w:val="0"/>
          <w:bCs/>
          <w:sz w:val="32"/>
          <w:szCs w:val="32"/>
          <w:u w:val="none"/>
        </w:rPr>
      </w:pPr>
    </w:p>
    <w:p w14:paraId="1FBB95DE">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400015B8">
      <w:pPr>
        <w:spacing w:line="560" w:lineRule="exact"/>
        <w:ind w:firstLine="640" w:firstLineChars="200"/>
        <w:jc w:val="left"/>
        <w:rPr>
          <w:rFonts w:ascii="仿宋_GB2312" w:eastAsia="仿宋_GB2312" w:cs="宋体"/>
          <w:bCs/>
          <w:color w:val="000000"/>
          <w:kern w:val="0"/>
          <w:sz w:val="32"/>
          <w:szCs w:val="32"/>
          <w:u w:val="none"/>
          <w:lang w:val="zh-CN"/>
        </w:rPr>
      </w:pPr>
    </w:p>
    <w:p w14:paraId="193A8E8E">
      <w:pPr>
        <w:spacing w:line="560" w:lineRule="exact"/>
        <w:ind w:firstLine="640" w:firstLineChars="200"/>
        <w:jc w:val="left"/>
        <w:rPr>
          <w:rFonts w:hint="eastAsia" w:ascii="仿宋_GB2312" w:hAnsi="宋体" w:eastAsia="仿宋_GB2312" w:cs="宋体"/>
          <w:color w:val="000000"/>
          <w:kern w:val="0"/>
          <w:sz w:val="32"/>
          <w:szCs w:val="32"/>
          <w:u w:val="none"/>
        </w:rPr>
      </w:pPr>
      <w:r>
        <w:rPr>
          <w:rFonts w:hint="eastAsia" w:ascii="仿宋_GB2312" w:hAnsi="宋体" w:eastAsia="仿宋_GB2312" w:cs="宋体"/>
          <w:color w:val="000000"/>
          <w:kern w:val="0"/>
          <w:sz w:val="32"/>
          <w:szCs w:val="32"/>
          <w:u w:val="none"/>
        </w:rPr>
        <w:t>一、财政拨款收入：指本级财政当年拨付的资金。</w:t>
      </w:r>
    </w:p>
    <w:p w14:paraId="0AD0BD82">
      <w:pPr>
        <w:spacing w:line="560" w:lineRule="exact"/>
        <w:ind w:firstLine="640" w:firstLineChars="200"/>
        <w:jc w:val="left"/>
        <w:rPr>
          <w:rFonts w:hint="eastAsia" w:ascii="仿宋_GB2312" w:hAnsi="宋体" w:eastAsia="仿宋_GB2312" w:cs="宋体"/>
          <w:color w:val="000000"/>
          <w:kern w:val="0"/>
          <w:sz w:val="32"/>
          <w:szCs w:val="32"/>
          <w:u w:val="none"/>
        </w:rPr>
      </w:pPr>
      <w:r>
        <w:rPr>
          <w:rFonts w:hint="eastAsia" w:ascii="仿宋_GB2312" w:hAnsi="宋体" w:eastAsia="仿宋_GB2312" w:cs="宋体"/>
          <w:color w:val="000000"/>
          <w:kern w:val="0"/>
          <w:sz w:val="32"/>
          <w:szCs w:val="32"/>
          <w:u w:val="none"/>
        </w:rPr>
        <w:t>二、一般公共预算拨款收入：指用于反映税收收入、专项收入、行政事业性收费收入、罚没收入、国有资源（资产）有偿使用收入、政府住房基金收入、捐赠收入等财政收入。</w:t>
      </w:r>
    </w:p>
    <w:p w14:paraId="746DF202">
      <w:pPr>
        <w:spacing w:line="560" w:lineRule="exact"/>
        <w:ind w:firstLine="640" w:firstLineChars="200"/>
        <w:jc w:val="left"/>
        <w:rPr>
          <w:rFonts w:hint="eastAsia" w:ascii="仿宋_GB2312" w:hAnsi="宋体" w:eastAsia="仿宋_GB2312" w:cs="宋体"/>
          <w:color w:val="000000"/>
          <w:kern w:val="0"/>
          <w:sz w:val="32"/>
          <w:szCs w:val="32"/>
          <w:u w:val="none"/>
          <w:lang w:eastAsia="zh-CN"/>
        </w:rPr>
      </w:pPr>
      <w:r>
        <w:rPr>
          <w:rFonts w:hint="eastAsia" w:ascii="仿宋_GB2312" w:hAnsi="宋体" w:eastAsia="仿宋_GB2312" w:cs="宋体"/>
          <w:color w:val="000000"/>
          <w:kern w:val="0"/>
          <w:sz w:val="32"/>
          <w:szCs w:val="32"/>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2"/>
          <w:u w:val="none"/>
          <w:lang w:eastAsia="zh-CN"/>
        </w:rPr>
        <w:t>。</w:t>
      </w:r>
    </w:p>
    <w:p w14:paraId="19DB0EB0">
      <w:pPr>
        <w:spacing w:line="560" w:lineRule="exact"/>
        <w:ind w:firstLine="640" w:firstLineChars="200"/>
        <w:jc w:val="left"/>
        <w:rPr>
          <w:rFonts w:hint="eastAsia" w:ascii="仿宋_GB2312" w:hAnsi="宋体" w:eastAsia="仿宋_GB2312" w:cs="宋体"/>
          <w:color w:val="000000"/>
          <w:kern w:val="0"/>
          <w:sz w:val="32"/>
          <w:szCs w:val="32"/>
          <w:u w:val="none"/>
        </w:rPr>
      </w:pPr>
      <w:r>
        <w:rPr>
          <w:rFonts w:hint="eastAsia" w:ascii="仿宋_GB2312" w:hAnsi="宋体" w:eastAsia="仿宋_GB2312" w:cs="宋体"/>
          <w:color w:val="000000"/>
          <w:kern w:val="0"/>
          <w:sz w:val="32"/>
          <w:szCs w:val="32"/>
          <w:u w:val="none"/>
        </w:rPr>
        <w:t xml:space="preserve">四、事业收入：指用于反映事业单位开展专业业务活动及辅助活动所取得的收入。 </w:t>
      </w:r>
    </w:p>
    <w:p w14:paraId="035F18D1">
      <w:pPr>
        <w:spacing w:line="560" w:lineRule="exact"/>
        <w:ind w:firstLine="640" w:firstLineChars="200"/>
        <w:jc w:val="left"/>
        <w:rPr>
          <w:rFonts w:hint="eastAsia" w:ascii="仿宋_GB2312" w:hAnsi="宋体" w:eastAsia="仿宋_GB2312" w:cs="宋体"/>
          <w:color w:val="000000"/>
          <w:kern w:val="0"/>
          <w:sz w:val="32"/>
          <w:szCs w:val="32"/>
          <w:u w:val="none"/>
        </w:rPr>
      </w:pPr>
      <w:r>
        <w:rPr>
          <w:rFonts w:hint="eastAsia" w:ascii="仿宋_GB2312" w:hAnsi="宋体" w:eastAsia="仿宋_GB2312" w:cs="宋体"/>
          <w:color w:val="000000"/>
          <w:kern w:val="0"/>
          <w:sz w:val="32"/>
          <w:szCs w:val="32"/>
          <w:u w:val="none"/>
        </w:rPr>
        <w:t>五、事业单位经营收入：指用于反映事业单位在专业活动及辅助活动之外开展非独立核算经营活动取得的收入。</w:t>
      </w:r>
    </w:p>
    <w:p w14:paraId="436C15BD">
      <w:pPr>
        <w:spacing w:line="560" w:lineRule="exact"/>
        <w:ind w:firstLine="640" w:firstLineChars="200"/>
        <w:jc w:val="left"/>
        <w:rPr>
          <w:rFonts w:hint="eastAsia" w:ascii="仿宋_GB2312" w:hAnsi="宋体" w:eastAsia="仿宋_GB2312" w:cs="宋体"/>
          <w:color w:val="000000"/>
          <w:kern w:val="0"/>
          <w:sz w:val="32"/>
          <w:szCs w:val="32"/>
          <w:u w:val="none"/>
        </w:rPr>
      </w:pPr>
      <w:r>
        <w:rPr>
          <w:rFonts w:hint="eastAsia" w:ascii="仿宋_GB2312" w:hAnsi="宋体" w:eastAsia="仿宋_GB2312" w:cs="宋体"/>
          <w:color w:val="000000"/>
          <w:kern w:val="0"/>
          <w:sz w:val="32"/>
          <w:szCs w:val="32"/>
          <w:u w:val="none"/>
        </w:rPr>
        <w:t>六、其他收入：指除上述“财政拨款收入”“事业收入”“经营收入”等以外的收入。</w:t>
      </w:r>
    </w:p>
    <w:p w14:paraId="744C7EC8">
      <w:pPr>
        <w:spacing w:line="560" w:lineRule="exact"/>
        <w:ind w:firstLine="640" w:firstLineChars="200"/>
        <w:jc w:val="left"/>
        <w:rPr>
          <w:rFonts w:hint="eastAsia" w:ascii="仿宋_GB2312" w:hAnsi="宋体" w:eastAsia="仿宋_GB2312" w:cs="宋体"/>
          <w:color w:val="000000"/>
          <w:kern w:val="0"/>
          <w:sz w:val="32"/>
          <w:szCs w:val="32"/>
          <w:u w:val="none"/>
        </w:rPr>
      </w:pPr>
      <w:r>
        <w:rPr>
          <w:rFonts w:hint="eastAsia" w:ascii="仿宋_GB2312" w:hAnsi="宋体" w:eastAsia="仿宋_GB2312" w:cs="宋体"/>
          <w:color w:val="000000"/>
          <w:kern w:val="0"/>
          <w:sz w:val="32"/>
          <w:szCs w:val="32"/>
          <w:u w:val="none"/>
        </w:rPr>
        <w:t>七、上年结转：指以前年度尚未完成、结转到本年按有关规定继续使用的资金。</w:t>
      </w:r>
    </w:p>
    <w:p w14:paraId="64257350">
      <w:pPr>
        <w:spacing w:line="560" w:lineRule="exact"/>
        <w:ind w:firstLine="640" w:firstLineChars="200"/>
        <w:jc w:val="left"/>
        <w:rPr>
          <w:rFonts w:hint="eastAsia" w:ascii="仿宋_GB2312" w:hAnsi="宋体" w:eastAsia="仿宋_GB2312" w:cs="宋体"/>
          <w:color w:val="000000"/>
          <w:kern w:val="0"/>
          <w:sz w:val="32"/>
          <w:szCs w:val="32"/>
          <w:u w:val="none"/>
        </w:rPr>
      </w:pPr>
      <w:r>
        <w:rPr>
          <w:rFonts w:hint="eastAsia" w:ascii="仿宋_GB2312" w:hAnsi="宋体" w:eastAsia="仿宋_GB2312" w:cs="宋体"/>
          <w:color w:val="000000"/>
          <w:kern w:val="0"/>
          <w:sz w:val="32"/>
          <w:szCs w:val="32"/>
          <w:u w:val="none"/>
        </w:rPr>
        <w:t>八、基本支出：指行政事业单位用于为保障其机构正常运转、完成日常工作任务而发生的人员支出和公用支出。</w:t>
      </w:r>
    </w:p>
    <w:p w14:paraId="0883FC6D">
      <w:pPr>
        <w:spacing w:line="560" w:lineRule="exact"/>
        <w:ind w:firstLine="640" w:firstLineChars="200"/>
        <w:jc w:val="left"/>
        <w:rPr>
          <w:rFonts w:hint="eastAsia" w:ascii="仿宋_GB2312" w:hAnsi="宋体" w:eastAsia="仿宋_GB2312" w:cs="宋体"/>
          <w:color w:val="000000"/>
          <w:kern w:val="0"/>
          <w:sz w:val="32"/>
          <w:szCs w:val="32"/>
          <w:u w:val="none"/>
        </w:rPr>
      </w:pPr>
      <w:r>
        <w:rPr>
          <w:rFonts w:hint="eastAsia" w:ascii="仿宋_GB2312" w:hAnsi="宋体" w:eastAsia="仿宋_GB2312" w:cs="宋体"/>
          <w:color w:val="000000"/>
          <w:kern w:val="0"/>
          <w:sz w:val="32"/>
          <w:szCs w:val="32"/>
          <w:u w:val="none"/>
        </w:rPr>
        <w:t>九、工资福利支出：反映单位开支的在职职工和编制外长期聘用人员的各类劳动报酬，以及为上述人员缴纳的各项社会保险费等。</w:t>
      </w:r>
    </w:p>
    <w:p w14:paraId="359047FF">
      <w:pPr>
        <w:spacing w:line="560" w:lineRule="exact"/>
        <w:ind w:firstLine="640" w:firstLineChars="200"/>
        <w:jc w:val="left"/>
        <w:rPr>
          <w:rFonts w:hint="eastAsia" w:ascii="仿宋_GB2312" w:hAnsi="宋体" w:eastAsia="仿宋_GB2312" w:cs="宋体"/>
          <w:color w:val="000000"/>
          <w:kern w:val="0"/>
          <w:sz w:val="32"/>
          <w:szCs w:val="32"/>
          <w:u w:val="none"/>
        </w:rPr>
      </w:pPr>
      <w:r>
        <w:rPr>
          <w:rFonts w:hint="eastAsia" w:ascii="仿宋_GB2312" w:hAnsi="宋体" w:eastAsia="仿宋_GB2312" w:cs="宋体"/>
          <w:color w:val="000000"/>
          <w:kern w:val="0"/>
          <w:sz w:val="32"/>
          <w:szCs w:val="32"/>
          <w:u w:val="none"/>
        </w:rPr>
        <w:t>十、对个人和家庭的补助支出：反映政府用于对个人和家庭的补助支出，包括离休费、退休费、退职（役）费、抚恤金、生活补助、救济费、医疗费补助、助学金、独生子女奖励金、其他等。</w:t>
      </w:r>
    </w:p>
    <w:p w14:paraId="6A94FA51">
      <w:pPr>
        <w:spacing w:line="560" w:lineRule="exact"/>
        <w:ind w:firstLine="640" w:firstLineChars="200"/>
        <w:jc w:val="left"/>
        <w:rPr>
          <w:rFonts w:hint="eastAsia" w:ascii="仿宋_GB2312" w:hAnsi="宋体" w:eastAsia="仿宋_GB2312" w:cs="宋体"/>
          <w:color w:val="000000"/>
          <w:kern w:val="0"/>
          <w:sz w:val="32"/>
          <w:szCs w:val="32"/>
          <w:u w:val="none"/>
        </w:rPr>
      </w:pPr>
      <w:r>
        <w:rPr>
          <w:rFonts w:hint="eastAsia" w:ascii="仿宋_GB2312" w:hAnsi="宋体" w:eastAsia="仿宋_GB2312" w:cs="宋体"/>
          <w:color w:val="000000"/>
          <w:kern w:val="0"/>
          <w:sz w:val="32"/>
          <w:szCs w:val="32"/>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01AAA466">
      <w:pPr>
        <w:spacing w:line="560" w:lineRule="exact"/>
        <w:ind w:firstLine="640" w:firstLineChars="200"/>
        <w:jc w:val="left"/>
        <w:rPr>
          <w:rFonts w:hint="eastAsia" w:ascii="仿宋_GB2312" w:hAnsi="宋体" w:eastAsia="仿宋_GB2312" w:cs="宋体"/>
          <w:color w:val="000000"/>
          <w:kern w:val="0"/>
          <w:sz w:val="32"/>
          <w:szCs w:val="32"/>
          <w:u w:val="none"/>
        </w:rPr>
      </w:pPr>
      <w:r>
        <w:rPr>
          <w:rFonts w:hint="eastAsia" w:ascii="仿宋_GB2312" w:hAnsi="宋体" w:eastAsia="仿宋_GB2312" w:cs="宋体"/>
          <w:color w:val="000000"/>
          <w:kern w:val="0"/>
          <w:sz w:val="32"/>
          <w:szCs w:val="32"/>
          <w:u w:val="none"/>
        </w:rPr>
        <w:t>十二、项目支出：指各部门、各单位为完成其特定的工作任务和事业发展目标所发生的支出。</w:t>
      </w:r>
    </w:p>
    <w:p w14:paraId="4C30A5BF">
      <w:pPr>
        <w:spacing w:line="560" w:lineRule="exact"/>
        <w:ind w:firstLine="640" w:firstLineChars="200"/>
        <w:jc w:val="left"/>
        <w:rPr>
          <w:rFonts w:hint="eastAsia" w:ascii="仿宋_GB2312" w:hAnsi="宋体" w:eastAsia="仿宋_GB2312" w:cs="宋体"/>
          <w:color w:val="000000"/>
          <w:kern w:val="0"/>
          <w:sz w:val="32"/>
          <w:szCs w:val="32"/>
          <w:u w:val="none"/>
        </w:rPr>
      </w:pPr>
      <w:r>
        <w:rPr>
          <w:rFonts w:hint="eastAsia" w:ascii="仿宋_GB2312" w:hAnsi="宋体" w:eastAsia="仿宋_GB2312" w:cs="宋体"/>
          <w:color w:val="000000"/>
          <w:kern w:val="0"/>
          <w:sz w:val="32"/>
          <w:szCs w:val="32"/>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2"/>
          <w:u w:val="none"/>
          <w:lang w:eastAsia="zh-CN"/>
        </w:rPr>
        <w:t>、</w:t>
      </w:r>
      <w:r>
        <w:rPr>
          <w:rFonts w:hint="eastAsia" w:ascii="仿宋_GB2312" w:hAnsi="宋体" w:eastAsia="仿宋_GB2312" w:cs="宋体"/>
          <w:color w:val="000000"/>
          <w:kern w:val="0"/>
          <w:sz w:val="32"/>
          <w:szCs w:val="32"/>
          <w:u w:val="none"/>
          <w:lang w:val="en-US" w:eastAsia="zh-CN"/>
        </w:rPr>
        <w:t>1个月及以上租车费用</w:t>
      </w:r>
      <w:r>
        <w:rPr>
          <w:rFonts w:hint="eastAsia" w:ascii="仿宋_GB2312" w:hAnsi="宋体" w:eastAsia="仿宋_GB2312" w:cs="宋体"/>
          <w:color w:val="000000"/>
          <w:kern w:val="0"/>
          <w:sz w:val="32"/>
          <w:szCs w:val="32"/>
          <w:u w:val="none"/>
        </w:rPr>
        <w:t>等支出；公务接待费指单位按规定开支的各类公务接待（含外宾接待）支出。</w:t>
      </w:r>
    </w:p>
    <w:p w14:paraId="68F0C4CE">
      <w:pPr>
        <w:spacing w:line="560" w:lineRule="exact"/>
        <w:ind w:firstLine="640" w:firstLineChars="200"/>
        <w:jc w:val="left"/>
        <w:rPr>
          <w:rFonts w:ascii="仿宋_GB2312" w:hAnsi="黑体" w:eastAsia="仿宋_GB2312" w:cs="仿宋_GB2312"/>
          <w:sz w:val="32"/>
          <w:szCs w:val="32"/>
          <w:u w:val="none"/>
        </w:rPr>
      </w:pPr>
      <w:r>
        <w:rPr>
          <w:rFonts w:hint="eastAsia" w:ascii="仿宋_GB2312" w:hAnsi="宋体" w:eastAsia="仿宋_GB2312" w:cs="宋体"/>
          <w:color w:val="000000"/>
          <w:kern w:val="0"/>
          <w:sz w:val="32"/>
          <w:szCs w:val="32"/>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0A05BB-34DB-48C8-B856-CC85ACD2D5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15599B93-6791-47E3-AFBD-1EE6508CCF41}"/>
  </w:font>
  <w:font w:name="仿宋_GB2312">
    <w:panose1 w:val="02010609030101010101"/>
    <w:charset w:val="86"/>
    <w:family w:val="auto"/>
    <w:pitch w:val="default"/>
    <w:sig w:usb0="00000001" w:usb1="080E0000" w:usb2="00000000" w:usb3="00000000" w:csb0="00040000" w:csb1="00000000"/>
    <w:embedRegular r:id="rId3" w:fontKey="{81E92D3D-F739-4373-BDB1-759CB89DDE28}"/>
  </w:font>
  <w:font w:name="方正黑体_GBK">
    <w:altName w:val="黑体"/>
    <w:panose1 w:val="02000000000000000000"/>
    <w:charset w:val="86"/>
    <w:family w:val="auto"/>
    <w:pitch w:val="default"/>
    <w:sig w:usb0="00000000" w:usb1="00000000" w:usb2="00082016" w:usb3="00000000" w:csb0="00040001" w:csb1="00000000"/>
    <w:embedRegular r:id="rId4" w:fontKey="{B2A2E5EC-2CCE-47B5-96DC-0BA3D543EDCE}"/>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embedRegular r:id="rId5" w:fontKey="{8DC468FE-08F2-4173-82C3-FF8678297C8D}"/>
  </w:font>
  <w:font w:name="楷体">
    <w:panose1 w:val="02010609060101010101"/>
    <w:charset w:val="86"/>
    <w:family w:val="auto"/>
    <w:pitch w:val="default"/>
    <w:sig w:usb0="800002BF" w:usb1="38CF7CFA" w:usb2="00000016" w:usb3="00000000" w:csb0="00040001" w:csb1="00000000"/>
    <w:embedRegular r:id="rId6" w:fontKey="{F04727D1-1BCC-4268-B00C-91F53006BB76}"/>
  </w:font>
  <w:font w:name="KSOFD5A7142F">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C1978">
    <w:pPr>
      <w:spacing w:line="177" w:lineRule="auto"/>
      <w:ind w:left="7950"/>
      <w:rPr>
        <w:rFonts w:ascii="宋体" w:hAnsi="宋体" w:eastAsia="宋体" w:cs="宋体"/>
        <w:sz w:val="31"/>
        <w:szCs w:val="3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7267B"/>
    <w:rsid w:val="03197481"/>
    <w:rsid w:val="087C42FC"/>
    <w:rsid w:val="0B0A364D"/>
    <w:rsid w:val="0CB87790"/>
    <w:rsid w:val="113E5C81"/>
    <w:rsid w:val="1A7916DD"/>
    <w:rsid w:val="23907827"/>
    <w:rsid w:val="25063985"/>
    <w:rsid w:val="27F9D6AD"/>
    <w:rsid w:val="288525BB"/>
    <w:rsid w:val="28B90617"/>
    <w:rsid w:val="297E7370"/>
    <w:rsid w:val="2CFFD3C3"/>
    <w:rsid w:val="2FBF19B9"/>
    <w:rsid w:val="35DA1C76"/>
    <w:rsid w:val="35F52949"/>
    <w:rsid w:val="36C84838"/>
    <w:rsid w:val="37DF1B78"/>
    <w:rsid w:val="38476F03"/>
    <w:rsid w:val="3B3F3874"/>
    <w:rsid w:val="3DE53401"/>
    <w:rsid w:val="3F010222"/>
    <w:rsid w:val="43F568DE"/>
    <w:rsid w:val="46ED0B78"/>
    <w:rsid w:val="47CE59D7"/>
    <w:rsid w:val="4E616D88"/>
    <w:rsid w:val="50241A99"/>
    <w:rsid w:val="51EB539F"/>
    <w:rsid w:val="51FF79E2"/>
    <w:rsid w:val="533330FD"/>
    <w:rsid w:val="564A7D24"/>
    <w:rsid w:val="5CD71462"/>
    <w:rsid w:val="5D680E32"/>
    <w:rsid w:val="5EFF8EDA"/>
    <w:rsid w:val="5FB82BB8"/>
    <w:rsid w:val="5FBFEA10"/>
    <w:rsid w:val="60A12B15"/>
    <w:rsid w:val="62242A37"/>
    <w:rsid w:val="62B42C21"/>
    <w:rsid w:val="6524570F"/>
    <w:rsid w:val="66320B8F"/>
    <w:rsid w:val="6665249D"/>
    <w:rsid w:val="682058E6"/>
    <w:rsid w:val="6AC317FD"/>
    <w:rsid w:val="6D967619"/>
    <w:rsid w:val="6F772982"/>
    <w:rsid w:val="6F7F7F61"/>
    <w:rsid w:val="6FDB1131"/>
    <w:rsid w:val="6FDF3A11"/>
    <w:rsid w:val="72BFF0B5"/>
    <w:rsid w:val="72C658E2"/>
    <w:rsid w:val="73CF45A9"/>
    <w:rsid w:val="78277FEB"/>
    <w:rsid w:val="7A167EAF"/>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772D525"/>
    <w:rsid w:val="EAFF647C"/>
    <w:rsid w:val="EDFF99A7"/>
    <w:rsid w:val="EF4F270F"/>
    <w:rsid w:val="F24F813D"/>
    <w:rsid w:val="F3FFFD9D"/>
    <w:rsid w:val="FB5B3034"/>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3"/>
      <w:szCs w:val="33"/>
      <w:lang w:val="en-US" w:eastAsia="en-US" w:bidi="ar-SA"/>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4866</Words>
  <Characters>5247</Characters>
  <Lines>1</Lines>
  <Paragraphs>1</Paragraphs>
  <TotalTime>5</TotalTime>
  <ScaleCrop>false</ScaleCrop>
  <LinksUpToDate>false</LinksUpToDate>
  <CharactersWithSpaces>5283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2017-02-14T07:31:00Z</dcterms:created>
  <dc:creator>null,null,总收发</dc:creator>
  <cp:lastModifiedBy>嗯哼</cp:lastModifiedBy>
  <cp:lastPrinted>2026-03-16T02:07:00Z</cp:lastPrinted>
  <dcterms:modified xsi:type="dcterms:W3CDTF">2026-03-16T03:38:59Z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A452AEA80B3487E3850D8E679530286D</vt:lpwstr>
  </property>
  <property fmtid="{D5CDD505-2E9C-101B-9397-08002B2CF9AE}" pid="4" name="KSOTemplateDocerSaveRecord">
    <vt:lpwstr>eyJoZGlkIjoiMzEwNTM5NzYwMDRjMzkwZTVkZjY2ODkwMGIxNGU0OTUiLCJ1c2VySWQiOiIzOTcyMTE4NzEifQ==</vt:lpwstr>
  </property>
</Properties>
</file>