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rPr>
          <w:rFonts w:hint="eastAsia" w:ascii="Times New Roman" w:eastAsia="方正小标宋简体"/>
          <w:sz w:val="38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adjustRightInd w:val="0"/>
        <w:snapToGrid w:val="0"/>
        <w:jc w:val="center"/>
        <w:rPr>
          <w:rFonts w:hint="eastAsia" w:ascii="Times New Roman" w:eastAsia="方正小标宋简体"/>
          <w:sz w:val="38"/>
        </w:rPr>
      </w:pPr>
      <w:bookmarkStart w:id="1" w:name="_GoBack"/>
      <w:r>
        <w:rPr>
          <w:rFonts w:hint="eastAsia" w:ascii="Times New Roman" w:eastAsia="方正小标宋简体"/>
          <w:sz w:val="38"/>
          <w:lang w:eastAsia="zh-CN"/>
        </w:rPr>
        <w:t>生态</w:t>
      </w:r>
      <w:r>
        <w:rPr>
          <w:rFonts w:hint="eastAsia" w:ascii="Times New Roman" w:eastAsia="方正小标宋简体"/>
          <w:sz w:val="38"/>
        </w:rPr>
        <w:t>环境</w:t>
      </w:r>
      <w:r>
        <w:rPr>
          <w:rFonts w:ascii="Times New Roman" w:hAnsi="Times New Roman" w:eastAsia="方正小标宋简体"/>
          <w:sz w:val="38"/>
        </w:rPr>
        <w:t>“</w:t>
      </w:r>
      <w:r>
        <w:rPr>
          <w:rFonts w:hint="eastAsia" w:ascii="Times New Roman" w:eastAsia="方正小标宋简体"/>
          <w:sz w:val="38"/>
        </w:rPr>
        <w:t>双随机</w:t>
      </w:r>
      <w:r>
        <w:rPr>
          <w:rFonts w:hint="eastAsia" w:ascii="Times New Roman" w:eastAsia="方正小标宋简体"/>
          <w:sz w:val="38"/>
          <w:lang w:eastAsia="zh-CN"/>
        </w:rPr>
        <w:t>、</w:t>
      </w:r>
      <w:r>
        <w:rPr>
          <w:rFonts w:hint="eastAsia" w:ascii="Times New Roman" w:eastAsia="方正小标宋简体"/>
          <w:sz w:val="38"/>
        </w:rPr>
        <w:t>一公开</w:t>
      </w:r>
      <w:r>
        <w:rPr>
          <w:rFonts w:ascii="Times New Roman" w:hAnsi="Times New Roman" w:eastAsia="方正小标宋简体"/>
          <w:sz w:val="38"/>
        </w:rPr>
        <w:t>”</w:t>
      </w:r>
      <w:r>
        <w:rPr>
          <w:rFonts w:hint="eastAsia" w:ascii="Times New Roman" w:eastAsia="方正小标宋简体"/>
          <w:sz w:val="38"/>
        </w:rPr>
        <w:t>情况</w:t>
      </w:r>
      <w:r>
        <w:rPr>
          <w:rFonts w:hint="eastAsia" w:ascii="Times New Roman" w:eastAsia="方正小标宋简体"/>
          <w:sz w:val="38"/>
          <w:lang w:eastAsia="zh-CN"/>
        </w:rPr>
        <w:t>统计</w:t>
      </w:r>
      <w:r>
        <w:rPr>
          <w:rFonts w:hint="eastAsia" w:ascii="Times New Roman" w:eastAsia="方正小标宋简体"/>
          <w:sz w:val="38"/>
        </w:rPr>
        <w:t>表</w:t>
      </w:r>
      <w:r>
        <w:rPr>
          <w:rFonts w:hint="eastAsia" w:ascii="Times New Roman" w:eastAsia="方正小标宋简体"/>
          <w:sz w:val="38"/>
          <w:lang w:eastAsia="zh-CN"/>
        </w:rPr>
        <w:t>（</w:t>
      </w:r>
      <w:r>
        <w:rPr>
          <w:rFonts w:ascii="Times New Roman" w:hAnsi="Times New Roman" w:eastAsia="方正小标宋简体"/>
          <w:sz w:val="38"/>
          <w:u w:val="single"/>
        </w:rPr>
        <w:t>202</w:t>
      </w:r>
      <w:r>
        <w:rPr>
          <w:rFonts w:hint="eastAsia" w:ascii="Times New Roman" w:hAnsi="Times New Roman" w:eastAsia="方正小标宋简体"/>
          <w:sz w:val="38"/>
          <w:u w:val="single"/>
          <w:lang w:val="en-US" w:eastAsia="zh-CN"/>
        </w:rPr>
        <w:t>1</w:t>
      </w:r>
      <w:r>
        <w:rPr>
          <w:rFonts w:hint="eastAsia" w:ascii="Times New Roman" w:eastAsia="方正小标宋简体"/>
          <w:sz w:val="38"/>
        </w:rPr>
        <w:t>年</w:t>
      </w:r>
      <w:r>
        <w:rPr>
          <w:rFonts w:ascii="Times New Roman" w:hAnsi="Times New Roman" w:eastAsia="方正小标宋简体"/>
          <w:sz w:val="38"/>
          <w:u w:val="single"/>
        </w:rPr>
        <w:t xml:space="preserve"> </w:t>
      </w:r>
      <w:r>
        <w:rPr>
          <w:rFonts w:hint="eastAsia" w:ascii="Times New Roman" w:hAnsi="Times New Roman" w:eastAsia="方正小标宋简体"/>
          <w:sz w:val="38"/>
          <w:u w:val="single"/>
          <w:lang w:eastAsia="zh-CN"/>
        </w:rPr>
        <w:t>二</w:t>
      </w:r>
      <w:r>
        <w:rPr>
          <w:rFonts w:hint="eastAsia" w:ascii="Times New Roman" w:hAnsi="Times New Roman" w:eastAsia="方正小标宋简体"/>
          <w:sz w:val="38"/>
          <w:u w:val="single"/>
          <w:lang w:val="en-US" w:eastAsia="zh-CN"/>
        </w:rPr>
        <w:t xml:space="preserve"> </w:t>
      </w:r>
      <w:r>
        <w:rPr>
          <w:rFonts w:hint="eastAsia" w:ascii="Times New Roman" w:eastAsia="方正小标宋简体"/>
          <w:sz w:val="38"/>
          <w:lang w:eastAsia="zh-CN"/>
        </w:rPr>
        <w:t>季度）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contextualSpacing/>
        <w:jc w:val="left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contextualSpacing/>
        <w:jc w:val="left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填报单位：白沙黎族自治县综合行政执法局</w:t>
      </w:r>
    </w:p>
    <w:tbl>
      <w:tblPr>
        <w:tblStyle w:val="3"/>
        <w:tblW w:w="141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343"/>
        <w:gridCol w:w="401"/>
        <w:gridCol w:w="477"/>
        <w:gridCol w:w="500"/>
        <w:gridCol w:w="634"/>
        <w:gridCol w:w="601"/>
        <w:gridCol w:w="593"/>
        <w:gridCol w:w="702"/>
        <w:gridCol w:w="668"/>
        <w:gridCol w:w="837"/>
        <w:gridCol w:w="584"/>
        <w:gridCol w:w="516"/>
        <w:gridCol w:w="516"/>
        <w:gridCol w:w="623"/>
        <w:gridCol w:w="571"/>
        <w:gridCol w:w="666"/>
        <w:gridCol w:w="686"/>
        <w:gridCol w:w="688"/>
        <w:gridCol w:w="702"/>
        <w:gridCol w:w="686"/>
        <w:gridCol w:w="701"/>
        <w:gridCol w:w="591"/>
        <w:gridCol w:w="401"/>
        <w:gridCol w:w="4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0" w:hRule="atLeast"/>
          <w:jc w:val="center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eastAsia="zh-CN"/>
              </w:rPr>
            </w:pPr>
            <w:bookmarkStart w:id="0" w:name="_Hlk493252525"/>
            <w:r>
              <w:rPr>
                <w:rFonts w:hint="eastAsia" w:ascii="Times New Roman" w:hAnsi="Times New Roman" w:eastAsia="黑体"/>
                <w:sz w:val="20"/>
                <w:szCs w:val="20"/>
                <w:lang w:eastAsia="zh-CN"/>
              </w:rPr>
              <w:t>抽查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eastAsia="zh-CN"/>
              </w:rPr>
              <w:t>主体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单位数量</w:t>
            </w:r>
          </w:p>
        </w:tc>
        <w:tc>
          <w:tcPr>
            <w:tcW w:w="280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污染源监管动态信息库</w:t>
            </w:r>
          </w:p>
        </w:tc>
        <w:tc>
          <w:tcPr>
            <w:tcW w:w="220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pacing w:val="-12"/>
                <w:sz w:val="20"/>
                <w:szCs w:val="20"/>
              </w:rPr>
            </w:pPr>
            <w:r>
              <w:rPr>
                <w:rFonts w:hint="eastAsia" w:ascii="Times New Roman" w:eastAsia="黑体"/>
                <w:spacing w:val="-12"/>
                <w:sz w:val="20"/>
                <w:szCs w:val="20"/>
              </w:rPr>
              <w:t>执法人员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eastAsia="黑体"/>
                <w:spacing w:val="-12"/>
                <w:sz w:val="20"/>
                <w:szCs w:val="20"/>
              </w:rPr>
            </w:pPr>
            <w:r>
              <w:rPr>
                <w:rFonts w:hint="eastAsia" w:ascii="Times New Roman" w:eastAsia="黑体"/>
                <w:spacing w:val="-12"/>
                <w:sz w:val="20"/>
                <w:szCs w:val="20"/>
              </w:rPr>
              <w:t>信息库</w:t>
            </w:r>
          </w:p>
        </w:tc>
        <w:tc>
          <w:tcPr>
            <w:tcW w:w="485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“</w:t>
            </w:r>
            <w:r>
              <w:rPr>
                <w:rFonts w:hint="eastAsia" w:ascii="Times New Roman" w:eastAsia="黑体"/>
                <w:sz w:val="20"/>
                <w:szCs w:val="20"/>
              </w:rPr>
              <w:t>双随机</w:t>
            </w:r>
            <w:r>
              <w:rPr>
                <w:rFonts w:ascii="Times New Roman" w:hAnsi="Times New Roman" w:eastAsia="黑体"/>
                <w:sz w:val="20"/>
                <w:szCs w:val="20"/>
              </w:rPr>
              <w:t>”</w:t>
            </w:r>
            <w:r>
              <w:rPr>
                <w:rFonts w:hint="eastAsia" w:ascii="Times New Roman" w:eastAsia="黑体"/>
                <w:sz w:val="20"/>
                <w:szCs w:val="20"/>
              </w:rPr>
              <w:t>监管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信息公开数量</w:t>
            </w:r>
          </w:p>
        </w:tc>
        <w:tc>
          <w:tcPr>
            <w:tcW w:w="68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发现并查处违法问题数量</w:t>
            </w:r>
          </w:p>
        </w:tc>
        <w:tc>
          <w:tcPr>
            <w:tcW w:w="701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黑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eastAsia="黑体"/>
                <w:sz w:val="20"/>
                <w:szCs w:val="20"/>
                <w:highlight w:val="none"/>
                <w:lang w:eastAsia="zh-CN"/>
              </w:rPr>
              <w:t>发现并要求整改的环境管理问题数量</w:t>
            </w:r>
          </w:p>
        </w:tc>
        <w:tc>
          <w:tcPr>
            <w:tcW w:w="142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未纳入</w:t>
            </w:r>
            <w:r>
              <w:rPr>
                <w:rFonts w:ascii="Times New Roman" w:hAnsi="Times New Roman" w:eastAsia="黑体"/>
                <w:sz w:val="20"/>
                <w:szCs w:val="20"/>
              </w:rPr>
              <w:t>“</w:t>
            </w:r>
            <w:r>
              <w:rPr>
                <w:rFonts w:hint="eastAsia" w:ascii="Times New Roman" w:eastAsia="黑体"/>
                <w:sz w:val="20"/>
                <w:szCs w:val="20"/>
              </w:rPr>
              <w:t>双随机</w:t>
            </w:r>
            <w:r>
              <w:rPr>
                <w:rFonts w:ascii="Times New Roman" w:hAnsi="Times New Roman" w:eastAsia="黑体"/>
                <w:sz w:val="20"/>
                <w:szCs w:val="20"/>
              </w:rPr>
              <w:t>”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监管的执法事项</w:t>
            </w: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黑体"/>
                <w:spacing w:val="-12"/>
                <w:sz w:val="20"/>
                <w:szCs w:val="20"/>
              </w:rPr>
            </w:pPr>
            <w:r>
              <w:rPr>
                <w:rFonts w:hint="eastAsia" w:ascii="Times New Roman" w:eastAsia="黑体"/>
                <w:spacing w:val="-12"/>
                <w:sz w:val="20"/>
                <w:szCs w:val="20"/>
              </w:rPr>
              <w:t>数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eastAsia="黑体"/>
                <w:spacing w:val="-12"/>
                <w:sz w:val="20"/>
                <w:szCs w:val="20"/>
              </w:rPr>
            </w:pPr>
            <w:r>
              <w:rPr>
                <w:rFonts w:hint="eastAsia" w:ascii="Times New Roman" w:eastAsia="黑体"/>
                <w:spacing w:val="-12"/>
                <w:sz w:val="20"/>
                <w:szCs w:val="20"/>
              </w:rPr>
              <w:t>据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eastAsia="黑体"/>
                <w:spacing w:val="-12"/>
                <w:sz w:val="20"/>
                <w:szCs w:val="20"/>
              </w:rPr>
            </w:pPr>
            <w:r>
              <w:rPr>
                <w:rFonts w:hint="eastAsia" w:ascii="Times New Roman" w:eastAsia="黑体"/>
                <w:spacing w:val="-12"/>
                <w:sz w:val="20"/>
                <w:szCs w:val="20"/>
              </w:rPr>
              <w:t>库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数</w:t>
            </w: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污染源家数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pacing w:val="-12"/>
                <w:sz w:val="20"/>
                <w:szCs w:val="20"/>
              </w:rPr>
              <w:t>数据库</w:t>
            </w:r>
            <w:r>
              <w:rPr>
                <w:rFonts w:hint="eastAsia" w:ascii="Times New Roman" w:eastAsia="黑体"/>
                <w:sz w:val="20"/>
                <w:szCs w:val="20"/>
              </w:rPr>
              <w:t>个数</w:t>
            </w:r>
          </w:p>
        </w:tc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  <w:lang w:eastAsia="zh-CN"/>
              </w:rPr>
              <w:t>入库执法检查人员</w:t>
            </w:r>
            <w:r>
              <w:rPr>
                <w:rFonts w:hint="eastAsia" w:ascii="Times New Roman" w:eastAsia="黑体"/>
                <w:sz w:val="20"/>
                <w:szCs w:val="20"/>
              </w:rPr>
              <w:t>数量</w:t>
            </w: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黑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eastAsia="黑体"/>
                <w:sz w:val="20"/>
                <w:szCs w:val="20"/>
                <w:lang w:eastAsia="zh-CN"/>
              </w:rPr>
              <w:t>入库的专家专技人员以及检测机构、科研院所数量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污染源日常监管领域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eastAsia="黑体"/>
                <w:spacing w:val="20"/>
                <w:sz w:val="20"/>
                <w:szCs w:val="20"/>
              </w:rPr>
              <w:t>专项</w:t>
            </w:r>
            <w:r>
              <w:rPr>
                <w:rFonts w:hint="eastAsia" w:ascii="Times New Roman" w:eastAsia="黑体"/>
                <w:spacing w:val="20"/>
                <w:sz w:val="20"/>
                <w:szCs w:val="20"/>
                <w:lang w:eastAsia="zh-CN"/>
              </w:rPr>
              <w:t>检查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跨部门联合开展</w:t>
            </w:r>
            <w:r>
              <w:rPr>
                <w:rFonts w:ascii="Times New Roman" w:hAnsi="Times New Roman" w:eastAsia="黑体"/>
                <w:sz w:val="20"/>
                <w:szCs w:val="20"/>
              </w:rPr>
              <w:t>“</w:t>
            </w:r>
            <w:r>
              <w:rPr>
                <w:rFonts w:hint="eastAsia" w:ascii="Times New Roman" w:eastAsia="黑体"/>
                <w:sz w:val="20"/>
                <w:szCs w:val="20"/>
              </w:rPr>
              <w:t>双随机、一公开</w:t>
            </w:r>
            <w:r>
              <w:rPr>
                <w:rFonts w:ascii="Times New Roman" w:hAnsi="Times New Roman" w:eastAsia="黑体"/>
                <w:sz w:val="20"/>
                <w:szCs w:val="20"/>
              </w:rPr>
              <w:t>”</w:t>
            </w:r>
            <w:r>
              <w:rPr>
                <w:rFonts w:hint="eastAsia" w:ascii="Times New Roman" w:hAnsi="Times New Roman" w:eastAsia="黑体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eastAsia="zh-CN"/>
              </w:rPr>
              <w:t>开展非现场检查家次</w:t>
            </w:r>
          </w:p>
        </w:tc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事项种类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监管家次</w:t>
            </w:r>
          </w:p>
        </w:tc>
        <w:tc>
          <w:tcPr>
            <w:tcW w:w="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未纳入理由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95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总数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一般排污单位家数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重点排污单位家数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特殊监管对象数量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一般排污单位家次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重点排污单位家次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特殊监管对象家次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eastAsia="zh-CN"/>
              </w:rPr>
              <w:t>开展抽查的</w:t>
            </w:r>
            <w:r>
              <w:rPr>
                <w:rFonts w:hint="eastAsia" w:ascii="Times New Roman" w:hAnsi="Times New Roman" w:eastAsia="黑体"/>
                <w:sz w:val="20"/>
                <w:szCs w:val="20"/>
              </w:rPr>
              <w:t>专项</w:t>
            </w:r>
            <w:r>
              <w:rPr>
                <w:rFonts w:hint="eastAsia" w:ascii="Times New Roman" w:hAnsi="Times New Roman" w:eastAsia="黑体"/>
                <w:sz w:val="20"/>
                <w:szCs w:val="20"/>
                <w:lang w:eastAsia="zh-CN"/>
              </w:rPr>
              <w:t>个</w:t>
            </w:r>
            <w:r>
              <w:rPr>
                <w:rFonts w:hint="eastAsia" w:ascii="Times New Roman" w:hAnsi="Times New Roman" w:eastAsia="黑体"/>
                <w:sz w:val="20"/>
                <w:szCs w:val="20"/>
              </w:rPr>
              <w:t>数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检查家次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活动次数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检查家次</w:t>
            </w:r>
          </w:p>
        </w:tc>
        <w:tc>
          <w:tcPr>
            <w:tcW w:w="6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/>
                <w:sz w:val="20"/>
                <w:szCs w:val="20"/>
                <w:lang w:eastAsia="zh-CN"/>
              </w:rPr>
              <w:t>省级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市级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县级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contextualSpacing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7435F"/>
    <w:rsid w:val="3EB7435F"/>
    <w:rsid w:val="5B39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爱德森"/>
    <w:basedOn w:val="2"/>
    <w:link w:val="6"/>
    <w:qFormat/>
    <w:uiPriority w:val="0"/>
    <w:pPr>
      <w:ind w:leftChars="300"/>
    </w:pPr>
    <w:rPr>
      <w:rFonts w:hint="eastAsia" w:ascii="Times New Roman" w:hAnsi="Times New Roman" w:eastAsia="宋体" w:cs="Times New Roman"/>
      <w:sz w:val="20"/>
      <w:szCs w:val="20"/>
      <w:lang w:bidi="ar"/>
    </w:rPr>
  </w:style>
  <w:style w:type="character" w:customStyle="1" w:styleId="6">
    <w:name w:val="WPSOffice手动目录 1 Char"/>
    <w:link w:val="5"/>
    <w:uiPriority w:val="0"/>
    <w:rPr>
      <w:rFonts w:hint="eastAsia" w:ascii="Times New Roman" w:hAnsi="Times New Roman" w:eastAsia="宋体" w:cs="Times New Roman"/>
      <w:sz w:val="20"/>
      <w:szCs w:val="20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白沙黎族自治县（牙叉镇）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2021-07-20T03:19:00Z</dcterms:created>
  <dc:creator>夕明</dc:creator>
  <cp:lastModifiedBy>夕明</cp:lastModifiedBy>
  <dcterms:modified xsi:type="dcterms:W3CDTF">2021-07-20T03:20:37Z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