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hint="eastAsia" w:ascii="方正小标宋简体" w:hAnsi="黑体" w:eastAsia="方正小标宋简体" w:cs="宋体"/>
          <w:kern w:val="0"/>
          <w:sz w:val="44"/>
          <w:szCs w:val="44"/>
          <w:lang w:val="en-US" w:eastAsia="zh-CN"/>
        </w:rPr>
      </w:pPr>
      <w:r>
        <w:rPr>
          <w:rFonts w:hint="eastAsia" w:ascii="方正小标宋简体" w:hAnsi="黑体" w:eastAsia="方正小标宋简体" w:cs="宋体"/>
          <w:kern w:val="0"/>
          <w:sz w:val="44"/>
          <w:szCs w:val="44"/>
          <w:lang w:val="en-US" w:eastAsia="zh-CN"/>
        </w:rPr>
        <w:t>白沙黎族自治县青松乡人民政府</w:t>
      </w: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44"/>
          <w:szCs w:val="44"/>
          <w:lang w:val="en-US" w:eastAsia="zh-CN"/>
        </w:rPr>
        <w:t>民政发展专项资金</w:t>
      </w:r>
      <w:r>
        <w:rPr>
          <w:rFonts w:hint="eastAsia" w:ascii="方正小标宋简体" w:hAnsi="黑体" w:eastAsia="方正小标宋简体" w:cs="宋体"/>
          <w:kern w:val="0"/>
          <w:sz w:val="44"/>
          <w:szCs w:val="44"/>
          <w:lang w:eastAsia="zh-CN"/>
        </w:rPr>
        <w:t>项目绩效自评报告</w:t>
      </w:r>
    </w:p>
    <w:p>
      <w:pPr>
        <w:rPr>
          <w:rFonts w:eastAsia="黑体"/>
          <w:sz w:val="28"/>
          <w:szCs w:val="28"/>
        </w:rPr>
      </w:pPr>
    </w:p>
    <w:p>
      <w:pPr>
        <w:rPr>
          <w:rFonts w:eastAsia="黑体"/>
          <w:sz w:val="28"/>
          <w:szCs w:val="28"/>
        </w:rPr>
      </w:pPr>
    </w:p>
    <w:p>
      <w:pPr>
        <w:rPr>
          <w:rFonts w:ascii="宋体" w:hAnsi="宋体"/>
          <w:sz w:val="28"/>
          <w:szCs w:val="28"/>
        </w:rPr>
      </w:pPr>
    </w:p>
    <w:p>
      <w:pPr>
        <w:rPr>
          <w:rFonts w:ascii="宋体" w:hAnsi="宋体"/>
          <w:sz w:val="28"/>
          <w:szCs w:val="28"/>
          <w:u w:val="none"/>
        </w:rPr>
      </w:pPr>
    </w:p>
    <w:p>
      <w:pPr>
        <w:rPr>
          <w:rFonts w:hAnsi="宋体"/>
          <w:sz w:val="28"/>
          <w:szCs w:val="28"/>
          <w:u w:val="none"/>
        </w:rPr>
      </w:pPr>
      <w:r>
        <w:rPr>
          <w:rFonts w:hint="eastAsia" w:ascii="宋体" w:hAnsi="宋体"/>
          <w:sz w:val="28"/>
          <w:szCs w:val="28"/>
          <w:u w:val="none"/>
        </w:rPr>
        <w:t xml:space="preserve">    </w:t>
      </w:r>
      <w:r>
        <w:rPr>
          <w:rFonts w:hint="eastAsia" w:hAnsi="宋体"/>
          <w:sz w:val="28"/>
          <w:szCs w:val="28"/>
          <w:u w:val="none"/>
        </w:rPr>
        <w:t xml:space="preserve"> 评价类型：</w:t>
      </w:r>
      <w:r>
        <w:rPr>
          <w:rFonts w:hint="eastAsia" w:hAnsi="宋体"/>
          <w:spacing w:val="-20"/>
          <w:sz w:val="36"/>
          <w:u w:val="none"/>
        </w:rPr>
        <w:t>□</w:t>
      </w:r>
      <w:r>
        <w:rPr>
          <w:rFonts w:hint="eastAsia" w:hAnsi="宋体"/>
          <w:sz w:val="28"/>
          <w:szCs w:val="28"/>
          <w:u w:val="none"/>
        </w:rPr>
        <w:t xml:space="preserve">实施过程评价      </w:t>
      </w:r>
      <w:r>
        <w:rPr>
          <w:rFonts w:hint="eastAsia" w:hAnsi="宋体"/>
          <w:spacing w:val="-20"/>
          <w:sz w:val="36"/>
          <w:u w:val="none"/>
          <w:lang w:eastAsia="zh-CN"/>
        </w:rPr>
        <w:t>☑</w:t>
      </w:r>
      <w:r>
        <w:rPr>
          <w:rFonts w:hint="eastAsia" w:hAnsi="宋体"/>
          <w:sz w:val="28"/>
          <w:szCs w:val="28"/>
          <w:u w:val="none"/>
        </w:rPr>
        <w:t>完成结果评价</w:t>
      </w:r>
    </w:p>
    <w:p>
      <w:pPr>
        <w:ind w:left="1400" w:hanging="1400" w:hangingChars="500"/>
        <w:rPr>
          <w:rFonts w:hint="default" w:hAnsi="宋体" w:eastAsiaTheme="minorEastAsia"/>
          <w:sz w:val="28"/>
          <w:szCs w:val="28"/>
          <w:u w:val="single"/>
          <w:lang w:val="en-US" w:eastAsia="zh-CN"/>
        </w:rPr>
      </w:pPr>
      <w:r>
        <w:rPr>
          <w:rFonts w:hint="eastAsia" w:hAnsi="宋体"/>
          <w:sz w:val="28"/>
          <w:szCs w:val="28"/>
        </w:rPr>
        <w:t xml:space="preserve">     项目名称：</w:t>
      </w:r>
      <w:r>
        <w:rPr>
          <w:rFonts w:hint="eastAsia" w:hAnsi="宋体"/>
          <w:sz w:val="28"/>
          <w:szCs w:val="28"/>
          <w:u w:val="single"/>
          <w:lang w:val="en-US" w:eastAsia="zh-CN"/>
        </w:rPr>
        <w:t xml:space="preserve">     民政发展专项资金</w:t>
      </w:r>
      <w:r>
        <w:rPr>
          <w:rFonts w:hint="eastAsia" w:hAnsi="宋体"/>
          <w:sz w:val="28"/>
          <w:szCs w:val="28"/>
          <w:u w:val="single"/>
          <w:lang w:eastAsia="zh-CN"/>
        </w:rPr>
        <w:t>项目</w:t>
      </w:r>
      <w:r>
        <w:rPr>
          <w:rFonts w:hint="eastAsia" w:hAnsi="宋体"/>
          <w:sz w:val="28"/>
          <w:szCs w:val="28"/>
          <w:u w:val="single"/>
          <w:lang w:val="en-US" w:eastAsia="zh-CN"/>
        </w:rPr>
        <w:t xml:space="preserve">    </w:t>
      </w:r>
    </w:p>
    <w:p>
      <w:pPr>
        <w:ind w:left="2240" w:hanging="2240" w:hangingChars="800"/>
        <w:rPr>
          <w:rFonts w:hint="default" w:hAnsi="宋体" w:eastAsiaTheme="minorEastAsia"/>
          <w:sz w:val="28"/>
          <w:szCs w:val="28"/>
          <w:u w:val="single"/>
          <w:lang w:val="en-US" w:eastAsia="zh-CN"/>
        </w:rPr>
      </w:pPr>
      <w:r>
        <w:rPr>
          <w:rFonts w:hint="eastAsia" w:hAnsi="宋体"/>
          <w:sz w:val="28"/>
          <w:szCs w:val="28"/>
        </w:rPr>
        <w:t xml:space="preserve">     项目单位：</w:t>
      </w:r>
      <w:r>
        <w:rPr>
          <w:rFonts w:hint="eastAsia" w:ascii="宋体" w:hAnsi="宋体" w:eastAsia="宋体" w:cs="宋体"/>
          <w:sz w:val="28"/>
          <w:szCs w:val="28"/>
          <w:u w:val="single"/>
          <w:lang w:eastAsia="zh-CN"/>
        </w:rPr>
        <w:t>白沙黎族自治县</w:t>
      </w:r>
      <w:r>
        <w:rPr>
          <w:rFonts w:hint="eastAsia" w:ascii="宋体" w:hAnsi="宋体" w:cs="宋体"/>
          <w:sz w:val="28"/>
          <w:szCs w:val="28"/>
          <w:u w:val="single"/>
          <w:lang w:val="en-US" w:eastAsia="zh-CN"/>
        </w:rPr>
        <w:t>青松</w:t>
      </w:r>
      <w:r>
        <w:rPr>
          <w:rFonts w:hint="eastAsia" w:ascii="宋体" w:hAnsi="宋体" w:eastAsia="宋体" w:cs="宋体"/>
          <w:sz w:val="28"/>
          <w:szCs w:val="28"/>
          <w:u w:val="single"/>
          <w:lang w:eastAsia="zh-CN"/>
        </w:rPr>
        <w:t>乡人民政府</w:t>
      </w:r>
      <w:r>
        <w:rPr>
          <w:rFonts w:hint="eastAsia" w:hAnsi="宋体"/>
          <w:sz w:val="28"/>
          <w:szCs w:val="28"/>
          <w:u w:val="single"/>
          <w:lang w:val="en-US" w:eastAsia="zh-CN"/>
        </w:rPr>
        <w:t xml:space="preserve"> </w:t>
      </w:r>
    </w:p>
    <w:p>
      <w:pPr>
        <w:ind w:left="1400" w:hanging="1400" w:hangingChars="500"/>
        <w:rPr>
          <w:rFonts w:hAnsi="宋体"/>
          <w:sz w:val="28"/>
          <w:szCs w:val="28"/>
        </w:rPr>
      </w:pPr>
      <w:r>
        <w:rPr>
          <w:rFonts w:hint="eastAsia" w:hAnsi="宋体"/>
          <w:sz w:val="28"/>
          <w:szCs w:val="28"/>
        </w:rPr>
        <w:t xml:space="preserve">     主管部门：</w:t>
      </w:r>
      <w:r>
        <w:rPr>
          <w:rFonts w:hint="eastAsia" w:hAnsi="宋体"/>
          <w:sz w:val="28"/>
          <w:szCs w:val="28"/>
          <w:u w:val="single"/>
          <w:lang w:val="en-US" w:eastAsia="zh-CN"/>
        </w:rPr>
        <w:t xml:space="preserve">    </w:t>
      </w:r>
      <w:r>
        <w:rPr>
          <w:rFonts w:hint="eastAsia" w:hAnsi="宋体"/>
          <w:sz w:val="28"/>
          <w:szCs w:val="28"/>
          <w:u w:val="single"/>
        </w:rPr>
        <w:t>白沙黎族自治县</w:t>
      </w:r>
      <w:r>
        <w:rPr>
          <w:rFonts w:hint="eastAsia" w:hAnsi="宋体"/>
          <w:sz w:val="28"/>
          <w:szCs w:val="28"/>
          <w:u w:val="single"/>
          <w:lang w:val="en-US" w:eastAsia="zh-CN"/>
        </w:rPr>
        <w:t xml:space="preserve">民政局     </w:t>
      </w:r>
      <w:r>
        <w:rPr>
          <w:rFonts w:hint="eastAsia" w:hAnsi="宋体"/>
          <w:sz w:val="28"/>
          <w:szCs w:val="28"/>
        </w:rPr>
        <w:t xml:space="preserve">  </w:t>
      </w:r>
    </w:p>
    <w:p>
      <w:pPr>
        <w:ind w:left="1400" w:hanging="1400" w:hangingChars="500"/>
        <w:rPr>
          <w:rFonts w:hAnsi="宋体"/>
          <w:color w:val="auto"/>
          <w:sz w:val="28"/>
          <w:szCs w:val="28"/>
        </w:rPr>
      </w:pPr>
      <w:r>
        <w:rPr>
          <w:rFonts w:hint="eastAsia" w:hAnsi="宋体"/>
          <w:sz w:val="28"/>
          <w:szCs w:val="28"/>
        </w:rPr>
        <w:t xml:space="preserve">     评价时间：</w:t>
      </w:r>
      <w:r>
        <w:rPr>
          <w:rFonts w:hint="eastAsia" w:hAnsi="宋体"/>
          <w:color w:val="auto"/>
          <w:sz w:val="28"/>
          <w:szCs w:val="28"/>
          <w:highlight w:val="none"/>
          <w:u w:val="single"/>
        </w:rPr>
        <w:t>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2</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29</w:t>
      </w:r>
      <w:r>
        <w:rPr>
          <w:rFonts w:hint="eastAsia" w:hAnsi="宋体"/>
          <w:color w:val="auto"/>
          <w:sz w:val="28"/>
          <w:szCs w:val="28"/>
          <w:highlight w:val="none"/>
          <w:u w:val="single"/>
        </w:rPr>
        <w:t>日至202</w:t>
      </w:r>
      <w:r>
        <w:rPr>
          <w:rFonts w:hint="eastAsia" w:hAnsi="宋体"/>
          <w:color w:val="auto"/>
          <w:sz w:val="28"/>
          <w:szCs w:val="28"/>
          <w:highlight w:val="none"/>
          <w:u w:val="single"/>
          <w:lang w:val="en-US" w:eastAsia="zh-CN"/>
        </w:rPr>
        <w:t>4</w:t>
      </w:r>
      <w:r>
        <w:rPr>
          <w:rFonts w:hint="eastAsia" w:hAnsi="宋体"/>
          <w:color w:val="auto"/>
          <w:sz w:val="28"/>
          <w:szCs w:val="28"/>
          <w:highlight w:val="none"/>
          <w:u w:val="single"/>
        </w:rPr>
        <w:t>年</w:t>
      </w:r>
      <w:r>
        <w:rPr>
          <w:rFonts w:hint="eastAsia" w:hAnsi="宋体"/>
          <w:color w:val="auto"/>
          <w:sz w:val="28"/>
          <w:szCs w:val="28"/>
          <w:highlight w:val="none"/>
          <w:u w:val="single"/>
          <w:lang w:val="en-US" w:eastAsia="zh-CN"/>
        </w:rPr>
        <w:t>3</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20</w:t>
      </w:r>
      <w:r>
        <w:rPr>
          <w:rFonts w:hint="eastAsia" w:hAnsi="宋体"/>
          <w:color w:val="auto"/>
          <w:sz w:val="28"/>
          <w:szCs w:val="28"/>
          <w:highlight w:val="none"/>
          <w:u w:val="single"/>
        </w:rPr>
        <w:t>日</w:t>
      </w:r>
    </w:p>
    <w:p>
      <w:pPr>
        <w:ind w:left="1400" w:hanging="1400" w:hangingChars="500"/>
        <w:rPr>
          <w:rFonts w:hAnsi="宋体"/>
          <w:sz w:val="28"/>
          <w:szCs w:val="28"/>
          <w:u w:val="none"/>
        </w:rPr>
      </w:pPr>
      <w:r>
        <w:rPr>
          <w:rFonts w:hint="eastAsia" w:hAnsi="宋体"/>
          <w:sz w:val="28"/>
          <w:szCs w:val="28"/>
        </w:rPr>
        <w:t xml:space="preserve">     </w:t>
      </w:r>
      <w:r>
        <w:rPr>
          <w:rFonts w:hint="eastAsia" w:hAnsi="宋体"/>
          <w:sz w:val="28"/>
          <w:szCs w:val="28"/>
          <w:u w:val="none"/>
        </w:rPr>
        <w:t>组织方式：</w:t>
      </w:r>
      <w:r>
        <w:rPr>
          <w:rFonts w:hint="eastAsia" w:hAnsi="宋体"/>
          <w:spacing w:val="-20"/>
          <w:sz w:val="36"/>
          <w:u w:val="none"/>
        </w:rPr>
        <w:t>□</w:t>
      </w:r>
      <w:r>
        <w:rPr>
          <w:rFonts w:hint="eastAsia" w:hAnsi="宋体"/>
          <w:sz w:val="28"/>
          <w:szCs w:val="28"/>
          <w:u w:val="none"/>
        </w:rPr>
        <w:t xml:space="preserve">财政部门     </w:t>
      </w:r>
      <w:r>
        <w:rPr>
          <w:rFonts w:hint="eastAsia" w:hAnsi="宋体"/>
          <w:spacing w:val="-20"/>
          <w:sz w:val="36"/>
          <w:u w:val="none"/>
        </w:rPr>
        <w:t>□</w:t>
      </w:r>
      <w:r>
        <w:rPr>
          <w:rFonts w:hint="eastAsia" w:hAnsi="宋体"/>
          <w:sz w:val="28"/>
          <w:szCs w:val="28"/>
          <w:u w:val="none"/>
        </w:rPr>
        <w:t xml:space="preserve">主管部门     </w:t>
      </w:r>
      <w:r>
        <w:rPr>
          <w:rFonts w:hint="eastAsia" w:hAnsi="宋体"/>
          <w:spacing w:val="-20"/>
          <w:sz w:val="36"/>
          <w:u w:val="none"/>
          <w:lang w:eastAsia="zh-CN"/>
        </w:rPr>
        <w:t>☑</w:t>
      </w:r>
      <w:r>
        <w:rPr>
          <w:rFonts w:hint="eastAsia" w:hAnsi="宋体"/>
          <w:sz w:val="28"/>
          <w:szCs w:val="28"/>
          <w:u w:val="none"/>
        </w:rPr>
        <w:t>项目单位</w:t>
      </w:r>
    </w:p>
    <w:p>
      <w:pPr>
        <w:ind w:left="1400" w:hanging="1400" w:hangingChars="500"/>
        <w:rPr>
          <w:rFonts w:hAnsi="宋体"/>
          <w:sz w:val="28"/>
          <w:szCs w:val="28"/>
          <w:u w:val="none"/>
        </w:rPr>
      </w:pPr>
      <w:r>
        <w:rPr>
          <w:rFonts w:hint="eastAsia" w:hAnsi="宋体"/>
          <w:sz w:val="28"/>
          <w:szCs w:val="28"/>
          <w:u w:val="none"/>
        </w:rPr>
        <w:t xml:space="preserve">     评价机构：</w:t>
      </w:r>
      <w:r>
        <w:rPr>
          <w:rFonts w:hint="eastAsia" w:hAnsi="宋体"/>
          <w:spacing w:val="-20"/>
          <w:sz w:val="36"/>
          <w:u w:val="none"/>
        </w:rPr>
        <w:t>□</w:t>
      </w:r>
      <w:r>
        <w:rPr>
          <w:rFonts w:hint="eastAsia" w:hAnsi="宋体"/>
          <w:sz w:val="28"/>
          <w:szCs w:val="28"/>
          <w:u w:val="none"/>
        </w:rPr>
        <w:t xml:space="preserve">中介机构     </w:t>
      </w:r>
      <w:r>
        <w:rPr>
          <w:rFonts w:hint="eastAsia" w:hAnsi="宋体"/>
          <w:spacing w:val="-20"/>
          <w:sz w:val="36"/>
          <w:u w:val="none"/>
        </w:rPr>
        <w:t>□</w:t>
      </w:r>
      <w:r>
        <w:rPr>
          <w:rFonts w:hint="eastAsia" w:hAnsi="宋体"/>
          <w:sz w:val="28"/>
          <w:szCs w:val="28"/>
          <w:u w:val="none"/>
        </w:rPr>
        <w:t xml:space="preserve">专家组     </w:t>
      </w:r>
      <w:r>
        <w:rPr>
          <w:rFonts w:hint="eastAsia" w:hAnsi="宋体"/>
          <w:spacing w:val="-20"/>
          <w:sz w:val="36"/>
          <w:u w:val="none"/>
          <w:lang w:eastAsia="zh-CN"/>
        </w:rPr>
        <w:t>☑</w:t>
      </w:r>
      <w:r>
        <w:rPr>
          <w:rFonts w:hint="eastAsia" w:hAnsi="宋体"/>
          <w:sz w:val="28"/>
          <w:szCs w:val="28"/>
          <w:u w:val="none"/>
        </w:rPr>
        <w:t>项目单位评价组</w:t>
      </w:r>
    </w:p>
    <w:p>
      <w:pPr>
        <w:ind w:left="1400" w:hanging="1400" w:hangingChars="500"/>
        <w:rPr>
          <w:rFonts w:hAnsi="宋体"/>
          <w:sz w:val="28"/>
          <w:szCs w:val="28"/>
        </w:rPr>
      </w:pPr>
    </w:p>
    <w:p>
      <w:pPr>
        <w:rPr>
          <w:rFonts w:hAnsi="仿宋_GB2312"/>
          <w:szCs w:val="28"/>
        </w:rPr>
      </w:pPr>
    </w:p>
    <w:p>
      <w:pPr>
        <w:ind w:left="1050" w:hanging="1050" w:hangingChars="500"/>
        <w:rPr>
          <w:rFonts w:hAnsi="宋体"/>
          <w:szCs w:val="28"/>
        </w:rPr>
      </w:pPr>
      <w:r>
        <w:rPr>
          <w:rFonts w:hint="eastAsia" w:hAnsi="仿宋_GB2312"/>
          <w:szCs w:val="28"/>
        </w:rPr>
        <w:t xml:space="preserve">           </w:t>
      </w:r>
    </w:p>
    <w:p>
      <w:pPr>
        <w:ind w:left="1400" w:hanging="1400" w:hangingChars="500"/>
        <w:jc w:val="center"/>
        <w:rPr>
          <w:rFonts w:hint="eastAsia" w:hAnsi="宋体"/>
          <w:sz w:val="28"/>
          <w:szCs w:val="28"/>
        </w:rPr>
      </w:pPr>
      <w:r>
        <w:rPr>
          <w:rFonts w:hint="eastAsia" w:hAnsi="宋体"/>
          <w:sz w:val="28"/>
          <w:szCs w:val="28"/>
        </w:rPr>
        <w:t>评价单位（盖章）：</w:t>
      </w:r>
      <w:r>
        <w:rPr>
          <w:rFonts w:hint="eastAsia" w:ascii="Times New Roman" w:hAnsi="宋体" w:cs="Times New Roman"/>
          <w:sz w:val="32"/>
          <w:szCs w:val="44"/>
        </w:rPr>
        <w:t>白沙黎族自治县</w:t>
      </w:r>
      <w:r>
        <w:rPr>
          <w:rFonts w:hint="eastAsia" w:ascii="Times New Roman" w:hAnsi="宋体" w:cs="Times New Roman"/>
          <w:sz w:val="32"/>
          <w:szCs w:val="44"/>
          <w:lang w:val="en-US" w:eastAsia="zh-CN"/>
        </w:rPr>
        <w:t>青松</w:t>
      </w:r>
      <w:r>
        <w:rPr>
          <w:rFonts w:hint="eastAsia" w:ascii="Times New Roman" w:hAnsi="宋体" w:cs="Times New Roman"/>
          <w:sz w:val="32"/>
          <w:szCs w:val="44"/>
        </w:rPr>
        <w:t>乡人民政府</w:t>
      </w:r>
    </w:p>
    <w:p>
      <w:pPr>
        <w:ind w:left="1400" w:hanging="1400" w:hangingChars="500"/>
        <w:jc w:val="center"/>
        <w:rPr>
          <w:rFonts w:hAnsi="宋体"/>
          <w:szCs w:val="28"/>
        </w:rPr>
      </w:pPr>
      <w:r>
        <w:rPr>
          <w:rFonts w:hint="eastAsia" w:hAnsi="宋体"/>
          <w:sz w:val="28"/>
          <w:szCs w:val="28"/>
        </w:rPr>
        <w:t>上报时间：202</w:t>
      </w:r>
      <w:r>
        <w:rPr>
          <w:rFonts w:hint="eastAsia" w:hAnsi="宋体"/>
          <w:sz w:val="28"/>
          <w:szCs w:val="28"/>
          <w:lang w:val="en-US" w:eastAsia="zh-CN"/>
        </w:rPr>
        <w:t>4</w:t>
      </w:r>
      <w:r>
        <w:rPr>
          <w:rFonts w:hint="eastAsia" w:hAnsi="宋体"/>
          <w:sz w:val="28"/>
          <w:szCs w:val="28"/>
        </w:rPr>
        <w:t>年3月</w:t>
      </w:r>
    </w:p>
    <w:p>
      <w:pPr>
        <w:pageBreakBefore/>
        <w:spacing w:line="440" w:lineRule="exact"/>
        <w:jc w:val="center"/>
        <w:rPr>
          <w:rFonts w:ascii="宋体" w:hAnsi="宋体"/>
          <w:b/>
          <w:sz w:val="44"/>
          <w:szCs w:val="44"/>
        </w:rPr>
      </w:pPr>
      <w:r>
        <w:rPr>
          <w:rFonts w:hint="eastAsia" w:ascii="宋体" w:hAnsi="宋体"/>
          <w:b/>
          <w:sz w:val="44"/>
          <w:szCs w:val="44"/>
        </w:rPr>
        <w:t>项目基本信息</w:t>
      </w:r>
    </w:p>
    <w:p>
      <w:pPr>
        <w:spacing w:line="440" w:lineRule="exact"/>
        <w:jc w:val="center"/>
        <w:rPr>
          <w:rFonts w:ascii="宋体" w:hAnsi="宋体"/>
          <w:b/>
          <w:sz w:val="44"/>
          <w:szCs w:val="44"/>
        </w:rPr>
      </w:pPr>
    </w:p>
    <w:tbl>
      <w:tblPr>
        <w:tblStyle w:val="11"/>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96"/>
        <w:gridCol w:w="396"/>
        <w:gridCol w:w="62"/>
        <w:gridCol w:w="540"/>
        <w:gridCol w:w="797"/>
        <w:gridCol w:w="837"/>
        <w:gridCol w:w="508"/>
        <w:gridCol w:w="332"/>
        <w:gridCol w:w="235"/>
        <w:gridCol w:w="1049"/>
        <w:gridCol w:w="66"/>
        <w:gridCol w:w="423"/>
        <w:gridCol w:w="458"/>
        <w:gridCol w:w="940"/>
        <w:gridCol w:w="6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项目实施单位</w:t>
            </w:r>
          </w:p>
        </w:tc>
        <w:tc>
          <w:tcPr>
            <w:tcW w:w="3249" w:type="dxa"/>
            <w:gridSpan w:val="6"/>
            <w:vAlign w:val="center"/>
          </w:tcPr>
          <w:p>
            <w:pPr>
              <w:jc w:val="left"/>
              <w:rPr>
                <w:rFonts w:ascii="仿宋" w:hAnsi="仿宋" w:eastAsia="仿宋" w:cs="仿宋"/>
                <w:szCs w:val="21"/>
              </w:rPr>
            </w:pPr>
            <w:r>
              <w:rPr>
                <w:rFonts w:hint="eastAsia" w:ascii="仿宋" w:hAnsi="仿宋" w:eastAsia="仿宋" w:cs="仿宋"/>
                <w:szCs w:val="21"/>
              </w:rPr>
              <w:t>白沙黎族自治县</w:t>
            </w:r>
            <w:r>
              <w:rPr>
                <w:rFonts w:hint="eastAsia" w:ascii="仿宋" w:hAnsi="仿宋" w:eastAsia="仿宋" w:cs="仿宋"/>
                <w:szCs w:val="21"/>
                <w:lang w:val="en-US" w:eastAsia="zh-CN"/>
              </w:rPr>
              <w:t>青松</w:t>
            </w:r>
            <w:r>
              <w:rPr>
                <w:rFonts w:hint="eastAsia" w:ascii="仿宋" w:hAnsi="仿宋" w:eastAsia="仿宋" w:cs="仿宋"/>
                <w:szCs w:val="21"/>
              </w:rPr>
              <w:t>乡人民政府</w:t>
            </w:r>
          </w:p>
        </w:tc>
        <w:tc>
          <w:tcPr>
            <w:tcW w:w="1049" w:type="dxa"/>
            <w:vAlign w:val="center"/>
          </w:tcPr>
          <w:p>
            <w:pPr>
              <w:jc w:val="center"/>
              <w:rPr>
                <w:rFonts w:ascii="仿宋" w:hAnsi="仿宋" w:eastAsia="仿宋" w:cs="仿宋"/>
                <w:szCs w:val="21"/>
              </w:rPr>
            </w:pPr>
            <w:r>
              <w:rPr>
                <w:rFonts w:hint="eastAsia" w:ascii="仿宋" w:hAnsi="仿宋" w:eastAsia="仿宋" w:cs="仿宋"/>
                <w:szCs w:val="21"/>
              </w:rPr>
              <w:t>主管部门</w:t>
            </w:r>
          </w:p>
        </w:tc>
        <w:tc>
          <w:tcPr>
            <w:tcW w:w="3331" w:type="dxa"/>
            <w:gridSpan w:val="6"/>
            <w:vAlign w:val="center"/>
          </w:tcPr>
          <w:p>
            <w:pPr>
              <w:jc w:val="left"/>
              <w:rPr>
                <w:rFonts w:ascii="仿宋" w:hAnsi="仿宋" w:eastAsia="仿宋" w:cs="仿宋"/>
                <w:szCs w:val="21"/>
              </w:rPr>
            </w:pPr>
            <w:r>
              <w:rPr>
                <w:rFonts w:hint="eastAsia" w:ascii="仿宋" w:hAnsi="仿宋" w:eastAsia="仿宋" w:cs="仿宋"/>
                <w:szCs w:val="21"/>
              </w:rPr>
              <w:t>白沙黎族自治县</w:t>
            </w:r>
            <w:r>
              <w:rPr>
                <w:rFonts w:hint="eastAsia" w:ascii="仿宋" w:hAnsi="仿宋" w:eastAsia="仿宋" w:cs="仿宋"/>
                <w:szCs w:val="21"/>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项目负责人</w:t>
            </w:r>
          </w:p>
        </w:tc>
        <w:tc>
          <w:tcPr>
            <w:tcW w:w="3249" w:type="dxa"/>
            <w:gridSpan w:val="6"/>
            <w:vAlign w:val="center"/>
          </w:tcPr>
          <w:p>
            <w:pPr>
              <w:jc w:val="left"/>
              <w:rPr>
                <w:rFonts w:ascii="仿宋" w:hAnsi="仿宋" w:eastAsia="仿宋" w:cs="仿宋"/>
                <w:szCs w:val="21"/>
              </w:rPr>
            </w:pPr>
          </w:p>
        </w:tc>
        <w:tc>
          <w:tcPr>
            <w:tcW w:w="1049" w:type="dxa"/>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3331" w:type="dxa"/>
            <w:gridSpan w:val="6"/>
            <w:vAlign w:val="center"/>
          </w:tcPr>
          <w:p>
            <w:pPr>
              <w:jc w:val="left"/>
              <w:rPr>
                <w:rFonts w:ascii="仿宋" w:hAnsi="仿宋" w:eastAsia="仿宋" w:cs="仿宋"/>
                <w:szCs w:val="21"/>
              </w:rPr>
            </w:pPr>
            <w:r>
              <w:rPr>
                <w:rFonts w:hint="eastAsia" w:ascii="仿宋" w:hAnsi="仿宋" w:eastAsia="仿宋" w:cs="仿宋"/>
                <w:szCs w:val="21"/>
                <w:lang w:val="en-US" w:eastAsia="zh-CN"/>
              </w:rPr>
              <w:t>0898-27606014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地址</w:t>
            </w:r>
          </w:p>
        </w:tc>
        <w:tc>
          <w:tcPr>
            <w:tcW w:w="5245" w:type="dxa"/>
            <w:gridSpan w:val="10"/>
            <w:vAlign w:val="center"/>
          </w:tcPr>
          <w:p>
            <w:pPr>
              <w:rPr>
                <w:rFonts w:ascii="仿宋" w:hAnsi="仿宋" w:eastAsia="仿宋" w:cs="仿宋"/>
                <w:szCs w:val="21"/>
              </w:rPr>
            </w:pPr>
            <w:r>
              <w:rPr>
                <w:rFonts w:hint="eastAsia" w:ascii="仿宋" w:hAnsi="仿宋" w:eastAsia="仿宋" w:cs="仿宋"/>
                <w:szCs w:val="21"/>
                <w:lang w:val="en-US" w:eastAsia="zh-CN"/>
              </w:rPr>
              <w:t>海南省白沙黎族自治县青松乡文明路1号</w:t>
            </w:r>
          </w:p>
        </w:tc>
        <w:tc>
          <w:tcPr>
            <w:tcW w:w="1005" w:type="dxa"/>
            <w:gridSpan w:val="2"/>
            <w:vAlign w:val="center"/>
          </w:tcPr>
          <w:p>
            <w:pPr>
              <w:jc w:val="center"/>
              <w:rPr>
                <w:rFonts w:ascii="仿宋" w:hAnsi="仿宋" w:eastAsia="仿宋" w:cs="仿宋"/>
                <w:szCs w:val="21"/>
              </w:rPr>
            </w:pPr>
            <w:r>
              <w:rPr>
                <w:rFonts w:hint="eastAsia" w:ascii="仿宋" w:hAnsi="仿宋" w:eastAsia="仿宋" w:cs="仿宋"/>
                <w:szCs w:val="21"/>
              </w:rPr>
              <w:t>邮编</w:t>
            </w:r>
          </w:p>
        </w:tc>
        <w:tc>
          <w:tcPr>
            <w:tcW w:w="1379" w:type="dxa"/>
            <w:vAlign w:val="center"/>
          </w:tcPr>
          <w:p>
            <w:pPr>
              <w:jc w:val="center"/>
              <w:rPr>
                <w:rFonts w:ascii="仿宋" w:hAnsi="仿宋" w:eastAsia="仿宋" w:cs="仿宋"/>
                <w:szCs w:val="21"/>
              </w:rPr>
            </w:pPr>
            <w:r>
              <w:rPr>
                <w:rFonts w:hint="eastAsia" w:ascii="仿宋" w:hAnsi="仿宋" w:eastAsia="仿宋" w:cs="仿宋"/>
                <w:szCs w:val="21"/>
                <w:lang w:val="en-US" w:eastAsia="zh-CN"/>
              </w:rPr>
              <w:t>572816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left"/>
              <w:rPr>
                <w:rFonts w:ascii="仿宋" w:hAnsi="仿宋" w:eastAsia="仿宋" w:cs="仿宋"/>
                <w:szCs w:val="21"/>
              </w:rPr>
            </w:pPr>
            <w:r>
              <w:rPr>
                <w:rFonts w:hint="eastAsia" w:ascii="仿宋" w:hAnsi="仿宋" w:eastAsia="仿宋" w:cs="仿宋"/>
                <w:szCs w:val="21"/>
              </w:rPr>
              <w:t>项目类型</w:t>
            </w:r>
          </w:p>
        </w:tc>
        <w:tc>
          <w:tcPr>
            <w:tcW w:w="7629" w:type="dxa"/>
            <w:gridSpan w:val="13"/>
            <w:vAlign w:val="center"/>
          </w:tcPr>
          <w:p>
            <w:pPr>
              <w:jc w:val="center"/>
              <w:rPr>
                <w:rFonts w:ascii="仿宋" w:hAnsi="仿宋" w:eastAsia="仿宋" w:cs="仿宋"/>
                <w:szCs w:val="21"/>
              </w:rPr>
            </w:pPr>
            <w:r>
              <w:rPr>
                <w:rFonts w:hint="eastAsia" w:ascii="仿宋" w:hAnsi="仿宋" w:eastAsia="仿宋" w:cs="仿宋"/>
                <w:szCs w:val="21"/>
              </w:rPr>
              <w:t>经常性项目（</w:t>
            </w:r>
            <w:r>
              <w:rPr>
                <w:rFonts w:hint="eastAsia" w:ascii="仿宋" w:hAnsi="仿宋" w:eastAsia="仿宋" w:cs="仿宋"/>
                <w:szCs w:val="21"/>
                <w:lang w:val="en-US" w:eastAsia="zh-CN"/>
              </w:rPr>
              <w:t xml:space="preserve"> </w:t>
            </w:r>
            <w:r>
              <w:rPr>
                <w:rFonts w:hint="default" w:ascii="Arial" w:hAnsi="Arial" w:cs="Arial"/>
                <w:sz w:val="24"/>
              </w:rPr>
              <w:t>√</w:t>
            </w:r>
            <w:r>
              <w:rPr>
                <w:rFonts w:hint="eastAsia" w:ascii="Arial" w:hAnsi="Arial" w:cs="Arial"/>
                <w:sz w:val="24"/>
                <w:lang w:val="en-US" w:eastAsia="zh-CN"/>
              </w:rPr>
              <w:t xml:space="preserve"> </w:t>
            </w:r>
            <w:r>
              <w:rPr>
                <w:rFonts w:hint="eastAsia" w:ascii="仿宋" w:hAnsi="仿宋" w:eastAsia="仿宋" w:cs="仿宋"/>
                <w:szCs w:val="21"/>
              </w:rPr>
              <w:t xml:space="preserve">）       一次性项目（ </w:t>
            </w:r>
            <w:r>
              <w:rPr>
                <w:rFonts w:hint="eastAsia" w:ascii="Arial" w:hAnsi="Arial" w:eastAsia="仿宋" w:cs="Arial"/>
                <w:szCs w:val="21"/>
              </w:rPr>
              <w:t xml:space="preserve"> </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spacing w:line="240" w:lineRule="exact"/>
              <w:ind w:firstLine="210" w:firstLineChars="100"/>
              <w:rPr>
                <w:rFonts w:ascii="仿宋" w:hAnsi="仿宋" w:eastAsia="仿宋" w:cs="仿宋"/>
                <w:szCs w:val="21"/>
              </w:rPr>
            </w:pPr>
            <w:r>
              <w:rPr>
                <w:rFonts w:hint="eastAsia" w:ascii="仿宋" w:hAnsi="仿宋" w:eastAsia="仿宋" w:cs="仿宋"/>
                <w:szCs w:val="21"/>
              </w:rPr>
              <w:t>年初预算</w:t>
            </w:r>
            <w:r>
              <w:rPr>
                <w:rFonts w:hint="eastAsia" w:ascii="仿宋" w:hAnsi="仿宋" w:eastAsia="仿宋" w:cs="仿宋"/>
                <w:sz w:val="18"/>
                <w:szCs w:val="18"/>
              </w:rPr>
              <w:t>（万元）</w:t>
            </w:r>
          </w:p>
        </w:tc>
        <w:tc>
          <w:tcPr>
            <w:tcW w:w="1337"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10.00</w:t>
            </w:r>
          </w:p>
        </w:tc>
        <w:tc>
          <w:tcPr>
            <w:tcW w:w="1677" w:type="dxa"/>
            <w:gridSpan w:val="3"/>
            <w:vAlign w:val="center"/>
          </w:tcPr>
          <w:p>
            <w:pPr>
              <w:spacing w:line="240" w:lineRule="exact"/>
              <w:jc w:val="left"/>
              <w:rPr>
                <w:rFonts w:ascii="仿宋" w:hAnsi="仿宋" w:eastAsia="仿宋" w:cs="仿宋"/>
                <w:szCs w:val="21"/>
              </w:rPr>
            </w:pPr>
            <w:r>
              <w:rPr>
                <w:rFonts w:hint="eastAsia" w:ascii="仿宋" w:hAnsi="仿宋" w:eastAsia="仿宋" w:cs="仿宋"/>
                <w:szCs w:val="21"/>
              </w:rPr>
              <w:t>实际到位</w:t>
            </w:r>
            <w:r>
              <w:rPr>
                <w:rFonts w:hint="eastAsia" w:ascii="仿宋" w:hAnsi="仿宋" w:eastAsia="仿宋" w:cs="仿宋"/>
                <w:sz w:val="18"/>
                <w:szCs w:val="18"/>
              </w:rPr>
              <w:t>（万元）</w:t>
            </w:r>
          </w:p>
        </w:tc>
        <w:tc>
          <w:tcPr>
            <w:tcW w:w="1350" w:type="dxa"/>
            <w:gridSpan w:val="3"/>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10.00</w:t>
            </w:r>
          </w:p>
        </w:tc>
        <w:tc>
          <w:tcPr>
            <w:tcW w:w="1886" w:type="dxa"/>
            <w:gridSpan w:val="4"/>
            <w:vAlign w:val="center"/>
          </w:tcPr>
          <w:p>
            <w:pPr>
              <w:rPr>
                <w:rFonts w:ascii="仿宋" w:hAnsi="仿宋" w:eastAsia="仿宋" w:cs="仿宋"/>
                <w:szCs w:val="21"/>
              </w:rPr>
            </w:pPr>
            <w:r>
              <w:rPr>
                <w:rFonts w:hint="eastAsia" w:ascii="仿宋" w:hAnsi="仿宋" w:eastAsia="仿宋" w:cs="仿宋"/>
                <w:szCs w:val="21"/>
              </w:rPr>
              <w:t>实际使用</w:t>
            </w:r>
            <w:r>
              <w:rPr>
                <w:rFonts w:hint="eastAsia" w:ascii="仿宋" w:hAnsi="仿宋" w:eastAsia="仿宋" w:cs="仿宋"/>
                <w:sz w:val="18"/>
                <w:szCs w:val="18"/>
              </w:rPr>
              <w:t>（万元）</w:t>
            </w:r>
          </w:p>
        </w:tc>
        <w:tc>
          <w:tcPr>
            <w:tcW w:w="1379" w:type="dxa"/>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37" w:type="dxa"/>
            <w:gridSpan w:val="2"/>
            <w:vAlign w:val="center"/>
          </w:tcPr>
          <w:p>
            <w:pPr>
              <w:jc w:val="right"/>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50" w:type="dxa"/>
            <w:gridSpan w:val="3"/>
            <w:vAlign w:val="center"/>
          </w:tcPr>
          <w:p>
            <w:pPr>
              <w:jc w:val="right"/>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其中：中央资金</w:t>
            </w:r>
          </w:p>
        </w:tc>
        <w:tc>
          <w:tcPr>
            <w:tcW w:w="1379" w:type="dxa"/>
            <w:vAlign w:val="center"/>
          </w:tcPr>
          <w:p>
            <w:pPr>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37" w:type="dxa"/>
            <w:gridSpan w:val="2"/>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10.00</w:t>
            </w: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50" w:type="dxa"/>
            <w:gridSpan w:val="3"/>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10.00</w:t>
            </w: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省级资金</w:t>
            </w:r>
          </w:p>
        </w:tc>
        <w:tc>
          <w:tcPr>
            <w:tcW w:w="1379" w:type="dxa"/>
            <w:vAlign w:val="center"/>
          </w:tcPr>
          <w:p>
            <w:pPr>
              <w:jc w:val="center"/>
              <w:rPr>
                <w:rFonts w:hint="default" w:ascii="仿宋" w:hAnsi="仿宋" w:eastAsia="仿宋" w:cs="仿宋"/>
                <w:szCs w:val="21"/>
                <w:lang w:val="en-US"/>
              </w:rPr>
            </w:pPr>
            <w:r>
              <w:rPr>
                <w:rFonts w:hint="eastAsia" w:ascii="仿宋" w:hAnsi="仿宋" w:eastAsia="仿宋" w:cs="仿宋"/>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1954"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37" w:type="dxa"/>
            <w:gridSpan w:val="2"/>
            <w:vAlign w:val="center"/>
          </w:tcPr>
          <w:p>
            <w:pPr>
              <w:jc w:val="right"/>
              <w:rPr>
                <w:rFonts w:ascii="仿宋" w:hAnsi="仿宋" w:eastAsia="仿宋" w:cs="仿宋"/>
                <w:szCs w:val="21"/>
              </w:rPr>
            </w:pPr>
          </w:p>
        </w:tc>
        <w:tc>
          <w:tcPr>
            <w:tcW w:w="1677" w:type="dxa"/>
            <w:gridSpan w:val="3"/>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50" w:type="dxa"/>
            <w:gridSpan w:val="3"/>
            <w:vAlign w:val="center"/>
          </w:tcPr>
          <w:p>
            <w:pPr>
              <w:jc w:val="right"/>
              <w:rPr>
                <w:rFonts w:ascii="仿宋" w:hAnsi="仿宋" w:eastAsia="仿宋" w:cs="仿宋"/>
                <w:szCs w:val="21"/>
              </w:rPr>
            </w:pPr>
          </w:p>
        </w:tc>
        <w:tc>
          <w:tcPr>
            <w:tcW w:w="1886" w:type="dxa"/>
            <w:gridSpan w:val="4"/>
            <w:vAlign w:val="center"/>
          </w:tcPr>
          <w:p>
            <w:pPr>
              <w:jc w:val="center"/>
              <w:rPr>
                <w:rFonts w:ascii="仿宋" w:hAnsi="仿宋" w:eastAsia="仿宋" w:cs="仿宋"/>
                <w:szCs w:val="21"/>
              </w:rPr>
            </w:pPr>
            <w:r>
              <w:rPr>
                <w:rFonts w:hint="eastAsia" w:ascii="仿宋" w:hAnsi="仿宋" w:eastAsia="仿宋" w:cs="仿宋"/>
                <w:szCs w:val="21"/>
              </w:rPr>
              <w:t xml:space="preserve">      县级资金</w:t>
            </w:r>
          </w:p>
        </w:tc>
        <w:tc>
          <w:tcPr>
            <w:tcW w:w="1379" w:type="dxa"/>
            <w:vAlign w:val="center"/>
          </w:tcPr>
          <w:p>
            <w:pPr>
              <w:jc w:val="righ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1" w:hRule="exact"/>
          <w:jc w:val="center"/>
        </w:trPr>
        <w:tc>
          <w:tcPr>
            <w:tcW w:w="9583" w:type="dxa"/>
            <w:gridSpan w:val="16"/>
            <w:vAlign w:val="center"/>
          </w:tcPr>
          <w:p>
            <w:pPr>
              <w:rPr>
                <w:rFonts w:ascii="仿宋" w:hAnsi="仿宋" w:eastAsia="仿宋" w:cs="仿宋"/>
                <w:szCs w:val="21"/>
              </w:rPr>
            </w:pPr>
            <w:r>
              <w:rPr>
                <w:rFonts w:hint="eastAsia" w:ascii="仿宋" w:hAnsi="仿宋" w:eastAsia="仿宋" w:cs="仿宋"/>
                <w:b/>
                <w:bCs/>
                <w:szCs w:val="21"/>
              </w:rPr>
              <w:t>二、</w:t>
            </w:r>
            <w:r>
              <w:rPr>
                <w:rFonts w:hint="eastAsia" w:ascii="仿宋" w:hAnsi="仿宋" w:eastAsia="仿宋" w:cs="仿宋"/>
                <w:b/>
                <w:color w:val="000000"/>
                <w:szCs w:val="21"/>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一级指标</w:t>
            </w:r>
          </w:p>
        </w:tc>
        <w:tc>
          <w:tcPr>
            <w:tcW w:w="998" w:type="dxa"/>
            <w:gridSpan w:val="3"/>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二级指标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三级指标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分值</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000000"/>
                <w:szCs w:val="21"/>
              </w:rPr>
            </w:pPr>
            <w:r>
              <w:rPr>
                <w:rFonts w:hint="eastAsia" w:ascii="仿宋" w:hAnsi="仿宋" w:eastAsia="仿宋" w:cs="仿宋"/>
                <w:b/>
                <w:color w:val="000000"/>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项目决策</w:t>
            </w:r>
          </w:p>
        </w:tc>
        <w:tc>
          <w:tcPr>
            <w:tcW w:w="99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1634" w:type="dxa"/>
            <w:gridSpan w:val="2"/>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项目目标</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目标内容</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决策过程</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决策依据</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决策程序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资金分配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分配办法</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分配结果</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项目管理</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资金到位</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到位率</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到位时效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资金管理</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资金使用</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财务管理</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组织实施</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组织机构</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管理制度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项目绩效</w:t>
            </w:r>
          </w:p>
        </w:tc>
        <w:tc>
          <w:tcPr>
            <w:tcW w:w="998" w:type="dxa"/>
            <w:gridSpan w:val="3"/>
            <w:vMerge w:val="restar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55</w:t>
            </w:r>
          </w:p>
        </w:tc>
        <w:tc>
          <w:tcPr>
            <w:tcW w:w="1634"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项目产出</w:t>
            </w:r>
          </w:p>
        </w:tc>
        <w:tc>
          <w:tcPr>
            <w:tcW w:w="840"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25</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产出数量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11</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产出质量</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产出时效</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产出成本</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项目效益</w:t>
            </w:r>
          </w:p>
        </w:tc>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经济效益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社会效益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环境效益</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可持续影响</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szCs w:val="21"/>
              </w:rPr>
            </w:pPr>
          </w:p>
        </w:tc>
        <w:tc>
          <w:tcPr>
            <w:tcW w:w="998" w:type="dxa"/>
            <w:gridSpan w:val="3"/>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634" w:type="dxa"/>
            <w:gridSpan w:val="2"/>
            <w:vMerge w:val="continue"/>
            <w:tcBorders>
              <w:top w:val="single" w:color="auto" w:sz="4" w:space="0"/>
              <w:left w:val="single" w:color="auto" w:sz="4" w:space="0"/>
              <w:bottom w:val="single" w:color="auto" w:sz="4" w:space="0"/>
              <w:right w:val="single" w:color="000000" w:sz="4" w:space="0"/>
            </w:tcBorders>
            <w:vAlign w:val="center"/>
          </w:tcPr>
          <w:p>
            <w:pPr>
              <w:jc w:val="center"/>
              <w:rPr>
                <w:rFonts w:ascii="仿宋" w:hAnsi="仿宋" w:eastAsia="仿宋" w:cs="仿宋"/>
                <w:szCs w:val="21"/>
              </w:rPr>
            </w:pPr>
          </w:p>
        </w:tc>
        <w:tc>
          <w:tcPr>
            <w:tcW w:w="840" w:type="dxa"/>
            <w:gridSpan w:val="2"/>
            <w:vMerge w:val="continue"/>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s="仿宋"/>
                <w:szCs w:val="21"/>
              </w:rPr>
            </w:pPr>
          </w:p>
        </w:tc>
        <w:tc>
          <w:tcPr>
            <w:tcW w:w="1773" w:type="dxa"/>
            <w:gridSpan w:val="4"/>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服务对象满意度</w:t>
            </w: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exact"/>
          <w:jc w:val="center"/>
        </w:trPr>
        <w:tc>
          <w:tcPr>
            <w:tcW w:w="149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总分</w:t>
            </w:r>
          </w:p>
        </w:tc>
        <w:tc>
          <w:tcPr>
            <w:tcW w:w="998" w:type="dxa"/>
            <w:gridSpan w:val="3"/>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634"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840"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r>
              <w:rPr>
                <w:rFonts w:hint="eastAsia" w:ascii="仿宋" w:hAnsi="仿宋" w:eastAsia="仿宋" w:cs="仿宋"/>
                <w:bCs/>
                <w:color w:val="000000"/>
                <w:szCs w:val="21"/>
              </w:rPr>
              <w:t>100</w:t>
            </w:r>
          </w:p>
        </w:tc>
        <w:tc>
          <w:tcPr>
            <w:tcW w:w="1773"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Cs/>
                <w:color w:val="000000"/>
                <w:szCs w:val="21"/>
              </w:rPr>
            </w:pPr>
          </w:p>
        </w:tc>
        <w:tc>
          <w:tcPr>
            <w:tcW w:w="139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000000"/>
                <w:szCs w:val="21"/>
              </w:rPr>
            </w:pPr>
            <w:r>
              <w:rPr>
                <w:rFonts w:hint="eastAsia" w:ascii="仿宋" w:hAnsi="仿宋" w:eastAsia="仿宋" w:cs="仿宋"/>
                <w:color w:val="000000"/>
                <w:szCs w:val="21"/>
              </w:rPr>
              <w:t>100</w:t>
            </w:r>
          </w:p>
        </w:tc>
        <w:tc>
          <w:tcPr>
            <w:tcW w:w="144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4968" w:type="dxa"/>
            <w:gridSpan w:val="8"/>
            <w:vAlign w:val="center"/>
          </w:tcPr>
          <w:p>
            <w:pPr>
              <w:jc w:val="center"/>
              <w:rPr>
                <w:rFonts w:ascii="仿宋" w:hAnsi="仿宋" w:eastAsia="仿宋" w:cs="仿宋"/>
                <w:b/>
                <w:bCs/>
                <w:szCs w:val="21"/>
              </w:rPr>
            </w:pPr>
            <w:r>
              <w:rPr>
                <w:rFonts w:hint="eastAsia" w:ascii="仿宋" w:hAnsi="仿宋" w:eastAsia="仿宋" w:cs="仿宋"/>
                <w:b/>
                <w:bCs/>
                <w:szCs w:val="21"/>
              </w:rPr>
              <w:t>评价等次</w:t>
            </w:r>
          </w:p>
        </w:tc>
        <w:tc>
          <w:tcPr>
            <w:tcW w:w="4615" w:type="dxa"/>
            <w:gridSpan w:val="8"/>
            <w:vAlign w:val="center"/>
          </w:tcPr>
          <w:p>
            <w:pPr>
              <w:jc w:val="center"/>
              <w:rPr>
                <w:rFonts w:hint="default" w:ascii="仿宋" w:hAnsi="仿宋" w:eastAsia="仿宋" w:cs="仿宋"/>
                <w:b/>
                <w:bCs/>
                <w:szCs w:val="21"/>
                <w:lang w:val="en-US" w:eastAsia="zh-CN"/>
              </w:rPr>
            </w:pPr>
            <w:r>
              <w:rPr>
                <w:rFonts w:hint="eastAsia" w:ascii="仿宋" w:hAnsi="仿宋" w:eastAsia="仿宋" w:cs="仿宋"/>
                <w:b/>
                <w:bCs/>
                <w:color w:val="auto"/>
                <w:szCs w:val="21"/>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83" w:type="dxa"/>
            <w:gridSpan w:val="16"/>
            <w:vAlign w:val="center"/>
          </w:tcPr>
          <w:p>
            <w:pPr>
              <w:rPr>
                <w:rFonts w:ascii="仿宋" w:hAnsi="仿宋" w:eastAsia="仿宋" w:cs="仿宋"/>
                <w:b/>
                <w:bCs/>
                <w:szCs w:val="21"/>
              </w:rPr>
            </w:pPr>
            <w:r>
              <w:rPr>
                <w:rFonts w:hint="eastAsia" w:ascii="仿宋" w:hAnsi="仿宋" w:eastAsia="仿宋" w:cs="仿宋"/>
                <w:b/>
                <w:bCs/>
                <w:szCs w:val="21"/>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tabs>
                <w:tab w:val="left" w:pos="592"/>
              </w:tabs>
              <w:jc w:val="center"/>
              <w:rPr>
                <w:rFonts w:ascii="仿宋" w:hAnsi="仿宋" w:eastAsia="仿宋" w:cs="仿宋"/>
                <w:szCs w:val="21"/>
              </w:rPr>
            </w:pPr>
            <w:r>
              <w:rPr>
                <w:rFonts w:hint="eastAsia" w:ascii="仿宋" w:hAnsi="仿宋" w:eastAsia="仿宋" w:cs="仿宋"/>
                <w:szCs w:val="21"/>
              </w:rPr>
              <w:t>姓  名</w:t>
            </w:r>
          </w:p>
        </w:tc>
        <w:tc>
          <w:tcPr>
            <w:tcW w:w="2744" w:type="dxa"/>
            <w:gridSpan w:val="5"/>
            <w:vAlign w:val="center"/>
          </w:tcPr>
          <w:p>
            <w:pPr>
              <w:jc w:val="center"/>
              <w:rPr>
                <w:rFonts w:ascii="仿宋" w:hAnsi="仿宋" w:eastAsia="仿宋" w:cs="仿宋"/>
                <w:szCs w:val="21"/>
              </w:rPr>
            </w:pPr>
            <w:r>
              <w:rPr>
                <w:rFonts w:hint="eastAsia" w:ascii="仿宋" w:hAnsi="仿宋" w:eastAsia="仿宋" w:cs="仿宋"/>
                <w:szCs w:val="21"/>
              </w:rPr>
              <w:t>职务/职称</w:t>
            </w:r>
          </w:p>
        </w:tc>
        <w:tc>
          <w:tcPr>
            <w:tcW w:w="4947" w:type="dxa"/>
            <w:gridSpan w:val="9"/>
            <w:vAlign w:val="center"/>
          </w:tcPr>
          <w:p>
            <w:pPr>
              <w:jc w:val="center"/>
              <w:rPr>
                <w:rFonts w:ascii="仿宋" w:hAnsi="仿宋" w:eastAsia="仿宋" w:cs="仿宋"/>
                <w:szCs w:val="21"/>
              </w:rPr>
            </w:pPr>
            <w:r>
              <w:rPr>
                <w:rFonts w:hint="eastAsia" w:ascii="仿宋" w:hAnsi="仿宋" w:eastAsia="仿宋" w:cs="仿宋"/>
                <w:szCs w:val="21"/>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王智斐</w:t>
            </w:r>
          </w:p>
        </w:tc>
        <w:tc>
          <w:tcPr>
            <w:tcW w:w="2744" w:type="dxa"/>
            <w:gridSpan w:val="5"/>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乡党委副书记、</w:t>
            </w:r>
            <w:r>
              <w:rPr>
                <w:rFonts w:hint="eastAsia" w:ascii="仿宋" w:hAnsi="仿宋" w:eastAsia="仿宋" w:cs="仿宋"/>
                <w:szCs w:val="21"/>
                <w:lang w:eastAsia="zh-CN"/>
              </w:rPr>
              <w:t>乡长</w:t>
            </w:r>
          </w:p>
        </w:tc>
        <w:tc>
          <w:tcPr>
            <w:tcW w:w="4947" w:type="dxa"/>
            <w:gridSpan w:val="9"/>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青松</w:t>
            </w:r>
            <w:r>
              <w:rPr>
                <w:rFonts w:hint="eastAsia" w:ascii="仿宋" w:hAnsi="仿宋" w:eastAsia="仿宋" w:cs="仿宋"/>
                <w:szCs w:val="21"/>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符家才</w:t>
            </w:r>
          </w:p>
        </w:tc>
        <w:tc>
          <w:tcPr>
            <w:tcW w:w="2744" w:type="dxa"/>
            <w:gridSpan w:val="5"/>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乡党委委员、宣传委员</w:t>
            </w:r>
          </w:p>
        </w:tc>
        <w:tc>
          <w:tcPr>
            <w:tcW w:w="4947" w:type="dxa"/>
            <w:gridSpan w:val="9"/>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青松</w:t>
            </w:r>
            <w:r>
              <w:rPr>
                <w:rFonts w:hint="eastAsia" w:ascii="仿宋" w:hAnsi="仿宋" w:eastAsia="仿宋" w:cs="仿宋"/>
                <w:szCs w:val="21"/>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陈多勤</w:t>
            </w:r>
          </w:p>
        </w:tc>
        <w:tc>
          <w:tcPr>
            <w:tcW w:w="2744" w:type="dxa"/>
            <w:gridSpan w:val="5"/>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一级科员</w:t>
            </w:r>
          </w:p>
        </w:tc>
        <w:tc>
          <w:tcPr>
            <w:tcW w:w="4947" w:type="dxa"/>
            <w:gridSpan w:val="9"/>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青松</w:t>
            </w:r>
            <w:r>
              <w:rPr>
                <w:rFonts w:hint="eastAsia" w:ascii="仿宋" w:hAnsi="仿宋" w:eastAsia="仿宋" w:cs="仿宋"/>
                <w:szCs w:val="21"/>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2" w:type="dxa"/>
            <w:gridSpan w:val="2"/>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罗婧</w:t>
            </w:r>
          </w:p>
        </w:tc>
        <w:tc>
          <w:tcPr>
            <w:tcW w:w="2744" w:type="dxa"/>
            <w:gridSpan w:val="5"/>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eastAsia="zh-CN"/>
              </w:rPr>
              <w:t>一级科员</w:t>
            </w:r>
          </w:p>
        </w:tc>
        <w:tc>
          <w:tcPr>
            <w:tcW w:w="4947" w:type="dxa"/>
            <w:gridSpan w:val="9"/>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青松</w:t>
            </w:r>
            <w:r>
              <w:rPr>
                <w:rFonts w:hint="eastAsia" w:ascii="仿宋" w:hAnsi="仿宋" w:eastAsia="仿宋" w:cs="仿宋"/>
                <w:szCs w:val="21"/>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jc w:val="center"/>
        </w:trPr>
        <w:tc>
          <w:tcPr>
            <w:tcW w:w="9583" w:type="dxa"/>
            <w:gridSpan w:val="16"/>
            <w:tcBorders>
              <w:bottom w:val="single" w:color="auto" w:sz="4" w:space="0"/>
            </w:tcBorders>
            <w:vAlign w:val="center"/>
          </w:tcPr>
          <w:p>
            <w:pPr>
              <w:jc w:val="left"/>
              <w:rPr>
                <w:rFonts w:ascii="仿宋" w:hAnsi="仿宋" w:eastAsia="仿宋" w:cs="仿宋"/>
                <w:szCs w:val="21"/>
              </w:rPr>
            </w:pPr>
          </w:p>
          <w:p>
            <w:pPr>
              <w:jc w:val="left"/>
              <w:rPr>
                <w:rFonts w:ascii="仿宋" w:hAnsi="仿宋" w:eastAsia="仿宋" w:cs="仿宋"/>
                <w:szCs w:val="21"/>
              </w:rPr>
            </w:pPr>
          </w:p>
          <w:p>
            <w:pPr>
              <w:pStyle w:val="2"/>
              <w:rPr>
                <w:rFonts w:ascii="仿宋" w:hAnsi="仿宋" w:eastAsia="仿宋" w:cs="仿宋"/>
                <w:szCs w:val="21"/>
              </w:rPr>
            </w:pPr>
          </w:p>
          <w:p/>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项目单位负责人（签字并盖章）：</w:t>
            </w:r>
          </w:p>
          <w:p>
            <w:pPr>
              <w:ind w:firstLine="6300" w:firstLineChars="3000"/>
              <w:jc w:val="left"/>
              <w:rPr>
                <w:rFonts w:ascii="仿宋" w:hAnsi="仿宋" w:eastAsia="仿宋" w:cs="仿宋"/>
                <w:szCs w:val="21"/>
              </w:rPr>
            </w:pPr>
          </w:p>
          <w:p>
            <w:pPr>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left"/>
              <w:rPr>
                <w:rFonts w:ascii="仿宋" w:hAnsi="仿宋" w:eastAsia="仿宋" w:cs="仿宋"/>
                <w:szCs w:val="21"/>
              </w:rPr>
            </w:pPr>
          </w:p>
          <w:p>
            <w:pPr>
              <w:ind w:firstLine="6300" w:firstLineChars="3000"/>
              <w:jc w:val="right"/>
              <w:rPr>
                <w:rFonts w:hint="eastAsia" w:ascii="仿宋" w:hAnsi="仿宋" w:eastAsia="仿宋" w:cs="仿宋"/>
                <w:szCs w:val="21"/>
              </w:rPr>
            </w:pPr>
          </w:p>
          <w:p>
            <w:pPr>
              <w:ind w:firstLine="6300" w:firstLineChars="3000"/>
              <w:jc w:val="right"/>
              <w:rPr>
                <w:rFonts w:hint="eastAsia" w:ascii="仿宋" w:hAnsi="仿宋" w:eastAsia="仿宋" w:cs="仿宋"/>
                <w:szCs w:val="21"/>
                <w:lang w:val="en-US" w:eastAsia="zh-CN"/>
              </w:rPr>
            </w:pPr>
          </w:p>
          <w:p>
            <w:pPr>
              <w:ind w:firstLine="6300" w:firstLineChars="3000"/>
              <w:jc w:val="right"/>
              <w:rPr>
                <w:rFonts w:ascii="仿宋" w:hAnsi="仿宋" w:eastAsia="仿宋" w:cs="仿宋"/>
                <w:szCs w:val="21"/>
              </w:rPr>
            </w:pPr>
            <w:r>
              <w:rPr>
                <w:rFonts w:hint="eastAsia" w:ascii="仿宋" w:hAnsi="仿宋" w:eastAsia="仿宋" w:cs="仿宋"/>
                <w:szCs w:val="21"/>
                <w:lang w:val="en-US" w:eastAsia="zh-CN"/>
              </w:rPr>
              <w:t>2024</w:t>
            </w:r>
            <w:r>
              <w:rPr>
                <w:rFonts w:hint="eastAsia" w:ascii="仿宋" w:hAnsi="仿宋" w:eastAsia="仿宋" w:cs="仿宋"/>
                <w:szCs w:val="21"/>
              </w:rPr>
              <w:t>年</w:t>
            </w:r>
            <w:r>
              <w:rPr>
                <w:rFonts w:hint="eastAsia" w:ascii="仿宋" w:hAnsi="仿宋" w:eastAsia="仿宋" w:cs="仿宋"/>
                <w:szCs w:val="21"/>
                <w:lang w:val="en-US" w:eastAsia="zh-CN"/>
              </w:rPr>
              <w:t>3</w:t>
            </w:r>
            <w:r>
              <w:rPr>
                <w:rFonts w:hint="eastAsia" w:ascii="仿宋" w:hAnsi="仿宋" w:eastAsia="仿宋" w:cs="仿宋"/>
                <w:szCs w:val="21"/>
              </w:rPr>
              <w:t>月</w:t>
            </w:r>
          </w:p>
        </w:tc>
      </w:tr>
    </w:tbl>
    <w:p>
      <w:pPr>
        <w:spacing w:line="530" w:lineRule="exact"/>
        <w:ind w:firstLine="221" w:firstLineChars="50"/>
        <w:jc w:val="center"/>
        <w:rPr>
          <w:rFonts w:ascii="宋体" w:hAnsi="宋体"/>
          <w:b/>
          <w:sz w:val="44"/>
          <w:szCs w:val="44"/>
        </w:rPr>
      </w:pPr>
    </w:p>
    <w:p>
      <w:pPr>
        <w:pageBreakBefore/>
        <w:spacing w:line="530" w:lineRule="exact"/>
        <w:ind w:firstLine="221" w:firstLineChars="50"/>
        <w:jc w:val="center"/>
        <w:rPr>
          <w:rFonts w:ascii="宋体" w:hAnsi="宋体"/>
          <w:b/>
          <w:sz w:val="44"/>
          <w:szCs w:val="44"/>
        </w:rPr>
      </w:pPr>
      <w:r>
        <w:rPr>
          <w:rFonts w:hint="eastAsia" w:ascii="宋体" w:hAnsi="宋体"/>
          <w:b/>
          <w:sz w:val="44"/>
          <w:szCs w:val="44"/>
        </w:rPr>
        <w:t>目  录</w:t>
      </w:r>
    </w:p>
    <w:p>
      <w:pPr>
        <w:pStyle w:val="7"/>
        <w:tabs>
          <w:tab w:val="right" w:leader="dot" w:pos="8306"/>
        </w:tabs>
        <w:spacing w:line="360" w:lineRule="auto"/>
        <w:rPr>
          <w:rFonts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TOC \o "1-2" \h \u </w:instrText>
      </w:r>
      <w:r>
        <w:rPr>
          <w:rFonts w:hint="eastAsia" w:ascii="仿宋" w:hAnsi="仿宋" w:eastAsia="仿宋" w:cs="仿宋"/>
          <w:b/>
          <w:sz w:val="28"/>
          <w:szCs w:val="28"/>
        </w:rPr>
        <w:fldChar w:fldCharType="separate"/>
      </w:r>
      <w:r>
        <w:fldChar w:fldCharType="begin"/>
      </w:r>
      <w:r>
        <w:instrText xml:space="preserve"> HYPERLINK \l "_Toc23770" </w:instrText>
      </w:r>
      <w:r>
        <w:fldChar w:fldCharType="separate"/>
      </w:r>
      <w:r>
        <w:rPr>
          <w:rFonts w:hint="eastAsia" w:ascii="仿宋" w:hAnsi="仿宋" w:eastAsia="仿宋" w:cs="仿宋"/>
          <w:b/>
          <w:bCs/>
          <w:sz w:val="28"/>
          <w:szCs w:val="28"/>
        </w:rPr>
        <w:t>一、基本情况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_Toc23770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"_Toc28343" </w:instrText>
      </w:r>
      <w:r>
        <w:fldChar w:fldCharType="separate"/>
      </w:r>
      <w:r>
        <w:rPr>
          <w:rFonts w:hint="eastAsia" w:ascii="仿宋" w:hAnsi="仿宋" w:eastAsia="仿宋" w:cs="仿宋"/>
          <w:bCs/>
          <w:sz w:val="28"/>
          <w:szCs w:val="28"/>
        </w:rPr>
        <w:t>（一）项目概况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"_Toc24517" </w:instrText>
      </w:r>
      <w:r>
        <w:fldChar w:fldCharType="separate"/>
      </w:r>
      <w:r>
        <w:rPr>
          <w:rFonts w:hint="eastAsia" w:ascii="仿宋" w:hAnsi="仿宋" w:eastAsia="仿宋" w:cs="仿宋"/>
          <w:sz w:val="28"/>
          <w:szCs w:val="28"/>
        </w:rPr>
        <w:t>（二）项目年度预算绩效目标和绩效指标设定情况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"_Toc20503" </w:instrText>
      </w:r>
      <w:r>
        <w:fldChar w:fldCharType="separate"/>
      </w:r>
      <w:r>
        <w:rPr>
          <w:rFonts w:hint="eastAsia" w:ascii="仿宋" w:hAnsi="仿宋" w:eastAsia="仿宋" w:cs="仿宋"/>
          <w:b/>
          <w:bCs/>
          <w:sz w:val="28"/>
          <w:szCs w:val="28"/>
        </w:rPr>
        <w:t>二、项目组织实施情况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_Toc20503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"_Toc20064" </w:instrText>
      </w:r>
      <w:r>
        <w:fldChar w:fldCharType="separate"/>
      </w:r>
      <w:r>
        <w:rPr>
          <w:rFonts w:hint="eastAsia" w:ascii="仿宋" w:hAnsi="仿宋" w:eastAsia="仿宋" w:cs="仿宋"/>
          <w:bCs/>
          <w:sz w:val="28"/>
          <w:szCs w:val="28"/>
        </w:rPr>
        <w:t>（一）项目组织情况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_Toc20064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"_Toc22710" </w:instrText>
      </w:r>
      <w:r>
        <w:fldChar w:fldCharType="separate"/>
      </w:r>
      <w:r>
        <w:rPr>
          <w:rFonts w:hint="eastAsia" w:ascii="仿宋" w:hAnsi="仿宋" w:eastAsia="仿宋" w:cs="仿宋"/>
          <w:bCs/>
          <w:sz w:val="28"/>
          <w:szCs w:val="28"/>
        </w:rPr>
        <w:t>（二）项目管理情况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_Toc22710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"_Toc4435" </w:instrText>
      </w:r>
      <w:r>
        <w:fldChar w:fldCharType="separate"/>
      </w:r>
      <w:r>
        <w:rPr>
          <w:rFonts w:hint="eastAsia" w:ascii="仿宋" w:hAnsi="仿宋" w:eastAsia="仿宋" w:cs="仿宋"/>
          <w:b/>
          <w:bCs/>
          <w:sz w:val="28"/>
          <w:szCs w:val="28"/>
        </w:rPr>
        <w:t>三、项目决策及资金使用管理情况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_Toc4435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"_Toc27405" </w:instrText>
      </w:r>
      <w:r>
        <w:fldChar w:fldCharType="separate"/>
      </w:r>
      <w:r>
        <w:rPr>
          <w:rFonts w:hint="eastAsia" w:ascii="仿宋" w:hAnsi="仿宋" w:eastAsia="仿宋" w:cs="仿宋"/>
          <w:bCs/>
          <w:sz w:val="28"/>
          <w:szCs w:val="28"/>
        </w:rPr>
        <w:t>（一）项目决策情况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_Toc27405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"_Toc29663" </w:instrText>
      </w:r>
      <w:r>
        <w:fldChar w:fldCharType="separate"/>
      </w:r>
      <w:r>
        <w:rPr>
          <w:rFonts w:hint="eastAsia" w:ascii="仿宋" w:hAnsi="仿宋" w:eastAsia="仿宋" w:cs="仿宋"/>
          <w:bCs/>
          <w:sz w:val="28"/>
          <w:szCs w:val="28"/>
        </w:rPr>
        <w:t>（二）项目资金安排情况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_Toc29663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"_Toc30045" </w:instrText>
      </w:r>
      <w:r>
        <w:fldChar w:fldCharType="separate"/>
      </w:r>
      <w:r>
        <w:rPr>
          <w:rFonts w:hint="eastAsia" w:ascii="仿宋" w:hAnsi="仿宋" w:eastAsia="仿宋" w:cs="仿宋"/>
          <w:bCs/>
          <w:sz w:val="28"/>
          <w:szCs w:val="28"/>
        </w:rPr>
        <w:t>（三）项目资金使用情况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_Toc30045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"_Toc17207" </w:instrText>
      </w:r>
      <w:r>
        <w:fldChar w:fldCharType="separate"/>
      </w:r>
      <w:r>
        <w:rPr>
          <w:rFonts w:hint="eastAsia" w:ascii="仿宋" w:hAnsi="仿宋" w:eastAsia="仿宋" w:cs="仿宋"/>
          <w:bCs/>
          <w:sz w:val="28"/>
          <w:szCs w:val="28"/>
        </w:rPr>
        <w:t>（四）项目资金管理情况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_Toc17207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"_Toc12313" </w:instrText>
      </w:r>
      <w:r>
        <w:fldChar w:fldCharType="separate"/>
      </w:r>
      <w:r>
        <w:rPr>
          <w:rFonts w:hint="eastAsia" w:ascii="仿宋" w:hAnsi="仿宋" w:eastAsia="仿宋" w:cs="仿宋"/>
          <w:b/>
          <w:bCs/>
          <w:sz w:val="28"/>
          <w:szCs w:val="28"/>
        </w:rPr>
        <w:t>四、项目绩效情况</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_Toc12313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"_Toc15821" </w:instrText>
      </w:r>
      <w:r>
        <w:fldChar w:fldCharType="separate"/>
      </w:r>
      <w:r>
        <w:rPr>
          <w:rFonts w:hint="eastAsia" w:ascii="仿宋" w:hAnsi="仿宋" w:eastAsia="仿宋" w:cs="仿宋"/>
          <w:bCs/>
          <w:sz w:val="28"/>
          <w:szCs w:val="28"/>
        </w:rPr>
        <w:t>（一）项目绩效目标完成情况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_Toc15821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"_Toc20630" </w:instrText>
      </w:r>
      <w:r>
        <w:fldChar w:fldCharType="separate"/>
      </w:r>
      <w:r>
        <w:rPr>
          <w:rFonts w:hint="eastAsia" w:ascii="仿宋" w:hAnsi="仿宋" w:eastAsia="仿宋" w:cs="仿宋"/>
          <w:bCs/>
          <w:sz w:val="28"/>
          <w:szCs w:val="28"/>
        </w:rPr>
        <w:t>（二）项目绩效目标未完成情况及原因分析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_Toc20630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"_Toc31169" </w:instrText>
      </w:r>
      <w:r>
        <w:fldChar w:fldCharType="separate"/>
      </w:r>
      <w:r>
        <w:rPr>
          <w:rFonts w:hint="eastAsia" w:ascii="仿宋" w:hAnsi="仿宋" w:eastAsia="仿宋" w:cs="仿宋"/>
          <w:b/>
          <w:bCs/>
          <w:sz w:val="28"/>
          <w:szCs w:val="28"/>
        </w:rPr>
        <w:t>五、综合评价结论</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_Toc31169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"_Toc23070" </w:instrText>
      </w:r>
      <w:r>
        <w:fldChar w:fldCharType="separate"/>
      </w:r>
      <w:r>
        <w:rPr>
          <w:rFonts w:hint="eastAsia" w:ascii="仿宋" w:hAnsi="仿宋" w:eastAsia="仿宋" w:cs="仿宋"/>
          <w:b/>
          <w:bCs/>
          <w:sz w:val="28"/>
          <w:szCs w:val="28"/>
        </w:rPr>
        <w:t>六、其他需要说明的问题</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_Toc23070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"_Toc25624" </w:instrText>
      </w:r>
      <w:r>
        <w:fldChar w:fldCharType="separate"/>
      </w:r>
      <w:r>
        <w:rPr>
          <w:rFonts w:hint="eastAsia" w:ascii="仿宋" w:hAnsi="仿宋" w:eastAsia="仿宋" w:cs="仿宋"/>
          <w:bCs/>
          <w:sz w:val="28"/>
          <w:szCs w:val="28"/>
        </w:rPr>
        <w:t>（一）后续工作计划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_Toc25624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spacing w:line="360" w:lineRule="auto"/>
        <w:rPr>
          <w:rFonts w:ascii="仿宋" w:hAnsi="仿宋" w:eastAsia="仿宋" w:cs="仿宋"/>
          <w:sz w:val="28"/>
          <w:szCs w:val="28"/>
        </w:rPr>
      </w:pPr>
      <w:r>
        <w:fldChar w:fldCharType="begin"/>
      </w:r>
      <w:r>
        <w:instrText xml:space="preserve"> HYPERLINK \l "_Toc18665" </w:instrText>
      </w:r>
      <w:r>
        <w:fldChar w:fldCharType="separate"/>
      </w:r>
      <w:r>
        <w:rPr>
          <w:rFonts w:hint="eastAsia" w:ascii="仿宋" w:hAnsi="仿宋" w:eastAsia="仿宋" w:cs="仿宋"/>
          <w:bCs/>
          <w:sz w:val="28"/>
          <w:szCs w:val="28"/>
        </w:rPr>
        <w:t>（二）主要经验及做法、存在问题和改进措施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_Toc18665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360" w:lineRule="auto"/>
        <w:rPr>
          <w:rFonts w:ascii="仿宋" w:hAnsi="仿宋" w:eastAsia="仿宋" w:cs="仿宋"/>
          <w:b/>
          <w:bCs/>
          <w:sz w:val="28"/>
          <w:szCs w:val="28"/>
        </w:rPr>
      </w:pPr>
      <w:r>
        <w:fldChar w:fldCharType="begin"/>
      </w:r>
      <w:r>
        <w:instrText xml:space="preserve"> HYPERLINK \l "_Toc18025" </w:instrText>
      </w:r>
      <w:r>
        <w:fldChar w:fldCharType="separate"/>
      </w:r>
      <w:r>
        <w:rPr>
          <w:rFonts w:hint="eastAsia" w:ascii="仿宋" w:hAnsi="仿宋" w:eastAsia="仿宋" w:cs="仿宋"/>
          <w:b/>
          <w:bCs/>
          <w:sz w:val="28"/>
          <w:szCs w:val="28"/>
        </w:rPr>
        <w:t>附件：财政支出绩效评价指标体系表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_Toc18025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spacing w:line="360" w:lineRule="auto"/>
        <w:ind w:firstLine="140" w:firstLineChars="50"/>
        <w:jc w:val="center"/>
        <w:rPr>
          <w:rFonts w:ascii="仿宋" w:hAnsi="仿宋" w:eastAsia="仿宋" w:cs="仿宋"/>
          <w:b/>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fldChar w:fldCharType="end"/>
      </w:r>
    </w:p>
    <w:p>
      <w:pPr>
        <w:pageBreakBefore/>
        <w:jc w:val="center"/>
        <w:outlineLvl w:val="0"/>
        <w:rPr>
          <w:rFonts w:ascii="宋体" w:hAnsi="宋体" w:eastAsia="宋体" w:cs="宋体"/>
          <w:b/>
          <w:bCs/>
          <w:sz w:val="44"/>
          <w:szCs w:val="44"/>
        </w:rPr>
      </w:pPr>
      <w:bookmarkStart w:id="0" w:name="_Toc6084"/>
      <w:bookmarkStart w:id="1" w:name="_Toc16603"/>
      <w:r>
        <w:rPr>
          <w:rFonts w:hint="eastAsia" w:ascii="宋体" w:hAnsi="宋体" w:eastAsia="宋体" w:cs="宋体"/>
          <w:b/>
          <w:bCs/>
          <w:color w:val="auto"/>
          <w:sz w:val="44"/>
          <w:szCs w:val="44"/>
          <w:lang w:val="en-US" w:eastAsia="zh-CN"/>
        </w:rPr>
        <w:t>民政发展专项资金项目</w:t>
      </w:r>
      <w:r>
        <w:rPr>
          <w:rFonts w:hint="eastAsia" w:ascii="宋体" w:hAnsi="宋体" w:eastAsia="宋体" w:cs="宋体"/>
          <w:b/>
          <w:bCs/>
          <w:sz w:val="44"/>
          <w:szCs w:val="44"/>
        </w:rPr>
        <w:t>绩效自评报告</w:t>
      </w:r>
      <w:bookmarkEnd w:id="0"/>
      <w:bookmarkEnd w:id="1"/>
    </w:p>
    <w:p/>
    <w:p>
      <w:pPr>
        <w:pStyle w:val="3"/>
        <w:keepNext w:val="0"/>
        <w:keepLines w:val="0"/>
        <w:pageBreakBefore w:val="0"/>
        <w:widowControl/>
        <w:kinsoku/>
        <w:wordWrap/>
        <w:overflowPunct/>
        <w:topLinePunct w:val="0"/>
        <w:autoSpaceDE/>
        <w:autoSpaceDN/>
        <w:bidi w:val="0"/>
        <w:adjustRightInd w:val="0"/>
        <w:snapToGrid w:val="0"/>
        <w:spacing w:line="560" w:lineRule="exact"/>
        <w:ind w:firstLine="567"/>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根据白沙黎族自治县财政局《关于开展2023年度项目支出绩效自评工作的通知》（白财〔2024〕22号）要求，为推进预算绩效管理工作，提高财政资金使用效益，对本单位2023年度</w:t>
      </w:r>
      <w:r>
        <w:rPr>
          <w:rFonts w:hint="eastAsia" w:ascii="仿宋" w:hAnsi="仿宋" w:eastAsia="仿宋" w:cs="仿宋"/>
          <w:color w:val="auto"/>
          <w:kern w:val="2"/>
          <w:sz w:val="30"/>
          <w:szCs w:val="30"/>
          <w:lang w:val="en-US" w:eastAsia="zh-CN" w:bidi="ar-SA"/>
        </w:rPr>
        <w:t>“民政发展专项资金”</w:t>
      </w:r>
      <w:r>
        <w:rPr>
          <w:rFonts w:hint="eastAsia" w:ascii="仿宋" w:hAnsi="仿宋" w:eastAsia="仿宋" w:cs="仿宋"/>
          <w:kern w:val="2"/>
          <w:sz w:val="30"/>
          <w:szCs w:val="30"/>
          <w:lang w:val="en-US" w:eastAsia="zh-CN" w:bidi="ar-SA"/>
        </w:rPr>
        <w:t>项目开展绩效自评工作。现就评价情况报告如下：</w:t>
      </w:r>
    </w:p>
    <w:p>
      <w:pPr>
        <w:numPr>
          <w:ilvl w:val="0"/>
          <w:numId w:val="0"/>
        </w:numPr>
        <w:spacing w:line="560" w:lineRule="exact"/>
        <w:ind w:firstLine="602" w:firstLineChars="200"/>
        <w:outlineLvl w:val="0"/>
        <w:rPr>
          <w:rFonts w:ascii="黑体" w:hAnsi="黑体" w:eastAsia="黑体" w:cs="黑体"/>
          <w:b/>
          <w:bCs/>
          <w:sz w:val="30"/>
          <w:szCs w:val="30"/>
        </w:rPr>
      </w:pPr>
      <w:bookmarkStart w:id="2" w:name="_Toc23770"/>
      <w:r>
        <w:rPr>
          <w:rFonts w:hint="eastAsia" w:ascii="黑体" w:hAnsi="黑体" w:eastAsia="黑体" w:cs="黑体"/>
          <w:b/>
          <w:bCs/>
          <w:kern w:val="2"/>
          <w:sz w:val="30"/>
          <w:szCs w:val="30"/>
          <w:lang w:val="en-US" w:eastAsia="zh-CN" w:bidi="ar-SA"/>
        </w:rPr>
        <w:t>一、</w:t>
      </w:r>
      <w:r>
        <w:rPr>
          <w:rFonts w:hint="eastAsia" w:ascii="黑体" w:hAnsi="黑体" w:eastAsia="黑体" w:cs="黑体"/>
          <w:b/>
          <w:bCs/>
          <w:sz w:val="30"/>
          <w:szCs w:val="30"/>
        </w:rPr>
        <w:t>基本情况</w:t>
      </w:r>
      <w:bookmarkEnd w:id="2"/>
    </w:p>
    <w:p>
      <w:pPr>
        <w:numPr>
          <w:ilvl w:val="0"/>
          <w:numId w:val="1"/>
        </w:numPr>
        <w:spacing w:line="560" w:lineRule="exact"/>
        <w:ind w:firstLine="602" w:firstLineChars="200"/>
        <w:outlineLvl w:val="1"/>
        <w:rPr>
          <w:rFonts w:hint="eastAsia" w:ascii="楷体_GB2312" w:hAnsi="楷体_GB2312" w:eastAsia="楷体_GB2312" w:cs="楷体_GB2312"/>
          <w:b/>
          <w:bCs/>
          <w:sz w:val="30"/>
          <w:szCs w:val="30"/>
        </w:rPr>
      </w:pPr>
      <w:bookmarkStart w:id="3" w:name="_Toc28343"/>
      <w:r>
        <w:rPr>
          <w:rFonts w:hint="eastAsia" w:ascii="楷体_GB2312" w:hAnsi="楷体_GB2312" w:eastAsia="楷体_GB2312" w:cs="楷体_GB2312"/>
          <w:b/>
          <w:bCs/>
          <w:sz w:val="30"/>
          <w:szCs w:val="30"/>
        </w:rPr>
        <w:t>项目概况</w:t>
      </w:r>
      <w:bookmarkEnd w:id="3"/>
    </w:p>
    <w:p>
      <w:pPr>
        <w:numPr>
          <w:ilvl w:val="0"/>
          <w:numId w:val="0"/>
        </w:numPr>
        <w:spacing w:line="560" w:lineRule="exact"/>
        <w:ind w:firstLine="600" w:firstLineChars="200"/>
        <w:outlineLvl w:val="1"/>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民政发展专项资金项目属于经常性项目，系白沙黎族自治县青松乡人民政府（以下简称“青松乡人民政府”）实施的2023年预算项目，具体实施内容系对遭遇突发事件、意外伤害、重大疾病或其他特殊原因导致基本生活陷入困境，其他社会救助制度暂时无法覆盖或救助之后基本生活暂时仍有严重困难的家庭或个人给予的应急性、过渡性的救助。</w:t>
      </w:r>
    </w:p>
    <w:p>
      <w:pPr>
        <w:numPr>
          <w:ilvl w:val="0"/>
          <w:numId w:val="0"/>
        </w:numPr>
        <w:spacing w:line="560" w:lineRule="exact"/>
        <w:ind w:firstLine="602" w:firstLineChars="200"/>
        <w:outlineLvl w:val="1"/>
        <w:rPr>
          <w:rFonts w:hint="eastAsia" w:ascii="楷体_GB2312" w:hAnsi="楷体_GB2312" w:eastAsia="楷体_GB2312" w:cs="楷体_GB2312"/>
          <w:b/>
          <w:bCs/>
          <w:sz w:val="30"/>
          <w:szCs w:val="30"/>
        </w:rPr>
      </w:pPr>
      <w:bookmarkStart w:id="4" w:name="_Toc24517"/>
      <w:r>
        <w:rPr>
          <w:rFonts w:hint="eastAsia" w:ascii="楷体_GB2312" w:hAnsi="楷体_GB2312" w:eastAsia="楷体_GB2312" w:cs="楷体_GB2312"/>
          <w:b/>
          <w:bCs/>
          <w:kern w:val="2"/>
          <w:sz w:val="30"/>
          <w:szCs w:val="30"/>
          <w:lang w:val="en-US" w:eastAsia="zh-CN" w:bidi="ar-SA"/>
        </w:rPr>
        <w:t>（二）</w:t>
      </w:r>
      <w:r>
        <w:rPr>
          <w:rFonts w:hint="eastAsia" w:ascii="楷体_GB2312" w:hAnsi="楷体_GB2312" w:eastAsia="楷体_GB2312" w:cs="楷体_GB2312"/>
          <w:b/>
          <w:bCs/>
          <w:sz w:val="30"/>
          <w:szCs w:val="30"/>
        </w:rPr>
        <w:t>项目年度预算绩效目标和绩效指标设定情况</w:t>
      </w:r>
      <w:bookmarkEnd w:id="4"/>
    </w:p>
    <w:p>
      <w:pPr>
        <w:numPr>
          <w:ilvl w:val="0"/>
          <w:numId w:val="0"/>
        </w:numPr>
        <w:spacing w:line="560" w:lineRule="exact"/>
        <w:ind w:firstLine="602" w:firstLineChars="200"/>
        <w:outlineLvl w:val="0"/>
        <w:rPr>
          <w:rFonts w:hint="eastAsia" w:ascii="仿宋" w:hAnsi="仿宋" w:eastAsia="仿宋" w:cs="仿宋"/>
          <w:sz w:val="30"/>
          <w:szCs w:val="30"/>
          <w:lang w:val="en-US" w:eastAsia="zh-CN"/>
        </w:rPr>
      </w:pPr>
      <w:bookmarkStart w:id="5" w:name="_Toc20503"/>
      <w:r>
        <w:rPr>
          <w:rFonts w:hint="eastAsia" w:ascii="仿宋" w:hAnsi="仿宋" w:eastAsia="仿宋" w:cs="仿宋"/>
          <w:b/>
          <w:bCs/>
          <w:sz w:val="30"/>
          <w:szCs w:val="30"/>
          <w:lang w:val="en-US" w:eastAsia="zh-CN"/>
        </w:rPr>
        <w:t>1.项目绩效年度目标：</w:t>
      </w:r>
      <w:r>
        <w:rPr>
          <w:rFonts w:hint="eastAsia" w:ascii="仿宋" w:hAnsi="仿宋" w:eastAsia="仿宋" w:cs="仿宋"/>
          <w:sz w:val="30"/>
          <w:szCs w:val="30"/>
          <w:highlight w:val="none"/>
          <w:lang w:val="en-US" w:eastAsia="zh-CN"/>
        </w:rPr>
        <w:t>救助29个人员</w:t>
      </w:r>
      <w:r>
        <w:rPr>
          <w:rFonts w:hint="eastAsia" w:ascii="仿宋" w:hAnsi="仿宋" w:eastAsia="仿宋" w:cs="仿宋"/>
          <w:sz w:val="30"/>
          <w:szCs w:val="30"/>
          <w:lang w:val="en-US" w:eastAsia="zh-CN"/>
        </w:rPr>
        <w:t>，民政发展专项资金项目在2023年度内完成100%，减轻救助人员家庭负担。</w:t>
      </w:r>
    </w:p>
    <w:p>
      <w:pPr>
        <w:numPr>
          <w:ilvl w:val="0"/>
          <w:numId w:val="0"/>
        </w:numPr>
        <w:spacing w:line="560" w:lineRule="exact"/>
        <w:ind w:firstLine="602" w:firstLineChars="200"/>
        <w:outlineLvl w:val="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2.项目绩效主要阶段性目标</w:t>
      </w:r>
    </w:p>
    <w:p>
      <w:pPr>
        <w:numPr>
          <w:ilvl w:val="0"/>
          <w:numId w:val="0"/>
        </w:numPr>
        <w:spacing w:line="560" w:lineRule="exact"/>
        <w:ind w:firstLine="301" w:firstLineChars="100"/>
        <w:outlineLvl w:val="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（1）产出目标：</w:t>
      </w:r>
      <w:r>
        <w:rPr>
          <w:rFonts w:hint="eastAsia" w:ascii="仿宋" w:hAnsi="仿宋" w:eastAsia="仿宋" w:cs="仿宋"/>
          <w:sz w:val="30"/>
          <w:szCs w:val="30"/>
          <w:lang w:val="en-US" w:eastAsia="zh-CN"/>
        </w:rPr>
        <w:t>民政发展专项资金项目在2023年内完成100%，全部将资金发放到困难家庭，发放及时，项目资金成本控制率≤100%；</w:t>
      </w:r>
    </w:p>
    <w:p>
      <w:pPr>
        <w:numPr>
          <w:ilvl w:val="0"/>
          <w:numId w:val="0"/>
        </w:numPr>
        <w:spacing w:line="560" w:lineRule="exact"/>
        <w:ind w:firstLine="300" w:firstLineChars="100"/>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b/>
          <w:bCs/>
          <w:sz w:val="30"/>
          <w:szCs w:val="30"/>
          <w:lang w:val="en-US" w:eastAsia="zh-CN"/>
        </w:rPr>
        <w:t>2）效益指标：</w:t>
      </w:r>
      <w:r>
        <w:rPr>
          <w:rFonts w:hint="eastAsia" w:ascii="仿宋" w:hAnsi="仿宋" w:eastAsia="仿宋" w:cs="仿宋"/>
          <w:sz w:val="30"/>
          <w:szCs w:val="30"/>
          <w:lang w:val="en-US" w:eastAsia="zh-CN"/>
        </w:rPr>
        <w:t>项目实施后，减轻救助家庭负担，环境经济压力，社会效益十分明显。</w:t>
      </w:r>
    </w:p>
    <w:p>
      <w:pPr>
        <w:numPr>
          <w:ilvl w:val="0"/>
          <w:numId w:val="0"/>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kern w:val="2"/>
          <w:sz w:val="30"/>
          <w:szCs w:val="30"/>
          <w:lang w:val="en-US" w:eastAsia="zh-CN" w:bidi="ar-SA"/>
        </w:rPr>
        <w:t>二、</w:t>
      </w:r>
      <w:r>
        <w:rPr>
          <w:rFonts w:hint="eastAsia" w:ascii="黑体" w:hAnsi="黑体" w:eastAsia="黑体" w:cs="黑体"/>
          <w:b/>
          <w:bCs/>
          <w:sz w:val="30"/>
          <w:szCs w:val="30"/>
        </w:rPr>
        <w:t>项目组织实施情况</w:t>
      </w:r>
      <w:bookmarkEnd w:id="5"/>
    </w:p>
    <w:p>
      <w:pPr>
        <w:numPr>
          <w:ilvl w:val="0"/>
          <w:numId w:val="2"/>
        </w:numPr>
        <w:spacing w:line="560" w:lineRule="exact"/>
        <w:ind w:firstLine="602" w:firstLineChars="200"/>
        <w:outlineLvl w:val="1"/>
        <w:rPr>
          <w:rFonts w:hint="eastAsia" w:ascii="楷体_GB2312" w:hAnsi="楷体_GB2312" w:eastAsia="楷体_GB2312" w:cs="楷体_GB2312"/>
          <w:b/>
          <w:bCs/>
          <w:sz w:val="30"/>
          <w:szCs w:val="30"/>
        </w:rPr>
      </w:pPr>
      <w:bookmarkStart w:id="6" w:name="_Toc20064"/>
      <w:r>
        <w:rPr>
          <w:rFonts w:hint="eastAsia" w:ascii="楷体_GB2312" w:hAnsi="楷体_GB2312" w:eastAsia="楷体_GB2312" w:cs="楷体_GB2312"/>
          <w:b/>
          <w:bCs/>
          <w:sz w:val="30"/>
          <w:szCs w:val="30"/>
        </w:rPr>
        <w:t>项目组织情况</w:t>
      </w:r>
      <w:bookmarkEnd w:id="6"/>
    </w:p>
    <w:p>
      <w:pPr>
        <w:numPr>
          <w:ilvl w:val="0"/>
          <w:numId w:val="0"/>
        </w:numPr>
        <w:spacing w:line="560" w:lineRule="exact"/>
        <w:ind w:firstLine="600" w:firstLineChars="200"/>
        <w:outlineLvl w:val="0"/>
        <w:rPr>
          <w:rFonts w:hint="eastAsia" w:ascii="仿宋" w:hAnsi="仿宋" w:eastAsia="仿宋" w:cs="仿宋"/>
          <w:sz w:val="30"/>
          <w:szCs w:val="30"/>
          <w:lang w:val="en-US" w:eastAsia="zh-CN"/>
        </w:rPr>
      </w:pPr>
      <w:bookmarkStart w:id="7" w:name="_Toc22710"/>
      <w:r>
        <w:rPr>
          <w:rFonts w:hint="eastAsia" w:ascii="仿宋" w:hAnsi="仿宋" w:eastAsia="仿宋" w:cs="仿宋"/>
          <w:sz w:val="30"/>
          <w:szCs w:val="30"/>
          <w:lang w:val="en-US" w:eastAsia="zh-CN"/>
        </w:rPr>
        <w:t>2023年初，青松乡人民政府组织民政专干结合我乡实际和临时救助金发放金额的标准等，对2023年度民政发展专项资金项目进行会议讨论，经会议决定将民政发展专项资金项目经费列入2023年度项目预算支出中。</w:t>
      </w:r>
    </w:p>
    <w:p>
      <w:pPr>
        <w:numPr>
          <w:ilvl w:val="0"/>
          <w:numId w:val="2"/>
        </w:numPr>
        <w:spacing w:line="560" w:lineRule="exact"/>
        <w:ind w:firstLine="602" w:firstLineChars="200"/>
        <w:outlineLvl w:val="1"/>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项目管理情况</w:t>
      </w:r>
      <w:bookmarkEnd w:id="7"/>
    </w:p>
    <w:p>
      <w:pPr>
        <w:numPr>
          <w:ilvl w:val="0"/>
          <w:numId w:val="0"/>
        </w:numPr>
        <w:spacing w:line="560" w:lineRule="exact"/>
        <w:ind w:firstLine="600" w:firstLineChars="200"/>
        <w:outlineLvl w:val="0"/>
        <w:rPr>
          <w:rFonts w:hint="eastAsia" w:ascii="仿宋" w:hAnsi="仿宋" w:eastAsia="仿宋" w:cs="仿宋"/>
          <w:sz w:val="30"/>
          <w:szCs w:val="30"/>
          <w:lang w:val="en-US" w:eastAsia="zh-CN"/>
        </w:rPr>
      </w:pPr>
      <w:bookmarkStart w:id="8" w:name="_Toc4435"/>
      <w:r>
        <w:rPr>
          <w:rFonts w:hint="eastAsia" w:ascii="仿宋" w:hAnsi="仿宋" w:eastAsia="仿宋" w:cs="仿宋"/>
          <w:sz w:val="30"/>
          <w:szCs w:val="30"/>
          <w:lang w:val="en-US" w:eastAsia="zh-CN"/>
        </w:rPr>
        <w:t>在项目管理上，内部拟定项目负责人对项目整体实施过程进行进行监督管理，并严格执行白沙县有关项目支出管理规定，各项支出均有层级审批。项目由专人负责管理，审核相关材料。</w:t>
      </w:r>
    </w:p>
    <w:p>
      <w:pPr>
        <w:numPr>
          <w:ilvl w:val="0"/>
          <w:numId w:val="0"/>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kern w:val="2"/>
          <w:sz w:val="30"/>
          <w:szCs w:val="30"/>
          <w:lang w:val="en-US" w:eastAsia="zh-CN" w:bidi="ar-SA"/>
        </w:rPr>
        <w:t>三、</w:t>
      </w:r>
      <w:r>
        <w:rPr>
          <w:rFonts w:hint="eastAsia" w:ascii="黑体" w:hAnsi="黑体" w:eastAsia="黑体" w:cs="黑体"/>
          <w:b/>
          <w:bCs/>
          <w:sz w:val="30"/>
          <w:szCs w:val="30"/>
        </w:rPr>
        <w:t>项目决策及资金使用管理情况</w:t>
      </w:r>
      <w:bookmarkEnd w:id="8"/>
    </w:p>
    <w:p>
      <w:pPr>
        <w:numPr>
          <w:ilvl w:val="0"/>
          <w:numId w:val="0"/>
        </w:numPr>
        <w:adjustRightInd w:val="0"/>
        <w:spacing w:line="560" w:lineRule="exact"/>
        <w:ind w:firstLine="602" w:firstLineChars="200"/>
        <w:outlineLvl w:val="1"/>
        <w:rPr>
          <w:rFonts w:hint="eastAsia" w:ascii="楷体_GB2312" w:hAnsi="楷体_GB2312" w:eastAsia="楷体_GB2312" w:cs="楷体_GB2312"/>
          <w:b/>
          <w:bCs/>
          <w:sz w:val="30"/>
          <w:szCs w:val="30"/>
        </w:rPr>
      </w:pPr>
      <w:bookmarkStart w:id="9" w:name="_Toc27405"/>
      <w:r>
        <w:rPr>
          <w:rFonts w:hint="eastAsia" w:ascii="楷体_GB2312" w:hAnsi="楷体_GB2312" w:eastAsia="楷体_GB2312" w:cs="楷体_GB2312"/>
          <w:b/>
          <w:bCs/>
          <w:kern w:val="2"/>
          <w:sz w:val="30"/>
          <w:szCs w:val="30"/>
          <w:lang w:val="en-US" w:eastAsia="zh-CN" w:bidi="ar-SA"/>
        </w:rPr>
        <w:t>（一）</w:t>
      </w:r>
      <w:r>
        <w:rPr>
          <w:rFonts w:hint="eastAsia" w:ascii="楷体_GB2312" w:hAnsi="楷体_GB2312" w:eastAsia="楷体_GB2312" w:cs="楷体_GB2312"/>
          <w:b/>
          <w:bCs/>
          <w:sz w:val="30"/>
          <w:szCs w:val="30"/>
        </w:rPr>
        <w:t>项目决策情况</w:t>
      </w:r>
      <w:bookmarkEnd w:id="9"/>
    </w:p>
    <w:p>
      <w:pPr>
        <w:numPr>
          <w:ilvl w:val="0"/>
          <w:numId w:val="0"/>
        </w:numPr>
        <w:spacing w:line="560" w:lineRule="exact"/>
        <w:ind w:firstLine="600" w:firstLineChars="200"/>
        <w:outlineLvl w:val="0"/>
        <w:rPr>
          <w:rFonts w:hint="eastAsia" w:ascii="仿宋" w:hAnsi="仿宋" w:eastAsia="仿宋" w:cs="仿宋"/>
          <w:sz w:val="30"/>
          <w:szCs w:val="30"/>
          <w:lang w:val="en-US" w:eastAsia="zh-CN"/>
        </w:rPr>
      </w:pPr>
      <w:bookmarkStart w:id="10" w:name="_Toc29663"/>
      <w:r>
        <w:rPr>
          <w:rFonts w:hint="eastAsia" w:ascii="仿宋" w:hAnsi="仿宋" w:eastAsia="仿宋" w:cs="仿宋"/>
          <w:sz w:val="30"/>
          <w:szCs w:val="30"/>
          <w:lang w:val="en-US" w:eastAsia="zh-CN"/>
        </w:rPr>
        <w:t>通过乡民政专干报送临时救助金申请表、申请人社保卡、病历等申报材料，进行临时救助金发放，确保民政发展专项资金项目发放的工作能够认真负责的完成。</w:t>
      </w:r>
    </w:p>
    <w:p>
      <w:pPr>
        <w:numPr>
          <w:ilvl w:val="0"/>
          <w:numId w:val="0"/>
        </w:numPr>
        <w:adjustRightInd w:val="0"/>
        <w:spacing w:line="560" w:lineRule="exact"/>
        <w:ind w:firstLine="602" w:firstLineChars="200"/>
        <w:outlineLvl w:val="1"/>
        <w:rPr>
          <w:rFonts w:hint="eastAsia" w:ascii="楷体_GB2312" w:hAnsi="楷体_GB2312" w:eastAsia="楷体_GB2312" w:cs="楷体_GB2312"/>
          <w:b/>
          <w:bCs/>
          <w:sz w:val="30"/>
          <w:szCs w:val="30"/>
        </w:rPr>
      </w:pPr>
      <w:r>
        <w:rPr>
          <w:rFonts w:hint="eastAsia" w:ascii="楷体_GB2312" w:hAnsi="楷体_GB2312" w:eastAsia="楷体_GB2312" w:cs="楷体_GB2312"/>
          <w:b/>
          <w:bCs/>
          <w:kern w:val="2"/>
          <w:sz w:val="30"/>
          <w:szCs w:val="30"/>
          <w:lang w:val="en-US" w:eastAsia="zh-CN" w:bidi="ar-SA"/>
        </w:rPr>
        <w:t>（二）</w:t>
      </w:r>
      <w:r>
        <w:rPr>
          <w:rFonts w:hint="eastAsia" w:ascii="楷体_GB2312" w:hAnsi="楷体_GB2312" w:eastAsia="楷体_GB2312" w:cs="楷体_GB2312"/>
          <w:b/>
          <w:bCs/>
          <w:sz w:val="30"/>
          <w:szCs w:val="30"/>
        </w:rPr>
        <w:t>项目资金安排情况</w:t>
      </w:r>
      <w:bookmarkEnd w:id="10"/>
    </w:p>
    <w:p>
      <w:pPr>
        <w:numPr>
          <w:ilvl w:val="0"/>
          <w:numId w:val="0"/>
        </w:numPr>
        <w:spacing w:line="560" w:lineRule="exact"/>
        <w:ind w:firstLine="600" w:firstLineChars="200"/>
        <w:outlineLvl w:val="0"/>
        <w:rPr>
          <w:rFonts w:hint="eastAsia" w:ascii="仿宋" w:hAnsi="仿宋" w:eastAsia="仿宋" w:cs="仿宋"/>
          <w:sz w:val="30"/>
          <w:szCs w:val="30"/>
          <w:lang w:val="en-US" w:eastAsia="zh-CN"/>
        </w:rPr>
      </w:pPr>
      <w:bookmarkStart w:id="11" w:name="_Toc30045"/>
      <w:r>
        <w:rPr>
          <w:rFonts w:hint="eastAsia" w:ascii="仿宋" w:hAnsi="仿宋" w:eastAsia="仿宋" w:cs="仿宋"/>
          <w:sz w:val="30"/>
          <w:szCs w:val="30"/>
          <w:lang w:val="en-US" w:eastAsia="zh-CN"/>
        </w:rPr>
        <w:t>2023年民政发展专项资金项目资金来源自2023年预算批复文件，该项目预算支出来源自预算项目“民政发展专项资金”，项目预算金额为10万元，本项目资金投入及时到位率100%。</w:t>
      </w:r>
    </w:p>
    <w:p>
      <w:pPr>
        <w:numPr>
          <w:ilvl w:val="0"/>
          <w:numId w:val="0"/>
        </w:numPr>
        <w:adjustRightInd w:val="0"/>
        <w:spacing w:line="560" w:lineRule="exact"/>
        <w:ind w:firstLine="602" w:firstLineChars="200"/>
        <w:outlineLvl w:val="1"/>
        <w:rPr>
          <w:rFonts w:hint="eastAsia" w:ascii="楷体_GB2312" w:hAnsi="楷体_GB2312" w:eastAsia="楷体_GB2312" w:cs="楷体_GB2312"/>
          <w:b/>
          <w:bCs/>
          <w:sz w:val="30"/>
          <w:szCs w:val="30"/>
        </w:rPr>
      </w:pPr>
      <w:r>
        <w:rPr>
          <w:rFonts w:hint="eastAsia" w:ascii="楷体_GB2312" w:hAnsi="楷体_GB2312" w:eastAsia="楷体_GB2312" w:cs="楷体_GB2312"/>
          <w:b/>
          <w:bCs/>
          <w:kern w:val="2"/>
          <w:sz w:val="30"/>
          <w:szCs w:val="30"/>
          <w:lang w:val="en-US" w:eastAsia="zh-CN" w:bidi="ar-SA"/>
        </w:rPr>
        <w:t>（三）</w:t>
      </w:r>
      <w:r>
        <w:rPr>
          <w:rFonts w:hint="eastAsia" w:ascii="楷体_GB2312" w:hAnsi="楷体_GB2312" w:eastAsia="楷体_GB2312" w:cs="楷体_GB2312"/>
          <w:b/>
          <w:bCs/>
          <w:sz w:val="30"/>
          <w:szCs w:val="30"/>
        </w:rPr>
        <w:t>项目资金使用情况</w:t>
      </w:r>
      <w:bookmarkEnd w:id="11"/>
    </w:p>
    <w:p>
      <w:pPr>
        <w:numPr>
          <w:ilvl w:val="0"/>
          <w:numId w:val="0"/>
        </w:numPr>
        <w:spacing w:line="560" w:lineRule="exact"/>
        <w:ind w:firstLine="600" w:firstLineChars="200"/>
        <w:outlineLvl w:val="0"/>
        <w:rPr>
          <w:rFonts w:hint="eastAsia" w:ascii="仿宋" w:hAnsi="仿宋" w:eastAsia="仿宋" w:cs="仿宋"/>
          <w:sz w:val="30"/>
          <w:szCs w:val="30"/>
          <w:lang w:val="en-US" w:eastAsia="zh-CN"/>
        </w:rPr>
      </w:pPr>
      <w:bookmarkStart w:id="12" w:name="_Toc17207"/>
      <w:r>
        <w:rPr>
          <w:rFonts w:hint="eastAsia" w:ascii="仿宋" w:hAnsi="仿宋" w:eastAsia="仿宋" w:cs="仿宋"/>
          <w:sz w:val="30"/>
          <w:szCs w:val="30"/>
          <w:lang w:val="en-US" w:eastAsia="zh-CN"/>
        </w:rPr>
        <w:t>截至2023年12月31日，青松乡人民政府2023年民政发展专项资金项目支出金额为10万元，</w:t>
      </w:r>
      <w:r>
        <w:rPr>
          <w:rFonts w:hint="eastAsia" w:ascii="仿宋" w:hAnsi="仿宋" w:eastAsia="仿宋" w:cs="仿宋"/>
          <w:sz w:val="30"/>
          <w:szCs w:val="30"/>
          <w:highlight w:val="none"/>
          <w:lang w:val="en-US" w:eastAsia="zh-CN"/>
        </w:rPr>
        <w:t>用于29个人家庭救助</w:t>
      </w:r>
      <w:r>
        <w:rPr>
          <w:rFonts w:hint="eastAsia" w:ascii="仿宋" w:hAnsi="仿宋" w:eastAsia="仿宋" w:cs="仿宋"/>
          <w:sz w:val="30"/>
          <w:szCs w:val="30"/>
          <w:lang w:val="en-US" w:eastAsia="zh-CN"/>
        </w:rPr>
        <w:t>，支付进度率100%。</w:t>
      </w:r>
      <w:bookmarkStart w:id="21" w:name="_GoBack"/>
      <w:bookmarkEnd w:id="21"/>
    </w:p>
    <w:p>
      <w:pPr>
        <w:numPr>
          <w:ilvl w:val="0"/>
          <w:numId w:val="0"/>
        </w:numPr>
        <w:spacing w:line="560" w:lineRule="exact"/>
        <w:ind w:firstLine="602" w:firstLineChars="200"/>
        <w:outlineLvl w:val="0"/>
        <w:rPr>
          <w:rFonts w:ascii="仿宋" w:hAnsi="仿宋" w:eastAsia="仿宋" w:cs="仿宋"/>
          <w:b/>
          <w:bCs/>
          <w:sz w:val="30"/>
          <w:szCs w:val="30"/>
        </w:rPr>
      </w:pPr>
      <w:r>
        <w:rPr>
          <w:rFonts w:hint="eastAsia" w:ascii="仿宋" w:hAnsi="仿宋" w:eastAsia="仿宋" w:cs="仿宋"/>
          <w:b/>
          <w:bCs/>
          <w:kern w:val="2"/>
          <w:sz w:val="30"/>
          <w:szCs w:val="30"/>
          <w:lang w:val="en-US" w:eastAsia="zh-CN" w:bidi="ar-SA"/>
        </w:rPr>
        <w:t>（四）</w:t>
      </w:r>
      <w:r>
        <w:rPr>
          <w:rFonts w:hint="eastAsia" w:ascii="仿宋" w:hAnsi="仿宋" w:eastAsia="仿宋" w:cs="仿宋"/>
          <w:b/>
          <w:bCs/>
          <w:sz w:val="30"/>
          <w:szCs w:val="30"/>
        </w:rPr>
        <w:t>项目资金管理情况</w:t>
      </w:r>
      <w:bookmarkEnd w:id="12"/>
    </w:p>
    <w:p>
      <w:pPr>
        <w:numPr>
          <w:ilvl w:val="0"/>
          <w:numId w:val="0"/>
        </w:numPr>
        <w:spacing w:line="560" w:lineRule="exact"/>
        <w:ind w:firstLine="600" w:firstLineChars="200"/>
        <w:outlineLvl w:val="0"/>
        <w:rPr>
          <w:rFonts w:hint="eastAsia" w:ascii="仿宋" w:hAnsi="仿宋" w:eastAsia="仿宋" w:cs="仿宋"/>
          <w:sz w:val="30"/>
          <w:szCs w:val="30"/>
          <w:lang w:val="en-US" w:eastAsia="zh-CN"/>
        </w:rPr>
      </w:pPr>
      <w:bookmarkStart w:id="13" w:name="_Toc12313"/>
      <w:r>
        <w:rPr>
          <w:rFonts w:hint="eastAsia" w:ascii="仿宋" w:hAnsi="仿宋" w:eastAsia="仿宋" w:cs="仿宋"/>
          <w:sz w:val="30"/>
          <w:szCs w:val="30"/>
          <w:lang w:val="en-US" w:eastAsia="zh-CN"/>
        </w:rPr>
        <w:t>青松乡人民政府在项目实施时，虽未制定专门的资金管理办法，但在项目实施过程中严格执行白沙县项目实施及报账程序，在项目支出时均有通过内部层级审批方才支出。</w:t>
      </w:r>
    </w:p>
    <w:p>
      <w:pPr>
        <w:numPr>
          <w:ilvl w:val="0"/>
          <w:numId w:val="0"/>
        </w:numPr>
        <w:spacing w:line="560" w:lineRule="exact"/>
        <w:ind w:firstLine="602" w:firstLineChars="200"/>
        <w:outlineLvl w:val="0"/>
        <w:rPr>
          <w:rFonts w:ascii="黑体" w:hAnsi="黑体" w:eastAsia="黑体" w:cs="黑体"/>
          <w:b/>
          <w:bCs/>
          <w:sz w:val="30"/>
          <w:szCs w:val="30"/>
        </w:rPr>
      </w:pPr>
      <w:r>
        <w:rPr>
          <w:rFonts w:hint="eastAsia" w:ascii="黑体" w:hAnsi="黑体" w:eastAsia="黑体" w:cs="黑体"/>
          <w:b/>
          <w:bCs/>
          <w:kern w:val="2"/>
          <w:sz w:val="30"/>
          <w:szCs w:val="30"/>
          <w:lang w:val="en-US" w:eastAsia="zh-CN" w:bidi="ar-SA"/>
        </w:rPr>
        <w:t>四、</w:t>
      </w:r>
      <w:r>
        <w:rPr>
          <w:rFonts w:hint="eastAsia" w:ascii="黑体" w:hAnsi="黑体" w:eastAsia="黑体" w:cs="黑体"/>
          <w:b/>
          <w:bCs/>
          <w:sz w:val="30"/>
          <w:szCs w:val="30"/>
        </w:rPr>
        <w:t>项目绩效情况</w:t>
      </w:r>
      <w:bookmarkEnd w:id="13"/>
    </w:p>
    <w:p>
      <w:pPr>
        <w:numPr>
          <w:ilvl w:val="0"/>
          <w:numId w:val="3"/>
        </w:numPr>
        <w:spacing w:line="560" w:lineRule="exact"/>
        <w:ind w:firstLine="602" w:firstLineChars="200"/>
        <w:outlineLvl w:val="1"/>
        <w:rPr>
          <w:rFonts w:hint="eastAsia" w:ascii="楷体_GB2312" w:hAnsi="楷体_GB2312" w:eastAsia="楷体_GB2312" w:cs="楷体_GB2312"/>
          <w:b/>
          <w:bCs/>
          <w:sz w:val="30"/>
          <w:szCs w:val="30"/>
        </w:rPr>
      </w:pPr>
      <w:bookmarkStart w:id="14" w:name="_Toc15821"/>
      <w:r>
        <w:rPr>
          <w:rFonts w:hint="eastAsia" w:ascii="楷体_GB2312" w:hAnsi="楷体_GB2312" w:eastAsia="楷体_GB2312" w:cs="楷体_GB2312"/>
          <w:b/>
          <w:bCs/>
          <w:sz w:val="30"/>
          <w:szCs w:val="30"/>
        </w:rPr>
        <w:t>项目绩效目标完成情况</w:t>
      </w:r>
      <w:bookmarkEnd w:id="14"/>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1.项目的经济性分析</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（1）项目成本（预算）控制情况</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本项目预算投资10万元，全部用于民政发展专项资金项目。项目内容符合人民政府业务工作经济发展需求，本年项目支付金额10万元，预算资金支付率为100%。</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2.项目的效率性分析</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（1）项目的实施进度</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青松乡人民政府经年初确定各项经费预算支出明细后，民政发展专项资金项目已在2023年间顺利完成。</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（2）项目完成质量</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青松乡人民政府在支出各项单位业务经费支出时，均有按单位内部财务管理制度及白沙县财务报账规定层层审批，项目完成质量优。</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3.项目的有效性分析</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（1）项目预期目标完成程度</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该项目有计划、有步骤稳妥实施，已全部按照预算计划时间完成工作任务，达到预期目的。项目预设的各项绩效目标均已完成。</w:t>
      </w:r>
    </w:p>
    <w:p>
      <w:pPr>
        <w:spacing w:line="56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（2）项目实施对经济和社会的影响</w:t>
      </w:r>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的实施，通过拨付临时救助金，保障遭遇突发事件、意外伤害、重大疾病或其他特殊困难导致其基本生活陷入困境，其他各项社会救助制度暂时无法覆盖或依照社会救助各项制度予以救助之后仍有严重困难的家庭或个人给予应急性、过渡性的救助，提升了政府2023年度各项工作进度，对营造良好的政府办公形象具有促进作用。</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4.项目的可持续性分析</w:t>
      </w:r>
    </w:p>
    <w:p>
      <w:pPr>
        <w:spacing w:line="560" w:lineRule="exact"/>
        <w:ind w:firstLine="600" w:firstLineChars="200"/>
        <w:rPr>
          <w:rFonts w:hint="eastAsia" w:ascii="仿宋" w:hAnsi="仿宋" w:eastAsia="仿宋" w:cs="仿宋"/>
          <w:sz w:val="30"/>
          <w:szCs w:val="30"/>
          <w:lang w:val="en-US" w:eastAsia="zh-CN"/>
        </w:rPr>
      </w:pPr>
      <w:bookmarkStart w:id="15" w:name="_Toc20630"/>
      <w:r>
        <w:rPr>
          <w:rFonts w:hint="eastAsia" w:ascii="仿宋" w:hAnsi="仿宋" w:eastAsia="仿宋" w:cs="仿宋"/>
          <w:sz w:val="30"/>
          <w:szCs w:val="30"/>
          <w:lang w:val="en-US" w:eastAsia="zh-CN"/>
        </w:rPr>
        <w:t>民政发展专项资金项目作为青松乡人民政府经常性项目，系维护保障突发严重困难群众的必要环节，均有专项资金保障，项目可持续性较好。</w:t>
      </w:r>
    </w:p>
    <w:p>
      <w:pPr>
        <w:numPr>
          <w:ilvl w:val="0"/>
          <w:numId w:val="3"/>
        </w:numPr>
        <w:spacing w:line="560" w:lineRule="exact"/>
        <w:ind w:firstLine="602" w:firstLineChars="200"/>
        <w:outlineLvl w:val="1"/>
        <w:rPr>
          <w:rFonts w:ascii="仿宋" w:hAnsi="仿宋" w:eastAsia="仿宋" w:cs="仿宋"/>
          <w:b/>
          <w:bCs/>
          <w:sz w:val="30"/>
          <w:szCs w:val="30"/>
        </w:rPr>
      </w:pPr>
      <w:r>
        <w:rPr>
          <w:rFonts w:hint="eastAsia" w:ascii="仿宋" w:hAnsi="仿宋" w:eastAsia="仿宋" w:cs="仿宋"/>
          <w:b/>
          <w:bCs/>
          <w:sz w:val="30"/>
          <w:szCs w:val="30"/>
        </w:rPr>
        <w:t>项目绩效目标未完成情况及原因分析</w:t>
      </w:r>
      <w:bookmarkEnd w:id="15"/>
    </w:p>
    <w:p>
      <w:pPr>
        <w:numPr>
          <w:ilvl w:val="0"/>
          <w:numId w:val="0"/>
        </w:numPr>
        <w:spacing w:line="560" w:lineRule="exact"/>
        <w:ind w:firstLine="602" w:firstLineChars="200"/>
        <w:outlineLvl w:val="0"/>
        <w:rPr>
          <w:rFonts w:hint="eastAsia" w:ascii="仿宋" w:hAnsi="仿宋" w:eastAsia="仿宋" w:cs="仿宋"/>
          <w:b/>
          <w:bCs/>
          <w:color w:val="FF0000"/>
          <w:sz w:val="30"/>
          <w:szCs w:val="30"/>
          <w:lang w:val="en-US" w:eastAsia="zh-CN"/>
        </w:rPr>
      </w:pPr>
      <w:bookmarkStart w:id="16" w:name="_Toc31169"/>
      <w:r>
        <w:rPr>
          <w:rFonts w:hint="eastAsia" w:ascii="仿宋" w:hAnsi="仿宋" w:eastAsia="仿宋" w:cs="仿宋"/>
          <w:b/>
          <w:bCs/>
          <w:color w:val="FF0000"/>
          <w:sz w:val="30"/>
          <w:szCs w:val="30"/>
          <w:lang w:val="en-US" w:eastAsia="zh-CN"/>
        </w:rPr>
        <w:t xml:space="preserve"> </w:t>
      </w:r>
      <w:r>
        <w:rPr>
          <w:rFonts w:hint="eastAsia" w:ascii="仿宋" w:hAnsi="仿宋" w:eastAsia="仿宋" w:cs="仿宋"/>
          <w:sz w:val="30"/>
          <w:szCs w:val="30"/>
          <w:lang w:val="en-US" w:eastAsia="zh-CN"/>
        </w:rPr>
        <w:t>无</w:t>
      </w:r>
    </w:p>
    <w:p>
      <w:pPr>
        <w:numPr>
          <w:ilvl w:val="0"/>
          <w:numId w:val="0"/>
        </w:numPr>
        <w:spacing w:line="560" w:lineRule="exact"/>
        <w:ind w:firstLine="602" w:firstLineChars="200"/>
        <w:outlineLvl w:val="0"/>
        <w:rPr>
          <w:rFonts w:hint="eastAsia"/>
          <w:lang w:val="en-US" w:eastAsia="zh-CN"/>
        </w:rPr>
      </w:pPr>
      <w:r>
        <w:rPr>
          <w:rFonts w:hint="eastAsia" w:ascii="黑体" w:hAnsi="黑体" w:eastAsia="黑体" w:cs="黑体"/>
          <w:b/>
          <w:bCs/>
          <w:sz w:val="30"/>
          <w:szCs w:val="30"/>
          <w:lang w:eastAsia="zh-CN"/>
        </w:rPr>
        <w:t>五、</w:t>
      </w:r>
      <w:r>
        <w:rPr>
          <w:rFonts w:hint="eastAsia" w:ascii="黑体" w:hAnsi="黑体" w:eastAsia="黑体" w:cs="黑体"/>
          <w:b/>
          <w:bCs/>
          <w:sz w:val="30"/>
          <w:szCs w:val="30"/>
        </w:rPr>
        <w:t>综合评价结论</w:t>
      </w:r>
      <w:bookmarkEnd w:id="16"/>
    </w:p>
    <w:p>
      <w:pPr>
        <w:spacing w:line="500" w:lineRule="exact"/>
        <w:jc w:val="center"/>
        <w:rPr>
          <w:rFonts w:ascii="仿宋" w:hAnsi="仿宋" w:eastAsia="仿宋" w:cs="仿宋"/>
          <w:sz w:val="24"/>
        </w:rPr>
      </w:pPr>
      <w:r>
        <w:rPr>
          <w:rFonts w:hint="eastAsia" w:ascii="仿宋" w:hAnsi="仿宋" w:eastAsia="仿宋" w:cs="仿宋"/>
          <w:b/>
          <w:bCs/>
          <w:sz w:val="24"/>
        </w:rPr>
        <w:t>项目绩效评价得分汇总表</w:t>
      </w:r>
    </w:p>
    <w:tbl>
      <w:tblPr>
        <w:tblStyle w:val="12"/>
        <w:tblW w:w="8332" w:type="dxa"/>
        <w:tblInd w:w="11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78"/>
        <w:gridCol w:w="959"/>
        <w:gridCol w:w="959"/>
        <w:gridCol w:w="1232"/>
        <w:gridCol w:w="380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68" w:hRule="atLeast"/>
          <w:tblHeader/>
        </w:trPr>
        <w:tc>
          <w:tcPr>
            <w:tcW w:w="1378"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评价指标</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分值</w:t>
            </w:r>
          </w:p>
        </w:tc>
        <w:tc>
          <w:tcPr>
            <w:tcW w:w="959"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得分</w:t>
            </w:r>
          </w:p>
        </w:tc>
        <w:tc>
          <w:tcPr>
            <w:tcW w:w="1232"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w:t>
            </w:r>
          </w:p>
        </w:tc>
        <w:tc>
          <w:tcPr>
            <w:tcW w:w="3804" w:type="dxa"/>
            <w:tcBorders>
              <w:tl2br w:val="nil"/>
              <w:tr2bl w:val="nil"/>
            </w:tcBorders>
            <w:vAlign w:val="center"/>
          </w:tcPr>
          <w:p>
            <w:pPr>
              <w:widowControl/>
              <w:adjustRightInd w:val="0"/>
              <w:snapToGrid w:val="0"/>
              <w:jc w:val="center"/>
              <w:rPr>
                <w:rFonts w:ascii="仿宋" w:hAnsi="仿宋" w:eastAsia="仿宋" w:cs="仿宋"/>
                <w:b/>
                <w:bCs/>
                <w:szCs w:val="21"/>
              </w:rPr>
            </w:pPr>
            <w:r>
              <w:rPr>
                <w:rFonts w:hint="eastAsia" w:ascii="仿宋" w:hAnsi="仿宋" w:eastAsia="仿宋" w:cs="仿宋"/>
                <w:b/>
                <w:bCs/>
                <w:szCs w:val="21"/>
              </w:rPr>
              <w:t>绩效等级标准</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项目决策</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123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优秀（18-20）、良好（16-17）、                一般（14-15）、较差（13分以下）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项目管理</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25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21</w:t>
            </w:r>
          </w:p>
        </w:tc>
        <w:tc>
          <w:tcPr>
            <w:tcW w:w="123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优秀</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优秀（22-25）、良好（20-21）、             一般（17-19）、较差（16分以下）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2" w:hRule="atLeast"/>
        </w:trPr>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项目绩效</w:t>
            </w:r>
          </w:p>
        </w:tc>
        <w:tc>
          <w:tcPr>
            <w:tcW w:w="959"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55</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49</w:t>
            </w:r>
          </w:p>
        </w:tc>
        <w:tc>
          <w:tcPr>
            <w:tcW w:w="123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优秀（49-55）、良好（44-48）、              一般（38-43）、较差（37以下）</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378"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综合绩效</w:t>
            </w:r>
          </w:p>
        </w:tc>
        <w:tc>
          <w:tcPr>
            <w:tcW w:w="959"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 xml:space="preserve">  100</w:t>
            </w:r>
          </w:p>
        </w:tc>
        <w:tc>
          <w:tcPr>
            <w:tcW w:w="959" w:type="dxa"/>
            <w:tcBorders>
              <w:tl2br w:val="nil"/>
              <w:tr2bl w:val="nil"/>
            </w:tcBorders>
            <w:vAlign w:val="center"/>
          </w:tcPr>
          <w:p>
            <w:pPr>
              <w:widowControl/>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86</w:t>
            </w:r>
          </w:p>
        </w:tc>
        <w:tc>
          <w:tcPr>
            <w:tcW w:w="1232" w:type="dxa"/>
            <w:tcBorders>
              <w:tl2br w:val="nil"/>
              <w:tr2bl w:val="nil"/>
            </w:tcBorders>
            <w:vAlign w:val="center"/>
          </w:tcPr>
          <w:p>
            <w:pPr>
              <w:widowControl/>
              <w:adjustRightInd w:val="0"/>
              <w:snapToGrid w:val="0"/>
              <w:jc w:val="center"/>
              <w:rPr>
                <w:rFonts w:ascii="仿宋" w:hAnsi="仿宋" w:eastAsia="仿宋" w:cs="仿宋"/>
                <w:szCs w:val="21"/>
              </w:rPr>
            </w:pPr>
            <w:r>
              <w:rPr>
                <w:rFonts w:hint="eastAsia" w:ascii="仿宋" w:hAnsi="仿宋" w:eastAsia="仿宋" w:cs="仿宋"/>
                <w:szCs w:val="21"/>
              </w:rPr>
              <w:t>良好</w:t>
            </w:r>
          </w:p>
        </w:tc>
        <w:tc>
          <w:tcPr>
            <w:tcW w:w="3804" w:type="dxa"/>
            <w:tcBorders>
              <w:tl2br w:val="nil"/>
              <w:tr2bl w:val="nil"/>
            </w:tcBorders>
          </w:tcPr>
          <w:p>
            <w:pPr>
              <w:widowControl/>
              <w:adjustRightInd w:val="0"/>
              <w:snapToGrid w:val="0"/>
              <w:jc w:val="left"/>
              <w:rPr>
                <w:rFonts w:ascii="仿宋" w:hAnsi="仿宋" w:eastAsia="仿宋" w:cs="仿宋"/>
                <w:szCs w:val="21"/>
              </w:rPr>
            </w:pPr>
            <w:r>
              <w:rPr>
                <w:rFonts w:hint="eastAsia" w:ascii="仿宋" w:hAnsi="仿宋" w:eastAsia="仿宋" w:cs="仿宋"/>
                <w:szCs w:val="21"/>
              </w:rPr>
              <w:t>优秀（90-100）、良好（80-89）、                   一般（60-79）、较差（59以下）</w:t>
            </w:r>
          </w:p>
        </w:tc>
      </w:tr>
    </w:tbl>
    <w:p>
      <w:pPr>
        <w:numPr>
          <w:ilvl w:val="0"/>
          <w:numId w:val="0"/>
        </w:numPr>
        <w:spacing w:line="560" w:lineRule="exact"/>
        <w:ind w:firstLine="602" w:firstLineChars="200"/>
        <w:outlineLvl w:val="0"/>
        <w:rPr>
          <w:rFonts w:ascii="黑体" w:hAnsi="黑体" w:eastAsia="黑体" w:cs="黑体"/>
          <w:b/>
          <w:bCs/>
          <w:sz w:val="30"/>
          <w:szCs w:val="30"/>
        </w:rPr>
      </w:pPr>
      <w:bookmarkStart w:id="17" w:name="_Toc23070"/>
      <w:r>
        <w:rPr>
          <w:rFonts w:hint="eastAsia" w:ascii="黑体" w:hAnsi="黑体" w:eastAsia="黑体" w:cs="黑体"/>
          <w:b/>
          <w:bCs/>
          <w:kern w:val="2"/>
          <w:sz w:val="30"/>
          <w:szCs w:val="30"/>
          <w:lang w:val="en-US" w:eastAsia="zh-CN" w:bidi="ar-SA"/>
        </w:rPr>
        <w:t>六、</w:t>
      </w:r>
      <w:r>
        <w:rPr>
          <w:rFonts w:hint="eastAsia" w:ascii="黑体" w:hAnsi="黑体" w:eastAsia="黑体" w:cs="黑体"/>
          <w:b/>
          <w:bCs/>
          <w:sz w:val="30"/>
          <w:szCs w:val="30"/>
        </w:rPr>
        <w:t>其他需要说明的问题</w:t>
      </w:r>
      <w:bookmarkEnd w:id="17"/>
    </w:p>
    <w:p>
      <w:pPr>
        <w:numPr>
          <w:ilvl w:val="0"/>
          <w:numId w:val="4"/>
        </w:numPr>
        <w:spacing w:line="560" w:lineRule="exact"/>
        <w:ind w:firstLine="602" w:firstLineChars="200"/>
        <w:outlineLvl w:val="1"/>
        <w:rPr>
          <w:rFonts w:ascii="仿宋" w:hAnsi="仿宋" w:eastAsia="仿宋" w:cs="仿宋"/>
          <w:b/>
          <w:bCs/>
          <w:sz w:val="30"/>
          <w:szCs w:val="30"/>
        </w:rPr>
      </w:pPr>
      <w:bookmarkStart w:id="18" w:name="_Toc25624"/>
      <w:r>
        <w:rPr>
          <w:rFonts w:hint="eastAsia" w:ascii="仿宋" w:hAnsi="仿宋" w:eastAsia="仿宋" w:cs="仿宋"/>
          <w:b/>
          <w:bCs/>
          <w:sz w:val="30"/>
          <w:szCs w:val="30"/>
        </w:rPr>
        <w:t>后续工作计划</w:t>
      </w:r>
      <w:bookmarkEnd w:id="18"/>
    </w:p>
    <w:p>
      <w:pPr>
        <w:spacing w:line="560" w:lineRule="exact"/>
        <w:ind w:firstLine="600" w:firstLineChars="200"/>
        <w:rPr>
          <w:rFonts w:hint="eastAsia" w:ascii="仿宋" w:hAnsi="仿宋" w:eastAsia="仿宋" w:cs="仿宋"/>
          <w:sz w:val="30"/>
          <w:szCs w:val="30"/>
          <w:lang w:val="en-US" w:eastAsia="zh-CN"/>
        </w:rPr>
      </w:pPr>
      <w:bookmarkStart w:id="19" w:name="_Toc18665"/>
      <w:r>
        <w:rPr>
          <w:rFonts w:hint="eastAsia" w:ascii="仿宋" w:hAnsi="仿宋" w:eastAsia="仿宋" w:cs="仿宋"/>
          <w:sz w:val="30"/>
          <w:szCs w:val="30"/>
          <w:lang w:val="en-US" w:eastAsia="zh-CN"/>
        </w:rPr>
        <w:t>严格对该项目的资金支出的审核工作，并准时拨付民政发展专项资金，保障其权益。</w:t>
      </w:r>
    </w:p>
    <w:p>
      <w:pPr>
        <w:numPr>
          <w:ilvl w:val="0"/>
          <w:numId w:val="4"/>
        </w:numPr>
        <w:spacing w:line="560" w:lineRule="exact"/>
        <w:ind w:firstLine="602" w:firstLineChars="200"/>
        <w:outlineLvl w:val="1"/>
        <w:rPr>
          <w:rFonts w:hint="eastAsia" w:ascii="仿宋" w:hAnsi="仿宋" w:eastAsia="仿宋" w:cs="仿宋"/>
          <w:b/>
          <w:bCs/>
          <w:sz w:val="30"/>
          <w:szCs w:val="30"/>
          <w:lang w:eastAsia="zh-CN"/>
        </w:rPr>
      </w:pPr>
      <w:r>
        <w:rPr>
          <w:rFonts w:hint="eastAsia" w:ascii="仿宋" w:hAnsi="仿宋" w:eastAsia="仿宋" w:cs="仿宋"/>
          <w:b/>
          <w:bCs/>
          <w:sz w:val="30"/>
          <w:szCs w:val="30"/>
        </w:rPr>
        <w:t>主要经验及做法、存在问题和改进措施</w:t>
      </w:r>
      <w:bookmarkEnd w:id="19"/>
    </w:p>
    <w:p>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我乡在民政发展专项资金项目时严格执行内部财务管理制度及财政报账制度，每笔生活补贴均需要提供考核表，项目经费支出合法合规。</w:t>
      </w:r>
    </w:p>
    <w:p>
      <w:pPr>
        <w:pageBreakBefore/>
        <w:spacing w:line="560" w:lineRule="exact"/>
        <w:outlineLvl w:val="0"/>
        <w:rPr>
          <w:rFonts w:hint="eastAsia" w:ascii="黑体" w:hAnsi="黑体" w:eastAsia="黑体" w:cs="黑体"/>
          <w:b/>
          <w:bCs/>
          <w:sz w:val="30"/>
          <w:szCs w:val="30"/>
          <w:lang w:eastAsia="zh-CN"/>
        </w:rPr>
        <w:sectPr>
          <w:footerReference r:id="rId3" w:type="default"/>
          <w:pgSz w:w="11906" w:h="16838"/>
          <w:pgMar w:top="1304" w:right="1701" w:bottom="1304" w:left="1701" w:header="851" w:footer="992" w:gutter="0"/>
          <w:pgNumType w:start="1"/>
          <w:cols w:space="425" w:num="1"/>
          <w:docGrid w:type="lines" w:linePitch="312" w:charSpace="0"/>
        </w:sectPr>
      </w:pPr>
    </w:p>
    <w:p>
      <w:pPr>
        <w:spacing w:line="560" w:lineRule="exact"/>
        <w:ind w:firstLine="602" w:firstLineChars="200"/>
        <w:outlineLvl w:val="0"/>
        <w:rPr>
          <w:rFonts w:ascii="黑体" w:hAnsi="黑体" w:eastAsia="黑体" w:cs="黑体"/>
          <w:b/>
          <w:bCs/>
          <w:sz w:val="30"/>
          <w:szCs w:val="30"/>
        </w:rPr>
      </w:pPr>
      <w:bookmarkStart w:id="20" w:name="_Toc18025"/>
      <w:r>
        <w:rPr>
          <w:rFonts w:hint="eastAsia" w:ascii="黑体" w:hAnsi="黑体" w:eastAsia="黑体" w:cs="黑体"/>
          <w:b/>
          <w:bCs/>
          <w:sz w:val="30"/>
          <w:szCs w:val="30"/>
        </w:rPr>
        <w:t>附件：</w:t>
      </w:r>
      <w:bookmarkEnd w:id="20"/>
    </w:p>
    <w:p>
      <w:pPr>
        <w:spacing w:line="560" w:lineRule="exact"/>
        <w:jc w:val="center"/>
        <w:rPr>
          <w:rFonts w:ascii="仿宋" w:hAnsi="仿宋" w:eastAsia="仿宋" w:cs="仿宋"/>
          <w:b/>
          <w:bCs/>
          <w:color w:val="FF0000"/>
          <w:sz w:val="28"/>
          <w:szCs w:val="28"/>
        </w:rPr>
      </w:pPr>
      <w:r>
        <w:rPr>
          <w:rFonts w:hint="eastAsia" w:ascii="仿宋" w:hAnsi="仿宋" w:eastAsia="仿宋" w:cs="仿宋"/>
          <w:b/>
          <w:bCs/>
          <w:sz w:val="28"/>
          <w:szCs w:val="28"/>
          <w:lang w:val="en-US" w:eastAsia="zh-CN"/>
        </w:rPr>
        <w:t>民政发展专项资金</w:t>
      </w:r>
      <w:r>
        <w:rPr>
          <w:rFonts w:hint="eastAsia" w:ascii="仿宋" w:hAnsi="仿宋" w:eastAsia="仿宋" w:cs="仿宋"/>
          <w:b/>
          <w:bCs/>
          <w:sz w:val="28"/>
          <w:szCs w:val="28"/>
        </w:rPr>
        <w:t>项目绩效评价指标体系表</w:t>
      </w:r>
    </w:p>
    <w:p>
      <w:pPr>
        <w:pStyle w:val="2"/>
        <w:rPr>
          <w:rFonts w:hint="eastAsia" w:ascii="仿宋" w:hAnsi="仿宋" w:eastAsia="仿宋" w:cs="仿宋"/>
          <w:b w:val="0"/>
          <w:bCs w:val="0"/>
          <w:color w:val="FF0000"/>
          <w:lang w:eastAsia="zh-CN"/>
        </w:rPr>
      </w:pPr>
      <w:r>
        <w:rPr>
          <w:rFonts w:hint="eastAsia" w:ascii="仿宋" w:hAnsi="仿宋" w:eastAsia="仿宋" w:cs="仿宋"/>
          <w:b/>
          <w:bCs/>
          <w:color w:val="auto"/>
        </w:rPr>
        <w:t>单位：白沙黎族自治县</w:t>
      </w:r>
      <w:r>
        <w:rPr>
          <w:rFonts w:hint="eastAsia" w:ascii="仿宋" w:hAnsi="仿宋" w:eastAsia="仿宋" w:cs="仿宋"/>
          <w:b/>
          <w:bCs/>
          <w:color w:val="auto"/>
          <w:lang w:val="en-US" w:eastAsia="zh-CN"/>
        </w:rPr>
        <w:t>青松</w:t>
      </w:r>
      <w:r>
        <w:rPr>
          <w:rFonts w:hint="eastAsia" w:ascii="仿宋" w:hAnsi="仿宋" w:eastAsia="仿宋" w:cs="仿宋"/>
          <w:b/>
          <w:bCs/>
          <w:color w:val="auto"/>
        </w:rPr>
        <w:t>乡人民政府</w:t>
      </w:r>
      <w:r>
        <w:rPr>
          <w:rFonts w:hint="eastAsia" w:ascii="仿宋" w:hAnsi="仿宋" w:eastAsia="仿宋" w:cs="仿宋"/>
          <w:b/>
          <w:bCs/>
          <w:color w:val="FF0000"/>
        </w:rPr>
        <w:t xml:space="preserve"> </w:t>
      </w:r>
      <w:r>
        <w:rPr>
          <w:rFonts w:hint="eastAsia" w:ascii="仿宋" w:hAnsi="仿宋" w:eastAsia="仿宋" w:cs="仿宋"/>
          <w:b w:val="0"/>
          <w:bCs w:val="0"/>
          <w:color w:val="FF0000"/>
        </w:rPr>
        <w:t xml:space="preserve">                                                                 </w:t>
      </w:r>
      <w:r>
        <w:rPr>
          <w:rFonts w:hint="eastAsia" w:ascii="仿宋" w:hAnsi="仿宋" w:eastAsia="仿宋" w:cs="仿宋"/>
          <w:b w:val="0"/>
          <w:bCs w:val="0"/>
          <w:color w:val="auto"/>
        </w:rPr>
        <w:t xml:space="preserve"> </w:t>
      </w:r>
      <w:r>
        <w:rPr>
          <w:rFonts w:hint="eastAsia" w:ascii="仿宋" w:hAnsi="仿宋" w:eastAsia="仿宋" w:cs="仿宋"/>
          <w:b w:val="0"/>
          <w:bCs w:val="0"/>
          <w:color w:val="auto"/>
          <w:lang w:val="en-US" w:eastAsia="zh-CN"/>
        </w:rPr>
        <w:t xml:space="preserve">     </w:t>
      </w:r>
      <w:r>
        <w:rPr>
          <w:rFonts w:hint="eastAsia" w:ascii="仿宋" w:hAnsi="仿宋" w:eastAsia="仿宋" w:cs="仿宋"/>
          <w:b/>
          <w:bCs/>
          <w:color w:val="auto"/>
        </w:rPr>
        <w:t>绩效等级：</w:t>
      </w:r>
      <w:r>
        <w:rPr>
          <w:rFonts w:hint="eastAsia" w:ascii="仿宋" w:hAnsi="仿宋" w:eastAsia="仿宋" w:cs="仿宋"/>
          <w:b/>
          <w:bCs/>
          <w:color w:val="auto"/>
          <w:lang w:val="en-US" w:eastAsia="zh-CN"/>
        </w:rPr>
        <w:t>良</w:t>
      </w:r>
    </w:p>
    <w:tbl>
      <w:tblPr>
        <w:tblStyle w:val="11"/>
        <w:tblW w:w="4995" w:type="pct"/>
        <w:tblInd w:w="0" w:type="dxa"/>
        <w:tblLayout w:type="fixed"/>
        <w:tblCellMar>
          <w:top w:w="0" w:type="dxa"/>
          <w:left w:w="108" w:type="dxa"/>
          <w:bottom w:w="0" w:type="dxa"/>
          <w:right w:w="108" w:type="dxa"/>
        </w:tblCellMar>
      </w:tblPr>
      <w:tblGrid>
        <w:gridCol w:w="755"/>
        <w:gridCol w:w="555"/>
        <w:gridCol w:w="679"/>
        <w:gridCol w:w="572"/>
        <w:gridCol w:w="788"/>
        <w:gridCol w:w="539"/>
        <w:gridCol w:w="2646"/>
        <w:gridCol w:w="2800"/>
        <w:gridCol w:w="3874"/>
        <w:gridCol w:w="470"/>
        <w:gridCol w:w="754"/>
      </w:tblGrid>
      <w:tr>
        <w:tblPrEx>
          <w:tblCellMar>
            <w:top w:w="0" w:type="dxa"/>
            <w:left w:w="108" w:type="dxa"/>
            <w:bottom w:w="0" w:type="dxa"/>
            <w:right w:w="108" w:type="dxa"/>
          </w:tblCellMar>
        </w:tblPrEx>
        <w:trPr>
          <w:trHeight w:val="270" w:hRule="atLeast"/>
          <w:tblHeader/>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一级指标</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二级指标</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三级指标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分值</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指标解释</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评价标准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auto"/>
                <w:kern w:val="0"/>
                <w:szCs w:val="21"/>
                <w:lang w:bidi="ar"/>
              </w:rPr>
              <w:t>评价依据</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得分</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小计</w:t>
            </w:r>
          </w:p>
        </w:tc>
      </w:tr>
      <w:tr>
        <w:tblPrEx>
          <w:tblCellMar>
            <w:top w:w="0" w:type="dxa"/>
            <w:left w:w="108" w:type="dxa"/>
            <w:bottom w:w="0" w:type="dxa"/>
            <w:right w:w="108" w:type="dxa"/>
          </w:tblCellMar>
        </w:tblPrEx>
        <w:trPr>
          <w:trHeight w:val="675"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项目决策</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23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项目目标</w:t>
            </w:r>
          </w:p>
        </w:tc>
        <w:tc>
          <w:tcPr>
            <w:tcW w:w="19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目标内容</w:t>
            </w:r>
          </w:p>
        </w:tc>
        <w:tc>
          <w:tcPr>
            <w:tcW w:w="18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目标是否明确、细化、量化</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目标明确（1分），目标细化（1分），目标量化（2分）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目标明确、</w:t>
            </w:r>
            <w:r>
              <w:rPr>
                <w:rFonts w:hint="eastAsia" w:ascii="仿宋" w:hAnsi="仿宋" w:eastAsia="仿宋" w:cs="仿宋"/>
                <w:color w:val="000000"/>
                <w:kern w:val="0"/>
                <w:szCs w:val="21"/>
                <w:lang w:eastAsia="zh-CN" w:bidi="ar"/>
              </w:rPr>
              <w:t>未进行</w:t>
            </w:r>
            <w:r>
              <w:rPr>
                <w:rFonts w:hint="eastAsia" w:ascii="仿宋" w:hAnsi="仿宋" w:eastAsia="仿宋" w:cs="仿宋"/>
                <w:color w:val="000000"/>
                <w:kern w:val="0"/>
                <w:szCs w:val="21"/>
                <w:lang w:bidi="ar"/>
              </w:rPr>
              <w:t>细化、量化</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w:t>
            </w: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决策过程</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决策依据</w:t>
            </w:r>
          </w:p>
        </w:tc>
        <w:tc>
          <w:tcPr>
            <w:tcW w:w="18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项目立项是否符合法律法规、相关政策、发展规划以及部门职责，用以反映和考核项目立项依据情况。</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项目符合经济社会发展规划和部门年度工作计划（2分），根据需要制定中长期实施规划（1分）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项目立项符合法律法规、相关政策、发展规划以及部门职责，用以反映和考核项目立项依据情况。</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决策程序</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项目是否符合申报条件；申报、批复程序是否符合相关管理办法；项目调整是否履行相应手续</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项目符合申报条件（2分），申报、批复程序符合相关管理办法（2分），项目实施调整履行相应手续（1分）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项目符合申报条件；申报、批复程序符合相关管理办法</w:t>
            </w:r>
            <w:r>
              <w:rPr>
                <w:rFonts w:hint="eastAsia" w:ascii="仿宋" w:hAnsi="仿宋" w:eastAsia="仿宋" w:cs="仿宋"/>
                <w:color w:val="000000"/>
                <w:kern w:val="0"/>
                <w:szCs w:val="21"/>
                <w:lang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分配办法</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是否根据需要制定相关资金管理办法，并在管理办法中明确资金分配办法；资金分配因素是否全面、合理</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办法健全、规范（1分），因素选择全面、合理（3分）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根据需要制定相关资金管理办法，并在管理办法中明确资金分配办法；资金分配因素全面、合理</w:t>
            </w:r>
            <w:r>
              <w:rPr>
                <w:rFonts w:hint="eastAsia" w:ascii="仿宋" w:hAnsi="仿宋" w:eastAsia="仿宋" w:cs="仿宋"/>
                <w:color w:val="000000"/>
                <w:kern w:val="0"/>
                <w:szCs w:val="21"/>
                <w:lang w:eastAsia="zh-CN" w:bidi="ar"/>
              </w:rPr>
              <w:t>。</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rPr>
          <w:trHeight w:val="952"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分配结果</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资金分配是否符合相关管理办法；分配结果是否合理</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项目符合相关分配办法（1分），资金分配合理（3分）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资金分配符合相关管理办法；分配结果合理</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项目管理</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资金到位</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到位率</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实际到位/计划到位×100%</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根据项目实际到位资金占计划的比重计算得分（3分）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val="en-US" w:eastAsia="zh-CN" w:bidi="ar"/>
              </w:rPr>
              <w:t>资金</w:t>
            </w:r>
            <w:r>
              <w:rPr>
                <w:rFonts w:hint="eastAsia" w:ascii="仿宋" w:hAnsi="仿宋" w:eastAsia="仿宋" w:cs="仿宋"/>
                <w:color w:val="000000"/>
                <w:kern w:val="0"/>
                <w:szCs w:val="21"/>
                <w:lang w:bidi="ar"/>
              </w:rPr>
              <w:t>实际到位100%</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到位时效</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资金是否及时到位；若未及时到位，是否影响项目进度</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及时到位（2分），未及时到位但未影响项目进度（1.5分），未及时到位并影响项目进度（0-1分）。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资金及时到位</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资金使用</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是否存在支出依据不合规、虚列项目支出的情况；是否存在截留、挤占、挪用项目资金情况；是否存在超标准开支情况</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虚列（套取）扣4-7分，支出依据不合规扣1分，截留、挤占、挪用扣3-6分，超标准开支扣2-5分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val="en-US" w:eastAsia="zh-CN" w:bidi="ar"/>
              </w:rPr>
              <w:t>资金不</w:t>
            </w:r>
            <w:r>
              <w:rPr>
                <w:rFonts w:hint="eastAsia" w:ascii="仿宋" w:hAnsi="仿宋" w:eastAsia="仿宋" w:cs="仿宋"/>
                <w:color w:val="000000"/>
                <w:kern w:val="0"/>
                <w:szCs w:val="21"/>
                <w:lang w:bidi="ar"/>
              </w:rPr>
              <w:t>存在支出依据不合规、虚列项目支出的情况；</w:t>
            </w:r>
            <w:r>
              <w:rPr>
                <w:rFonts w:hint="eastAsia" w:ascii="仿宋" w:hAnsi="仿宋" w:eastAsia="仿宋" w:cs="仿宋"/>
                <w:color w:val="000000"/>
                <w:kern w:val="0"/>
                <w:szCs w:val="21"/>
                <w:lang w:val="en-US" w:eastAsia="zh-CN" w:bidi="ar"/>
              </w:rPr>
              <w:t>不</w:t>
            </w:r>
            <w:r>
              <w:rPr>
                <w:rFonts w:hint="eastAsia" w:ascii="仿宋" w:hAnsi="仿宋" w:eastAsia="仿宋" w:cs="仿宋"/>
                <w:color w:val="000000"/>
                <w:kern w:val="0"/>
                <w:szCs w:val="21"/>
                <w:lang w:bidi="ar"/>
              </w:rPr>
              <w:t>存在截留、挤占、挪用项目资金情况；</w:t>
            </w:r>
            <w:r>
              <w:rPr>
                <w:rFonts w:hint="eastAsia" w:ascii="仿宋" w:hAnsi="仿宋" w:eastAsia="仿宋" w:cs="仿宋"/>
                <w:color w:val="000000"/>
                <w:kern w:val="0"/>
                <w:szCs w:val="21"/>
                <w:lang w:val="en-US" w:eastAsia="zh-CN" w:bidi="ar"/>
              </w:rPr>
              <w:t>不</w:t>
            </w:r>
            <w:r>
              <w:rPr>
                <w:rFonts w:hint="eastAsia" w:ascii="仿宋" w:hAnsi="仿宋" w:eastAsia="仿宋" w:cs="仿宋"/>
                <w:color w:val="000000"/>
                <w:kern w:val="0"/>
                <w:szCs w:val="21"/>
                <w:lang w:bidi="ar"/>
              </w:rPr>
              <w:t>存在超标准开支情况</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p>
          <w:p>
            <w:pPr>
              <w:widowControl/>
              <w:jc w:val="center"/>
              <w:textAlignment w:val="center"/>
              <w:rPr>
                <w:rFonts w:hint="eastAsia" w:ascii="仿宋" w:hAnsi="仿宋" w:eastAsia="仿宋" w:cs="仿宋"/>
                <w:color w:val="000000"/>
                <w:szCs w:val="21"/>
                <w:lang w:val="en-US" w:eastAsia="zh-CN"/>
              </w:rPr>
            </w:pPr>
          </w:p>
          <w:p>
            <w:pPr>
              <w:widowControl/>
              <w:jc w:val="center"/>
              <w:textAlignment w:val="center"/>
              <w:rPr>
                <w:rFonts w:hint="eastAsia" w:ascii="仿宋" w:hAnsi="仿宋" w:eastAsia="仿宋" w:cs="仿宋"/>
                <w:color w:val="000000"/>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208915</wp:posOffset>
                      </wp:positionV>
                      <wp:extent cx="359410" cy="407035"/>
                      <wp:effectExtent l="4445" t="4445" r="17145" b="7620"/>
                      <wp:wrapNone/>
                      <wp:docPr id="2" name="文本框 2"/>
                      <wp:cNvGraphicFramePr/>
                      <a:graphic xmlns:a="http://schemas.openxmlformats.org/drawingml/2006/main">
                        <a:graphicData uri="http://schemas.microsoft.com/office/word/2010/wordprocessingShape">
                          <wps:wsp>
                            <wps:cNvSpPr txBox="1"/>
                            <wps:spPr>
                              <a:xfrm>
                                <a:off x="9601835" y="2901315"/>
                                <a:ext cx="359410" cy="4070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ascii="仿宋" w:hAnsi="仿宋" w:eastAsia="仿宋" w:cs="仿宋"/>
                                      <w:color w:val="000000"/>
                                      <w:szCs w:val="21"/>
                                      <w:lang w:val="en-US" w:eastAsia="zh-CN"/>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5pt;margin-top:16.45pt;height:32.05pt;width:28.3pt;z-index:251659264;mso-width-relative:page;mso-height-relative:page;" fillcolor="#FFFFFF [3201]" filled="t" stroked="t" coordsize="21600,21600" o:gfxdata="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wa&#10;xP/XAAAACAEAAA8AAAAAAAAAAQAgAAAAIgAAAGRycy9kb3ducmV2LnhtbFBLAQIUABQAAAAIAIdO&#10;4kBBe1a9XQIAAMMEAAAOAAAAAAAAAAEAIAAAACYBAABkcnMvZTJvRG9jLnhtbFBLBQYAAAAABgAG&#10;AFkBAAD1BQAAAAA=&#10;">
                      <v:fill on="t" focussize="0,0"/>
                      <v:stroke weight="0.5pt" color="#FFFFFF [3212]" joinstyle="round"/>
                      <v:imagedata o:title=""/>
                      <o:lock v:ext="edit" aspectratio="f"/>
                      <v:textbox>
                        <w:txbxContent>
                          <w:p>
                            <w:pPr>
                              <w:rPr>
                                <w:rFonts w:hint="default" w:eastAsiaTheme="minorEastAsia"/>
                                <w:lang w:val="en-US" w:eastAsia="zh-CN"/>
                              </w:rPr>
                            </w:pPr>
                            <w:r>
                              <w:rPr>
                                <w:rFonts w:hint="eastAsia" w:ascii="仿宋" w:hAnsi="仿宋" w:eastAsia="仿宋" w:cs="仿宋"/>
                                <w:color w:val="000000"/>
                                <w:szCs w:val="21"/>
                                <w:lang w:val="en-US" w:eastAsia="zh-CN"/>
                              </w:rPr>
                              <w:t>21</w:t>
                            </w:r>
                          </w:p>
                        </w:txbxContent>
                      </v:textbox>
                    </v:shape>
                  </w:pict>
                </mc:Fallback>
              </mc:AlternateContent>
            </w:r>
            <w:r>
              <w:rPr>
                <w:rFonts w:hint="eastAsia" w:ascii="仿宋" w:hAnsi="仿宋" w:eastAsia="仿宋" w:cs="仿宋"/>
                <w:color w:val="000000"/>
                <w:szCs w:val="21"/>
                <w:lang w:val="en-US" w:eastAsia="zh-CN"/>
              </w:rPr>
              <w:t>7</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财务管理</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资金管理、费用支出等制度是否健全，是否严格执行；会计核算是否规范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财务制度健全（1分），严格执行制度（1分），会计核算规范（1分）。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资金管理、费用支出等制度健全，严格执行；会计核算规范</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组织实施</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组织机构</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机构是否健全、分工是否明确</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机构健全、分工明确（1分）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机构健全、分工明确</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管理制度</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是否建立健全项目管理制度；是否严格执行相关项目管理制度</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建立健全项目管理制度（2分）；严格执行相关项目管理制度（7分）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eastAsia="zh-CN" w:bidi="ar"/>
              </w:rPr>
              <w:t>未进行</w:t>
            </w:r>
            <w:r>
              <w:rPr>
                <w:rFonts w:hint="eastAsia" w:ascii="仿宋" w:hAnsi="仿宋" w:eastAsia="仿宋" w:cs="仿宋"/>
                <w:color w:val="000000"/>
                <w:kern w:val="0"/>
                <w:szCs w:val="21"/>
                <w:lang w:bidi="ar"/>
              </w:rPr>
              <w:t>建立健全项目管理制度；严格执行</w:t>
            </w:r>
            <w:r>
              <w:rPr>
                <w:rFonts w:hint="eastAsia" w:ascii="仿宋" w:hAnsi="仿宋" w:eastAsia="仿宋" w:cs="仿宋"/>
                <w:color w:val="000000"/>
                <w:kern w:val="0"/>
                <w:szCs w:val="21"/>
                <w:lang w:eastAsia="zh-CN" w:bidi="ar"/>
              </w:rPr>
              <w:t>白沙县</w:t>
            </w:r>
            <w:r>
              <w:rPr>
                <w:rFonts w:hint="eastAsia" w:ascii="仿宋" w:hAnsi="仿宋" w:eastAsia="仿宋" w:cs="仿宋"/>
                <w:color w:val="000000"/>
                <w:kern w:val="0"/>
                <w:szCs w:val="21"/>
                <w:lang w:bidi="ar"/>
              </w:rPr>
              <w:t>相关项目管理制度</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7</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125" w:hRule="atLeast"/>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项目绩效</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55</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产出数量</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项目产出数量是否达到绩效目标</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对照年初或调整后的绩效目标评价产出数量（每个子项目1分，子项目得分=各子项完成率*对应分数，完成率超过100%的按100%计算。本指标总分等于各子项目得分之和，满分11分）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项目产出数量达到绩效目标</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p>
        </w:tc>
      </w:tr>
      <w:tr>
        <w:tblPrEx>
          <w:tblCellMar>
            <w:top w:w="0" w:type="dxa"/>
            <w:left w:w="108" w:type="dxa"/>
            <w:bottom w:w="0" w:type="dxa"/>
            <w:right w:w="108" w:type="dxa"/>
          </w:tblCellMar>
        </w:tblPrEx>
        <w:trPr>
          <w:trHeight w:val="67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产出质量</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项目产出质量是否达到绩效目标</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对照年初或调整后的绩效目标评价产出质量（按优6分、良4分、中2分、差1分进行评分）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项目产出质量达到绩效目标</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产出时效</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项目产出时效是否达到绩效目标</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对照年初或调整后的绩效目标评价产出时效（按优4分、良2分、中1分、差0分进行评分）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项目产出时效达到绩效目标</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产出成本</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项目产出成本是否按绩效目标控制</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对照年初或调整后的绩效目标评价产出成本（按优4分、良2分、中1分、差0分进行评分）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项目产出成本按绩效目标控制</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p>
          <w:p>
            <w:pPr>
              <w:widowControl/>
              <w:jc w:val="center"/>
              <w:textAlignment w:val="center"/>
              <w:rPr>
                <w:rFonts w:hint="eastAsia" w:ascii="仿宋" w:hAnsi="仿宋" w:eastAsia="仿宋" w:cs="仿宋"/>
                <w:color w:val="000000"/>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165100</wp:posOffset>
                      </wp:positionV>
                      <wp:extent cx="327025" cy="299720"/>
                      <wp:effectExtent l="0" t="0" r="15875" b="5080"/>
                      <wp:wrapNone/>
                      <wp:docPr id="3" name="文本框 3"/>
                      <wp:cNvGraphicFramePr/>
                      <a:graphic xmlns:a="http://schemas.openxmlformats.org/drawingml/2006/main">
                        <a:graphicData uri="http://schemas.microsoft.com/office/word/2010/wordprocessingShape">
                          <wps:wsp>
                            <wps:cNvSpPr txBox="1"/>
                            <wps:spPr>
                              <a:xfrm>
                                <a:off x="9554210" y="3425190"/>
                                <a:ext cx="327025" cy="2997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pt;margin-top:13pt;height:23.6pt;width:25.75pt;z-index:251660288;mso-width-relative:page;mso-height-relative:page;" fillcolor="#FFFFFF [3201]" filled="t" stroked="f" coordsize="21600,21600" o:gfxdata="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2W0IPTAAAA&#10;BwEAAA8AAAAAAAAAAQAgAAAAIgAAAGRycy9kb3ducmV2LnhtbFBLAQIUABQAAAAIAIdO4kC9QgJo&#10;WwIAAJoEAAAOAAAAAAAAAAEAIAAAACIBAABkcnMvZTJvRG9jLnhtbFBLBQYAAAAABgAGAFkBAADv&#10;BQAAAAA=&#10;">
                      <v:fill on="t" focussize="0,0"/>
                      <v:stroke on="f" weight="0.5pt"/>
                      <v:imagedata o:title=""/>
                      <o:lock v:ext="edit" aspectratio="f"/>
                      <v:textbox>
                        <w:txbxContent>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49</w:t>
                            </w:r>
                          </w:p>
                        </w:txbxContent>
                      </v:textbox>
                    </v:shape>
                  </w:pict>
                </mc:Fallback>
              </mc:AlternateContent>
            </w:r>
          </w:p>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12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项目效果</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经济效益</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项目实施是否产生直接或间接经济效益</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对照年初或调整后的绩效目标评价经济效益（6分）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项目实施产生直接经济效益</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25"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社会效益</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项目实施是否产生社会综合效益</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对照年初或调整后申报的绩效目标评价社会效益（6分）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项目实施产生社会综合效益</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环境效益</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项目实施是否对环境产生积极或消极影响</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对照年初或调整后申报的绩效目标评价环境效益（6分）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项目实施对环境产生积极</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2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可持续影响</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项目实施对人、自然、资源是否带来可持续影响</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对照年初或调整后申报的绩效目标评价可持续影响（6分）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项目实施对人、自然、资源带来可持续影响</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50" w:hRule="atLeast"/>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服务对象满意度</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项目预期服务对象对项目实施的满意程度</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Style w:val="16"/>
                <w:rFonts w:ascii="仿宋" w:hAnsi="仿宋" w:eastAsia="仿宋" w:cs="仿宋"/>
                <w:sz w:val="21"/>
                <w:szCs w:val="21"/>
                <w:lang w:bidi="ar"/>
              </w:rPr>
              <w:t>对照年初或调整后申报的绩效目标评价服务对象满意度（6分）</w:t>
            </w:r>
          </w:p>
        </w:tc>
        <w:tc>
          <w:tcPr>
            <w:tcW w:w="1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Cs w:val="21"/>
                <w:lang w:bidi="ar"/>
              </w:rPr>
              <w:t>项目预期服务对象对项目实施的满意程度</w:t>
            </w:r>
            <w:r>
              <w:rPr>
                <w:rFonts w:hint="eastAsia" w:ascii="仿宋" w:hAnsi="仿宋" w:eastAsia="仿宋" w:cs="仿宋"/>
                <w:color w:val="000000"/>
                <w:kern w:val="0"/>
                <w:szCs w:val="21"/>
                <w:lang w:val="en-US" w:eastAsia="zh-CN" w:bidi="ar"/>
              </w:rPr>
              <w:t>高</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w:t>
            </w: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总分</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100</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b/>
                <w:bCs/>
                <w:color w:val="000000"/>
                <w:szCs w:val="21"/>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Cs w:val="21"/>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86</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Cs w:val="21"/>
              </w:rPr>
            </w:pPr>
          </w:p>
        </w:tc>
      </w:tr>
    </w:tbl>
    <w:p/>
    <w:sectPr>
      <w:pgSz w:w="16838" w:h="11906" w:orient="landscape"/>
      <w:pgMar w:top="1701" w:right="1304" w:bottom="1701"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36CBD"/>
    <w:multiLevelType w:val="singleLevel"/>
    <w:tmpl w:val="D6F36CBD"/>
    <w:lvl w:ilvl="0" w:tentative="0">
      <w:start w:val="1"/>
      <w:numFmt w:val="chineseCounting"/>
      <w:suff w:val="nothing"/>
      <w:lvlText w:val="（%1）"/>
      <w:lvlJc w:val="left"/>
      <w:rPr>
        <w:rFonts w:hint="eastAsia"/>
      </w:rPr>
    </w:lvl>
  </w:abstractNum>
  <w:abstractNum w:abstractNumId="1">
    <w:nsid w:val="0F6B916C"/>
    <w:multiLevelType w:val="singleLevel"/>
    <w:tmpl w:val="0F6B916C"/>
    <w:lvl w:ilvl="0" w:tentative="0">
      <w:start w:val="1"/>
      <w:numFmt w:val="chineseCounting"/>
      <w:suff w:val="nothing"/>
      <w:lvlText w:val="（%1）"/>
      <w:lvlJc w:val="left"/>
      <w:rPr>
        <w:rFonts w:hint="eastAsia"/>
      </w:rPr>
    </w:lvl>
  </w:abstractNum>
  <w:abstractNum w:abstractNumId="2">
    <w:nsid w:val="201DA4B7"/>
    <w:multiLevelType w:val="singleLevel"/>
    <w:tmpl w:val="201DA4B7"/>
    <w:lvl w:ilvl="0" w:tentative="0">
      <w:start w:val="1"/>
      <w:numFmt w:val="chineseCounting"/>
      <w:suff w:val="nothing"/>
      <w:lvlText w:val="（%1）"/>
      <w:lvlJc w:val="left"/>
      <w:rPr>
        <w:rFonts w:hint="eastAsia"/>
      </w:rPr>
    </w:lvl>
  </w:abstractNum>
  <w:abstractNum w:abstractNumId="3">
    <w:nsid w:val="38CCACEE"/>
    <w:multiLevelType w:val="singleLevel"/>
    <w:tmpl w:val="38CCACE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zOWFkNzE2OTVhNGY0MDUxYThiOGU1YmE3ZDlmZmEifQ=="/>
  </w:docVars>
  <w:rsids>
    <w:rsidRoot w:val="00C150FE"/>
    <w:rsid w:val="002E4590"/>
    <w:rsid w:val="004B0C38"/>
    <w:rsid w:val="007A52CF"/>
    <w:rsid w:val="00B43686"/>
    <w:rsid w:val="00C150FE"/>
    <w:rsid w:val="01747E56"/>
    <w:rsid w:val="01B94567"/>
    <w:rsid w:val="035E4919"/>
    <w:rsid w:val="05681208"/>
    <w:rsid w:val="07860FE4"/>
    <w:rsid w:val="08A848AD"/>
    <w:rsid w:val="0E625C06"/>
    <w:rsid w:val="0F4930DC"/>
    <w:rsid w:val="12704669"/>
    <w:rsid w:val="15331FD9"/>
    <w:rsid w:val="17832749"/>
    <w:rsid w:val="18846779"/>
    <w:rsid w:val="18C14352"/>
    <w:rsid w:val="1A696896"/>
    <w:rsid w:val="1DEA51C9"/>
    <w:rsid w:val="1EC87BE9"/>
    <w:rsid w:val="1F2E38E2"/>
    <w:rsid w:val="1F3C3F2E"/>
    <w:rsid w:val="1F875CE6"/>
    <w:rsid w:val="220F2EF6"/>
    <w:rsid w:val="22350AE4"/>
    <w:rsid w:val="23D305B1"/>
    <w:rsid w:val="27541A0C"/>
    <w:rsid w:val="284309BB"/>
    <w:rsid w:val="28520641"/>
    <w:rsid w:val="2A392A3C"/>
    <w:rsid w:val="2AB70C30"/>
    <w:rsid w:val="2BCB0056"/>
    <w:rsid w:val="2C380015"/>
    <w:rsid w:val="2C870BE6"/>
    <w:rsid w:val="2D655DF8"/>
    <w:rsid w:val="2FEB5F80"/>
    <w:rsid w:val="340E2648"/>
    <w:rsid w:val="355D23D3"/>
    <w:rsid w:val="35ED2F28"/>
    <w:rsid w:val="38F4304F"/>
    <w:rsid w:val="39A131D7"/>
    <w:rsid w:val="3AA922CF"/>
    <w:rsid w:val="3BAC4BF5"/>
    <w:rsid w:val="3C27466A"/>
    <w:rsid w:val="40FB7670"/>
    <w:rsid w:val="468A212D"/>
    <w:rsid w:val="46EE37D3"/>
    <w:rsid w:val="49171F5C"/>
    <w:rsid w:val="4A427DA8"/>
    <w:rsid w:val="4A8F2006"/>
    <w:rsid w:val="4BCB5E91"/>
    <w:rsid w:val="4C1930A0"/>
    <w:rsid w:val="4D371A30"/>
    <w:rsid w:val="4D471547"/>
    <w:rsid w:val="50016325"/>
    <w:rsid w:val="529E3361"/>
    <w:rsid w:val="55A77F90"/>
    <w:rsid w:val="55E464CD"/>
    <w:rsid w:val="5B3F3BFC"/>
    <w:rsid w:val="5C9877C6"/>
    <w:rsid w:val="61F51865"/>
    <w:rsid w:val="62612C54"/>
    <w:rsid w:val="634F128B"/>
    <w:rsid w:val="641B6C9B"/>
    <w:rsid w:val="643B1CA8"/>
    <w:rsid w:val="65BE0FEE"/>
    <w:rsid w:val="667A42E4"/>
    <w:rsid w:val="6A023117"/>
    <w:rsid w:val="6F9C5194"/>
    <w:rsid w:val="72C32AB2"/>
    <w:rsid w:val="74A30F93"/>
    <w:rsid w:val="769413F2"/>
    <w:rsid w:val="78E21FA1"/>
    <w:rsid w:val="798A0AC8"/>
    <w:rsid w:val="79F521A7"/>
    <w:rsid w:val="7BF5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ind w:firstLine="200"/>
      <w:outlineLvl w:val="1"/>
    </w:pPr>
    <w:rPr>
      <w:rFonts w:ascii="楷体_GB2312" w:hAnsi="Calibri" w:eastAsia="楷体_GB2312" w:cs="楷体_GB2312"/>
      <w:b/>
      <w:bCs/>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0"/>
    <w:pPr>
      <w:widowControl/>
      <w:spacing w:before="150" w:beforeLines="0" w:after="150" w:afterLines="0" w:line="264" w:lineRule="auto"/>
      <w:ind w:firstLine="567"/>
    </w:pPr>
    <w:rPr>
      <w:rFonts w:hint="eastAsia" w:ascii="华文楷体" w:hAnsi="华文楷体" w:eastAsia="华文楷体" w:cs="黑体"/>
      <w:kern w:val="0"/>
      <w:sz w:val="24"/>
      <w:szCs w:val="20"/>
    </w:rPr>
  </w:style>
  <w:style w:type="paragraph" w:styleId="4">
    <w:name w:val="Body Text Indent"/>
    <w:basedOn w:val="1"/>
    <w:autoRedefine/>
    <w:unhideWhenUsed/>
    <w:qFormat/>
    <w:uiPriority w:val="99"/>
    <w:pPr>
      <w:spacing w:beforeLines="0" w:afterLines="0"/>
      <w:ind w:left="105" w:hanging="105"/>
    </w:pPr>
    <w:rPr>
      <w:rFonts w:hint="default"/>
      <w:sz w:val="32"/>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 w:type="paragraph" w:styleId="9">
    <w:name w:val="Body Text First Indent"/>
    <w:basedOn w:val="3"/>
    <w:next w:val="10"/>
    <w:autoRedefine/>
    <w:unhideWhenUsed/>
    <w:qFormat/>
    <w:uiPriority w:val="99"/>
    <w:pPr>
      <w:spacing w:before="0" w:beforeLines="0" w:after="120" w:afterLines="0" w:line="240" w:lineRule="auto"/>
      <w:ind w:firstLine="420" w:firstLineChars="100"/>
    </w:pPr>
    <w:rPr>
      <w:rFonts w:hint="default" w:ascii="Calibri" w:hAnsi="Calibri" w:eastAsia="宋体"/>
      <w:sz w:val="24"/>
      <w:szCs w:val="20"/>
    </w:rPr>
  </w:style>
  <w:style w:type="paragraph" w:styleId="10">
    <w:name w:val="Body Text First Indent 2"/>
    <w:basedOn w:val="4"/>
    <w:next w:val="9"/>
    <w:autoRedefine/>
    <w:unhideWhenUsed/>
    <w:qFormat/>
    <w:uiPriority w:val="99"/>
    <w:pPr>
      <w:spacing w:beforeLines="0" w:afterLines="0"/>
      <w:ind w:firstLine="420" w:firstLineChars="200"/>
    </w:pPr>
    <w:rPr>
      <w:rFonts w:hint="default"/>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p14-2"/>
    <w:basedOn w:val="1"/>
    <w:autoRedefine/>
    <w:qFormat/>
    <w:uiPriority w:val="0"/>
    <w:pPr>
      <w:spacing w:line="456" w:lineRule="auto"/>
      <w:jc w:val="left"/>
    </w:pPr>
    <w:rPr>
      <w:kern w:val="0"/>
      <w:szCs w:val="21"/>
    </w:rPr>
  </w:style>
  <w:style w:type="character" w:customStyle="1" w:styleId="16">
    <w:name w:val="font21"/>
    <w:basedOn w:val="13"/>
    <w:autoRedefine/>
    <w:qFormat/>
    <w:uiPriority w:val="0"/>
    <w:rPr>
      <w:rFonts w:hint="eastAsia" w:ascii="宋体" w:hAnsi="宋体" w:eastAsia="宋体" w:cs="宋体"/>
      <w:color w:val="000000"/>
      <w:sz w:val="18"/>
      <w:szCs w:val="18"/>
      <w:u w:val="none"/>
    </w:rPr>
  </w:style>
  <w:style w:type="character" w:customStyle="1" w:styleId="17">
    <w:name w:val="font51"/>
    <w:basedOn w:val="13"/>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7027</Words>
  <Characters>7308</Characters>
  <Lines>66</Lines>
  <Paragraphs>18</Paragraphs>
  <TotalTime>10</TotalTime>
  <ScaleCrop>false</ScaleCrop>
  <LinksUpToDate>false</LinksUpToDate>
  <CharactersWithSpaces>7621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2023-04-20T00:00:00Z</dcterms:created>
  <dc:creator>Lenovo1</dc:creator>
  <cp:lastModifiedBy>大方块</cp:lastModifiedBy>
  <dcterms:modified xsi:type="dcterms:W3CDTF">2024-04-22T10:29:58Z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624C0DC9ADE84F20BAF18B8A6A8851F7_13</vt:lpwstr>
  </property>
</Properties>
</file>